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40" w:line="240" w:lineRule="auto"/>
      </w:pPr>
      <w:r>
        <w:rPr>
          <w:b/>
          <w:color w:val="2C3E50"/>
          <w:sz w:val="40"/>
        </w:rPr>
        <w:t>Kyle Main</w:t>
      </w:r>
    </w:p>
    <w:p>
      <w:pPr>
        <w:spacing w:before="0" w:after="160" w:line="240" w:lineRule="auto"/>
      </w:pPr>
      <w:r>
        <w:rPr>
          <w:sz w:val="19"/>
        </w:rPr>
        <w:t>Dallas/Ft. Worth Area  |  469-545-3791  |  main.kyle87@gmail.com</w:t>
      </w:r>
    </w:p>
    <w:p>
      <w:pPr>
        <w:spacing w:before="0" w:after="160" w:line="240" w:lineRule="auto"/>
      </w:pPr>
      <w:r>
        <w:rPr>
          <w:sz w:val="20"/>
        </w:rPr>
        <w:t>August 3, 2026</w:t>
      </w:r>
    </w:p>
    <w:p>
      <w:pPr>
        <w:spacing w:before="0" w:after="160" w:line="276" w:lineRule="auto"/>
      </w:pPr>
      <w:r>
        <w:rPr>
          <w:sz w:val="21"/>
        </w:rPr>
        <w:t>Hiring Team</w:t>
        <w:br/>
        <w:t>OpenAI — Scaling Analytics, Industrial Compute</w:t>
      </w:r>
    </w:p>
    <w:p>
      <w:pPr>
        <w:spacing w:before="0" w:after="160" w:line="276" w:lineRule="auto"/>
      </w:pPr>
      <w:r>
        <w:rPr>
          <w:sz w:val="21"/>
        </w:rPr>
        <w:t>I've spent 12 years solving the exact problem underneath this role: connecting fragmented, heterogeneous systems into data that engineering and planning teams can actually trust and use — just applied to security telemetry instead of CPU and storage infrastructure. The underlying engineering is the same.</w:t>
      </w:r>
    </w:p>
    <w:p>
      <w:pPr>
        <w:spacing w:before="0" w:after="160" w:line="276" w:lineRule="auto"/>
      </w:pPr>
      <w:r>
        <w:rPr>
          <w:sz w:val="21"/>
        </w:rPr>
        <w:t>At Trend Micro/Cysiv, I owned data engineering for a next-gen cloud SIEM pulling in 220+ unique, heterogeneous log sources — designing a Common Information Model that gave every source a consistent representation of field names and types, and owning connector/collector health monitoring and troubleshooting to keep those integrations reliable in production. I also built reusable backend integrations against a dozen-plus SIEM and security platforms through their native REST APIs as part of a broader orchestration framework, including API token/role governance and multithreaded parallel execution — the same shape of work as connecting CPU/storage data across internal platforms, vendor APIs, and capacity systems. On the batch-processing side, I built a homegrown Apache Beam program run on GCP Dataflow to reliably retrieve large volumes of historical cold-storage data on demand, and used PySpark/SparkSQL on GCP Dataproc clusters for large-scale data analysis.</w:t>
      </w:r>
    </w:p>
    <w:p>
      <w:pPr>
        <w:spacing w:before="0" w:after="160" w:line="276" w:lineRule="auto"/>
      </w:pPr>
      <w:r>
        <w:rPr>
          <w:sz w:val="21"/>
        </w:rPr>
        <w:t>I'm comfortable navigating unfamiliar codebases and systems to figure out where a new integration should live, and I've built the data-quality and reconciliation monitoring that catches missing or inconsistent data before it reaches downstream consumers — direct experience with the reliability discipline this role needs applied to infrastructure data at scale.</w:t>
      </w:r>
    </w:p>
    <w:p>
      <w:pPr>
        <w:spacing w:before="0" w:after="160" w:line="276" w:lineRule="auto"/>
      </w:pPr>
      <w:r>
        <w:rPr>
          <w:sz w:val="21"/>
        </w:rPr>
        <w:t>I'd welcome the chance to talk through how that background applies to building out data integrations for Industrial Compute's CPU and storage platforms.</w:t>
      </w:r>
    </w:p>
    <w:p>
      <w:pPr>
        <w:spacing w:before="0" w:after="0" w:line="276" w:lineRule="auto"/>
      </w:pPr>
      <w:r>
        <w:rPr>
          <w:sz w:val="21"/>
        </w:rPr>
        <w:t>Kyle Main</w:t>
      </w:r>
    </w:p>
    <w:sectPr w:rsidR="00FC693F" w:rsidRPr="0006063C" w:rsidSect="00034616">
      <w:pgSz w:w="12240" w:h="15840"/>
      <w:pgMar w:top="720" w:right="864" w:bottom="720" w:left="8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color w:val="1A1A1A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