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August 3, 2026</w:t>
      </w:r>
    </w:p>
    <w:p>
      <w:pPr>
        <w:spacing w:before="0" w:after="160" w:line="276" w:lineRule="auto"/>
      </w:pPr>
      <w:r>
        <w:rPr>
          <w:sz w:val="21"/>
        </w:rPr>
        <w:t>Hiring Team</w:t>
        <w:br/>
        <w:t>OpenAI</w:t>
      </w:r>
    </w:p>
    <w:p>
      <w:pPr>
        <w:spacing w:before="0" w:after="160" w:line="276" w:lineRule="auto"/>
      </w:pPr>
      <w:r>
        <w:rPr>
          <w:sz w:val="21"/>
        </w:rPr>
        <w:t>I'd like to bring my data engineering background to People Innovation Labs' work building the pipelines and canonical datasets that will power products like OpenHouse and the People Analytics function's day-to-day work.</w:t>
      </w:r>
    </w:p>
    <w:p>
      <w:pPr>
        <w:spacing w:before="0" w:after="160" w:line="276" w:lineRule="auto"/>
      </w:pPr>
      <w:r>
        <w:rPr>
          <w:sz w:val="21"/>
        </w:rPr>
        <w:t>As one of the earliest engineers at Cysiv, a cybersecurity startup later acquired by Trend Micro and then Forescout, I built the data engineering foundation for our entire analytics platform from scratch: ingestion and pipelining for 220+ unique data sources, 50+ parsing/normalization filters, and a Common Information Model — a canonical data dictionary standardizing field names and types across every pipeline we ran. That last piece maps directly onto this role's charge to develop canonical datasets tracking key people and product metrics. I also built a homegrown Apache Beam program run on GCP Dataflow to retrieve large volumes of historical cold-storage data, and ran exploratory data analysis at scale on GCP Dataproc clusters using PySpark and SparkSQL — the same distributed-processing muscle this role calls for with Spark.</w:t>
      </w:r>
    </w:p>
    <w:p>
      <w:pPr>
        <w:spacing w:before="0" w:after="160" w:line="276" w:lineRule="auto"/>
      </w:pPr>
      <w:r>
        <w:rPr>
          <w:sz w:val="21"/>
        </w:rPr>
        <w:t>Throughout my career I've served as the primary data engineer on small, fast-moving teams, working cross-functionally with data science, product, and business stakeholders to turn raw, high-volume data into reliable, fault-tolerant systems those teams could trust for decision-making — including sustained ownership of data-quality monitoring, alerting, and the security/integrity/compliance posture of the data itself. I'd bring that same ownership mindset to building the data systems behind People Innovation Labs' products.</w:t>
      </w:r>
    </w:p>
    <w:p>
      <w:pPr>
        <w:spacing w:before="0" w:after="160" w:line="276" w:lineRule="auto"/>
      </w:pPr>
      <w:r>
        <w:rPr>
          <w:sz w:val="21"/>
        </w:rPr>
        <w:t>I'd welcome the opportunity to talk through how this experience applies to building OpenAI's people data platform.</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