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color w:val="2C3E50"/>
          <w:sz w:val="40"/>
        </w:rPr>
        <w:t>Kyle Main</w:t>
      </w:r>
    </w:p>
    <w:p>
      <w:pPr>
        <w:spacing w:before="0" w:after="160" w:line="240" w:lineRule="auto"/>
      </w:pPr>
      <w:r>
        <w:rPr>
          <w:sz w:val="19"/>
        </w:rPr>
        <w:t>Dallas/Ft. Worth Area  |  469-545-3791  |  main.kyle87@gmail.com</w:t>
      </w:r>
    </w:p>
    <w:p>
      <w:pPr>
        <w:spacing w:before="0" w:after="160" w:line="240" w:lineRule="auto"/>
      </w:pPr>
      <w:r>
        <w:rPr>
          <w:sz w:val="20"/>
        </w:rPr>
        <w:t>August 3, 2026</w:t>
      </w:r>
    </w:p>
    <w:p>
      <w:pPr>
        <w:spacing w:before="0" w:after="160" w:line="276" w:lineRule="auto"/>
      </w:pPr>
      <w:r>
        <w:rPr>
          <w:sz w:val="21"/>
        </w:rPr>
        <w:t>Digital Risk Protection Hiring Team</w:t>
        <w:br/>
        <w:t>Recorded Future</w:t>
      </w:r>
    </w:p>
    <w:p>
      <w:pPr>
        <w:spacing w:before="0" w:after="160" w:line="276" w:lineRule="auto"/>
      </w:pPr>
      <w:r>
        <w:rPr>
          <w:sz w:val="21"/>
        </w:rPr>
        <w:t>Data convergence across disparate risk data streams is a problem I've solved from the ground up before: as an early hire building a next-gen SIEM, I owned the data engineering layer for 220+ distinct, messy sources, including a Common Information Model that standardized field names and types across every one of them so every downstream consumer — dashboards, detection rules, analytics — could build on one consistent schema instead of managing 220 different ones. That's the exact discipline aligning and ingesting Malicious Sites, Identity, and Surface Web data into a unified Digital Risk Protection system and Intelligence Graph requires.</w:t>
      </w:r>
    </w:p>
    <w:p>
      <w:pPr>
        <w:spacing w:before="0" w:after="160" w:line="276" w:lineRule="auto"/>
      </w:pPr>
      <w:r>
        <w:rPr>
          <w:sz w:val="21"/>
        </w:rPr>
        <w:t>Elasticsearch has been the core platform underneath nearly all of that work — across three consecutive employers I've written and tuned ES queries and transforms, deployed Beats for collection, built native ES detection rules and Kibana dashboards, and worked directly against the ES API for cluster and index management, not just through a UI. I've paired that with production GCP pipeline work (Dataproc, Dataflow via a homegrown Apache Beam program, PySpark/SparkSQL) and a strong Python foundation for the statistical and ML techniques this role calls for. I've also run point on integrating threat intelligence directly into detection and analytics content — using actor and campaign context to tune rule logic and speed triage — which maps directly onto the kind of digital risk data Recorded Future's Intelligence Graph is built to explain.</w:t>
      </w:r>
    </w:p>
    <w:p>
      <w:pPr>
        <w:spacing w:before="0" w:after="160" w:line="276" w:lineRule="auto"/>
      </w:pPr>
      <w:r>
        <w:rPr>
          <w:sz w:val="21"/>
        </w:rPr>
        <w:t>I'd welcome the chance to bring that pipeline-ownership, Elasticsearch depth, and threat-intelligence background to Recorded Future's Digital Risk Protection team.</w:t>
      </w:r>
    </w:p>
    <w:p>
      <w:pPr>
        <w:spacing w:before="0" w:after="0" w:line="276" w:lineRule="auto"/>
      </w:pPr>
      <w:r>
        <w:rPr>
          <w:sz w:val="21"/>
        </w:rPr>
        <w:t>Kyle Main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