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pPr>
      <w:r>
        <w:rPr>
          <w:b/>
          <w:color w:val="2C3E50"/>
          <w:sz w:val="40"/>
        </w:rPr>
        <w:t>Kyle Main</w:t>
      </w:r>
    </w:p>
    <w:p>
      <w:pPr>
        <w:spacing w:before="0" w:after="160" w:line="240" w:lineRule="auto"/>
      </w:pPr>
      <w:r>
        <w:rPr>
          <w:sz w:val="19"/>
        </w:rPr>
        <w:t>Dallas/Ft. Worth Area  |  469-545-3791  |  main.kyle87@gmail.com</w:t>
      </w:r>
    </w:p>
    <w:p>
      <w:pPr>
        <w:spacing w:before="0" w:after="160" w:line="240" w:lineRule="auto"/>
      </w:pPr>
      <w:r>
        <w:rPr>
          <w:sz w:val="20"/>
        </w:rPr>
        <w:t>August 3, 2026</w:t>
      </w:r>
    </w:p>
    <w:p>
      <w:pPr>
        <w:spacing w:before="0" w:after="160" w:line="276" w:lineRule="auto"/>
      </w:pPr>
      <w:r>
        <w:rPr>
          <w:sz w:val="21"/>
        </w:rPr>
        <w:t>Trust Intelligence Platform Hiring Team</w:t>
        <w:br/>
        <w:t>Salesforce</w:t>
      </w:r>
    </w:p>
    <w:p>
      <w:pPr>
        <w:spacing w:before="0" w:after="160" w:line="276" w:lineRule="auto"/>
      </w:pPr>
      <w:r>
        <w:rPr>
          <w:sz w:val="21"/>
        </w:rPr>
        <w:t>Moving detection beyond signatures into probabilistic modeling and unsupervised learning is work I've already been doing for over a decade in production security environments — clustering entities by behavior, surfacing anomalies in time-series data, and building the pipelines that let that content actually ship. I'd like to bring that background to the Lead Machine Learning Engineer role on Salesforce's Trust Intelligence Platform team.</w:t>
      </w:r>
    </w:p>
    <w:p>
      <w:pPr>
        <w:spacing w:before="0" w:after="160" w:line="276" w:lineRule="auto"/>
      </w:pPr>
      <w:r>
        <w:rPr>
          <w:sz w:val="21"/>
        </w:rPr>
        <w:t>At Trend Micro/Cysiv and Forescout, I built unsupervised clustering models to group devices on the network by behavioral feature, and time-series anomaly detection covering authentication patterns and process-chain behavior — production detection content, not research prototypes, running against massive-scale customer telemetry and covering most of the MITRE ATT&amp;CK matrix across 2,300+ individual rules. At DOE/NNSA, I took a vague mandate — give the SOC visibility into unknown threats — and turned it into a concrete system: an unsupervised UEBA detection layer built on Elasticsearch transforms I designed from scratch, exactly the kind of translating-ambiguity-into-a-data-driven-solution this role calls for. All of this exploratory and model-development work ran at scale on GCP Dataproc, PySpark, and SparkSQL.</w:t>
      </w:r>
    </w:p>
    <w:p>
      <w:pPr>
        <w:spacing w:before="0" w:after="160" w:line="276" w:lineRule="auto"/>
      </w:pPr>
      <w:r>
        <w:rPr>
          <w:sz w:val="21"/>
        </w:rPr>
        <w:t>I've also already built the operational discipline this role's MLOps mandate asks for: a multi-SIEM detection-as-code CI/CD pipeline in GitLab, orchestrating rule and content deployment across Splunk, Microsoft Sentinel, Microsoft Defender, Google SecOps, CrowdStrike, and more via their native APIs, with automated testing, staged/safe rollout, and formally tracked quality metrics before anything reaches production — the same rigor that keeps a SOC trusting the models it's given. I've built this as a force multiplier for other engineers, not just for myself, developing reusable per-platform adapters and tooling the whole detection team relies on. My M.S. in Physics underpins the quantitative side of all of it.</w:t>
      </w:r>
    </w:p>
    <w:p>
      <w:pPr>
        <w:spacing w:before="0" w:after="160" w:line="276" w:lineRule="auto"/>
      </w:pPr>
      <w:r>
        <w:rPr>
          <w:sz w:val="21"/>
        </w:rPr>
        <w:t>I'd welcome the chance to bring that same combination of production ML depth and engineering rigor to Salesforce's security data science team.</w:t>
      </w:r>
    </w:p>
    <w:p>
      <w:pPr>
        <w:spacing w:before="0" w:after="0" w:line="276" w:lineRule="auto"/>
      </w:pPr>
      <w:r>
        <w:rPr>
          <w:sz w:val="21"/>
        </w:rPr>
        <w:t>Kyle Main</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