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2C3E50"/>
          <w:sz w:val="40"/>
        </w:rPr>
        <w:t>Kyle Main</w:t>
      </w:r>
    </w:p>
    <w:p>
      <w:pPr>
        <w:spacing w:before="0" w:after="160" w:line="240" w:lineRule="auto"/>
      </w:pPr>
      <w:r>
        <w:rPr>
          <w:sz w:val="19"/>
        </w:rPr>
        <w:t>Dallas/Ft. Worth Area  |  469-545-3791  |  main.kyle87@gmail.com</w:t>
      </w:r>
    </w:p>
    <w:p>
      <w:pPr>
        <w:spacing w:before="0" w:after="160" w:line="240" w:lineRule="auto"/>
      </w:pPr>
      <w:r>
        <w:rPr>
          <w:sz w:val="20"/>
        </w:rPr>
        <w:t>July 30, 2026</w:t>
      </w:r>
    </w:p>
    <w:p>
      <w:pPr>
        <w:spacing w:before="0" w:after="160" w:line="276" w:lineRule="auto"/>
      </w:pPr>
      <w:r>
        <w:rPr>
          <w:sz w:val="21"/>
        </w:rPr>
        <w:t>Security &amp; Corp IT Hiring Team</w:t>
        <w:br/>
        <w:t>Fluidstack</w:t>
      </w:r>
    </w:p>
    <w:p>
      <w:pPr>
        <w:spacing w:before="0" w:after="160" w:line="276" w:lineRule="auto"/>
      </w:pPr>
      <w:r>
        <w:rPr>
          <w:sz w:val="21"/>
        </w:rPr>
        <w:t>Your posting asks for someone who owns a detection engineering program end to end — threat modeling, detection design, deployment, and tuning, with coverage mapped to MITRE ATT&amp;CK and gaps documented rather than assumed away. That is precisely the shape of the work I've been doing for the last eight years.</w:t>
      </w:r>
    </w:p>
    <w:p>
      <w:pPr>
        <w:spacing w:before="0" w:after="160" w:line="276" w:lineRule="auto"/>
      </w:pPr>
      <w:r>
        <w:rPr>
          <w:sz w:val="21"/>
        </w:rPr>
        <w:t>At Trend Micro/Cysiv, I architected a Python-based detection-as-code framework spanning nine SIEM and EDR platforms — Splunk, Sentinel, Defender, Google SecOps, CrowdStrike, SentinelOne, Sumo Logic, XSIAM, and Devo — through a full GitLab CI/CD pipeline with version control, automated tests, and peer-reviewed staged rollout before anything shipped. I created and managed 2,300+ detection rules covering most of the MITRE ATT&amp;CK matrix, with coverage, precision, and false-positive rate tracked and tuned rather than guessed — the difference between a noisy rule and a broken one matters when responders have to trust what pages them.</w:t>
      </w:r>
    </w:p>
    <w:p>
      <w:pPr>
        <w:spacing w:before="0" w:after="160" w:line="276" w:lineRule="auto"/>
      </w:pPr>
      <w:r>
        <w:rPr>
          <w:sz w:val="21"/>
        </w:rPr>
        <w:t>I currently build and tune the Splunk detection content Treasury's SOC runs live incident investigations against, and before that built a security data platform from scratch at DOE/NNSA — ingesting CrowdStrike, Suricata, and Zeek into Elasticsearch and layering UEBA detection content on top with no inherited program to build from. Threat intel informs that tuning directly rather than sitting in a passive feed, and I've shipped production GenAI tooling that cuts manual triage load without adding headcount.</w:t>
      </w:r>
    </w:p>
    <w:p>
      <w:pPr>
        <w:spacing w:before="0" w:after="160" w:line="276" w:lineRule="auto"/>
      </w:pPr>
      <w:r>
        <w:rPr>
          <w:sz w:val="21"/>
        </w:rPr>
        <w:t>I'd welcome the chance to talk through how that combination of detection-as-code ownership, MITRE-mapped coverage, and hands-on SIEM/EDR pipeline health fits the detection engineering work ahead for Fluidstack's Security &amp; Corp IT team.</w:t>
      </w:r>
    </w:p>
    <w:p>
      <w:pPr>
        <w:spacing w:before="0" w:after="0" w:line="276" w:lineRule="auto"/>
      </w:pPr>
      <w:r>
        <w:rPr>
          <w:sz w:val="21"/>
        </w:rPr>
        <w:t>Kyle Main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