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9.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2" w:name="ch:introduction"/>
    <w:p>
      <w:pPr>
        <w:pStyle w:val="Heading1"/>
      </w:pPr>
      <w:r>
        <w:t xml:space="preserve">Introduction</w:t>
      </w:r>
    </w:p>
    <w:bookmarkStart w:id="9" w:name="introduction-outline"/>
    <w:p>
      <w:pPr>
        <w:pStyle w:val="Heading2"/>
      </w:pPr>
      <w:r>
        <w:t xml:space="preserve">Introduction Outline</w:t>
      </w:r>
    </w:p>
    <w:p>
      <w:pPr>
        <w:pStyle w:val="FirstParagraph"/>
      </w:pPr>
      <w:r>
        <w:t xml:space="preserve">The distribution and survival of invertebrate species are governed by a complex interplay of biotic and abiotic factors. For many insects, abiotic conditions such as temperature, humidity, and wind can be primary drivers of behavior, physiology, and habitat selection. Wind, in particular, can influence everything from dispersal and migration to foraging efficiency and predation risk.</w:t>
      </w:r>
    </w:p>
    <w:p>
      <w:pPr>
        <w:pStyle w:val="BodyText"/>
      </w:pPr>
      <w:r>
        <w:t xml:space="preserve">The monarch butterfly (</w:t>
      </w:r>
      <w:r>
        <w:rPr>
          <w:i/>
          <w:iCs/>
        </w:rPr>
        <w:t xml:space="preserve">Danaus plexippus</w:t>
      </w:r>
      <w:r>
        <w:t xml:space="preserve">) presents an excellent system for studying these dynamics. Its diverse life history, which includes distinct breeding and overwintering phases, exposes it to a unique suite of environmental challenges. As a charismatic and threatened species, understanding the factors that limit monarch populations is not only of scientific interest but also critical for effective conservation.</w:t>
      </w:r>
    </w:p>
    <w:p>
      <w:pPr>
        <w:pStyle w:val="BodyText"/>
      </w:pPr>
      <w:r>
        <w:t xml:space="preserve">The overwintering stage, when monarchs form dense aggregations in coastal California and central Mexico, is a period of immense physiological stress where abiotic factors are paramount. During this time, the "microclimate hypothesis" suggests that monarchs select groves that provide a specific suite of conditions necessary for survival: protection from freezing temperatures, access to moisture, dappled sunlight for thermal regulation, and shelter from wind.</w:t>
      </w:r>
    </w:p>
    <w:p>
      <w:pPr>
        <w:pStyle w:val="BodyText"/>
      </w:pPr>
      <w:r>
        <w:t xml:space="preserve">Among the abiotic factors shaping monarch overwintering habitat, wind has emerged as potentially critical yet remains poorly understood. Leong’s influential work (2016) proposed that wind acts as a primary determinant of habitat suitability, specifically asserting that winds exceeding 2 m/s physically disrupt monarch clusters. According to this "disruptive wind hypothesis," such winds dislodge butterflies from their roosts or trigger escape responses, forcing monarchs to expend critical energy reserves needed for winter survival while increasing predation exposure. This 2 m/s threshold has become dogma in monarch conservation, directly informing management guidelines adopted by organizations including the Xerces Society.</w:t>
      </w:r>
    </w:p>
    <w:p>
      <w:pPr>
        <w:pStyle w:val="BodyText"/>
      </w:pPr>
      <w:r>
        <w:t xml:space="preserve">Yet despite its widespread influence on conservation practice, Leong’s hypothesis rests on indirect evidence. The original conclusions derived from comparing wind measurements between occupied and unoccupied roost trees. An observational approach that cannot establish causation or demonstrate actual butterfly responses to wind exposure. No study has directly observed whether monarchs actually abandon roosts when winds exceed 2 m/s, whether such abandonment represents temporary displacement or permanent desertion, or whether the presumed energy costs actually occur. This empirical gap is remarkable given that habitat management decisions affecting millions of conservation dollars assume these wind effects are real.</w:t>
      </w:r>
    </w:p>
    <w:p>
      <w:pPr>
        <w:pStyle w:val="BodyText"/>
      </w:pPr>
      <w:r>
        <w:t xml:space="preserve">Testing the disruptive wind hypothesis requires isolating wind’s effects from confounding environmental drivers. As ectotherms, monarchs depend on solar radiation for flight, with sunlight exposure triggering departures for foraging, water-seeking, or mate-searching. The warming effect of solar radiation itself depends on ambient temperature—direct sunlight enables flight at lower intensities on warm days than cold ones. Without accounting for this temperature-sunlight interaction, any observed correlation between wind and monarch departures could be spurious. Furthermore, wind itself is multidimensional: its potential disruption may depend not only on average speed but also on consistency (sustained winds versus calm periods) and turbulence (gustiness). A meaningful test must therefore examine how different wind characteristics influence monarch behavior while controlling for thermal conditions.</w:t>
      </w:r>
    </w:p>
    <w:p>
      <w:pPr>
        <w:pStyle w:val="BodyText"/>
      </w:pPr>
      <w:r>
        <w:t xml:space="preserve">This study provides the first direct, empirical test of whether wind disrupts overwintering monarch butterflies. Using continuous time-series observations of butterfly behavior within an occupied roost, paired with simultaneous monitoring of wind conditions and thermal variables, we can finally determine whether the foundational assumption underlying current management practices is valid.</w:t>
      </w:r>
    </w:p>
    <w:p>
      <w:pPr>
        <w:pStyle w:val="BodyText"/>
      </w:pPr>
      <w:r>
        <w:t xml:space="preserve">We tested whether wind disrupts overwintering monarch butterflies through a series of hierarchical hypotheses, each building upon the previous findings.</w:t>
      </w:r>
    </w:p>
    <w:p>
      <w:pPr>
        <w:pStyle w:val="BodyText"/>
      </w:pPr>
      <w:r>
        <w:t xml:space="preserve">First, we hypothesized that wind acts as a disruptive force to overwintering monarch butterflies. If true, we predict that monarch abundance at roosts will decrease when exposed to disruptive winds.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bookmarkEnd w:id="9"/>
    <w:bookmarkStart w:id="25" w:name="materials-and-methods"/>
    <w:p>
      <w:pPr>
        <w:pStyle w:val="Heading2"/>
      </w:pPr>
      <w:r>
        <w:t xml:space="preserve">Materials and Methods</w:t>
      </w:r>
    </w:p>
    <w:bookmarkStart w:id="10"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2025a)</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2025a)</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10"/>
    <w:bookmarkStart w:id="11"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1"/>
    <w:bookmarkStart w:id="12"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2"/>
    <w:bookmarkStart w:id="17" w:name="image-analysis"/>
    <w:p>
      <w:pPr>
        <w:pStyle w:val="Heading3"/>
      </w:pPr>
      <w:r>
        <w:t xml:space="preserve">Image Analysis</w:t>
      </w:r>
    </w:p>
    <w:bookmarkStart w:id="13"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2017)</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3"/>
    <w:bookmarkStart w:id="15"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4">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5"/>
    <w:bookmarkStart w:id="16"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6"/>
    <w:bookmarkEnd w:id="17"/>
    <w:bookmarkStart w:id="18"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8"/>
    <w:bookmarkStart w:id="24" w:name="sec:statistical-analysis"/>
    <w:p>
      <w:pPr>
        <w:pStyle w:val="Heading3"/>
      </w:pPr>
      <w:r>
        <w:t xml:space="preserve">Statistical Analysis</w:t>
      </w:r>
    </w:p>
    <w:bookmarkStart w:id="19"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9"/>
    <w:bookmarkStart w:id="20"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20"/>
    <w:bookmarkStart w:id="21"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1"/>
    <w:bookmarkStart w:id="22"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2"/>
    <w:bookmarkStart w:id="23"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3"/>
    <w:bookmarkEnd w:id="24"/>
    <w:bookmarkEnd w:id="25"/>
    <w:bookmarkStart w:id="46" w:name="results"/>
    <w:p>
      <w:pPr>
        <w:pStyle w:val="Heading2"/>
      </w:pPr>
      <w:r>
        <w:t xml:space="preserve">Results</w:t>
      </w:r>
    </w:p>
    <w:bookmarkStart w:id="27" w:name="summary-of-data-and-model-selection"/>
    <w:p>
      <w:pPr>
        <w:pStyle w:val="Heading3"/>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48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1.1</w:t>
        </w:r>
      </w:hyperlink>
      <w:r>
        <w:t xml:space="preserve">). This model accounted for 88% of the model weight (AIC weight = 0.88), with the next-best model (M22) showing substantially less support (ΔAIC = 4.796). Wind variables appeared in only one of the top five models (M24), which included maximum wind speed but performed substantially worse than M23 (ΔAIC = 6.2, AIC weight = 0.04), with the wind effect showing weak evidence of an association (p = 0.218).</w:t>
      </w:r>
    </w:p>
    <w:bookmarkStart w:id="26" w:name="tab:model_selection"/>
    <w:p>
      <w:pPr>
        <w:pStyle w:val="TableCaption"/>
      </w:pPr>
      <w:r>
        <w:t xml:space="preserve">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0.880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0.080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0.040</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26"/>
    <w:bookmarkEnd w:id="27"/>
    <w:bookmarkStart w:id="33" w:name="analysis-of-the-best-fit-model"/>
    <w:p>
      <w:pPr>
        <w:pStyle w:val="Heading3"/>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28"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28"/>
    <w:p>
      <w:pPr>
        <w:pStyle w:val="BodyText"/>
      </w:pPr>
      <w:r>
        <w:t xml:space="preserve">All four predictors in the best-fit model showed significant effects on monarch abundance changes (Figure </w:t>
      </w:r>
      <w:hyperlink w:anchor="fig:partial_effects">
        <w:r>
          <w:rPr>
            <w:rStyle w:val="Hyperlink"/>
          </w:rPr>
          <w:t xml:space="preserve">1.1</w:t>
        </w:r>
      </w:hyperlink>
      <w:r>
        <w:t xml:space="preserve">).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pPr>
        <w:pStyle w:val="BodyText"/>
      </w:pPr>
      <w:r>
        <w:t xml:space="preserve">Time since sunrise revealed a pronounced diurnal pattern (EDF = 4.90, F = 8.90, p &lt; 0.001), capturing cyclical changes in monarch activity throughout the day. Temperature exhibited a complex non-linear relationship (EDF = 3.93, F = 3.23, p = 0.028), with effects peaking at approximately 20°C.</w:t>
      </w:r>
    </w:p>
    <w:bookmarkStart w:id="32" w:name="fig:partial_effects"/>
    <w:p>
      <w:pPr>
        <w:pStyle w:val="CaptionedFigure"/>
      </w:pPr>
      <w:r>
        <w:drawing>
          <wp:inline>
            <wp:extent cx="5334000" cy="4445000"/>
            <wp:effectExtent b="0" l="0" r="0" t="0"/>
            <wp:docPr descr="" title="" id="30" name="Picture"/>
            <a:graphic>
              <a:graphicData uri="http://schemas.openxmlformats.org/drawingml/2006/picture">
                <pic:pic>
                  <pic:nvPicPr>
                    <pic:cNvPr descr="supplemental/results/thesis_exports/figures/combined_partial_effects_2x2_final.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Partial effects of the four significant predictors on monarch abundance change in a 2x2 layout.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bookmarkEnd w:id="32"/>
    <w:bookmarkEnd w:id="33"/>
    <w:bookmarkStart w:id="38" w:name="Xc5a2eb11d52e167f54f18e9aa067b283be40236"/>
    <w:p>
      <w:pPr>
        <w:pStyle w:val="Heading3"/>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w:t>
      </w:r>
    </w:p>
    <w:p>
      <w:pPr>
        <w:pStyle w:val="BodyText"/>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and did not rank among the top candidates. Visually, the relationship between wind and monarch abundance change remained flat across the 2 m/s boundary (Figure </w:t>
      </w:r>
      <w:hyperlink w:anchor="fig:wind_scatter">
        <w:r>
          <w:rPr>
            <w:rStyle w:val="Hyperlink"/>
          </w:rPr>
          <w:t xml:space="preserve">1.2</w:t>
        </w:r>
      </w:hyperlink>
      <w:r>
        <w:t xml:space="preserve">). With mean maximum wind speeds of 2.2 m/s (SD = 1.4 m/s), conditions that should have revealed threshold effects if present, no disruption occurred at or above this boundary.</w:t>
      </w:r>
    </w:p>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1.2</w:t>
        </w:r>
      </w:hyperlink>
      <w:r>
        <w:t xml:space="preserve">).</w:t>
      </w:r>
    </w:p>
    <w:bookmarkStart w:id="37" w:name="fig:wind_scatter"/>
    <w:p>
      <w:pPr>
        <w:pStyle w:val="CaptionedFigure"/>
      </w:pPr>
      <w:r>
        <w:drawing>
          <wp:inline>
            <wp:extent cx="4267200" cy="3200399"/>
            <wp:effectExtent b="0" l="0" r="0" t="0"/>
            <wp:docPr descr="" title="" id="35" name="Picture"/>
            <a:graphic>
              <a:graphicData uri="http://schemas.openxmlformats.org/drawingml/2006/picture">
                <pic:pic>
                  <pic:nvPicPr>
                    <pic:cNvPr descr="supplemental/results/thesis_exports/figures/wind_hypothesis_scatter.png" id="36" name="Picture"/>
                    <pic:cNvPicPr>
                      <a:picLocks noChangeArrowheads="1" noChangeAspect="1"/>
                    </pic:cNvPicPr>
                  </pic:nvPicPr>
                  <pic:blipFill>
                    <a:blip r:embed="rId34"/>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37"/>
    <w:bookmarkEnd w:id="38"/>
    <w:bookmarkStart w:id="40"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1.3</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bookmarkStart w:id="39"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39"/>
    <w:bookmarkEnd w:id="40"/>
    <w:bookmarkStart w:id="45" w:name="model-diagnostics"/>
    <w:p>
      <w:pPr>
        <w:pStyle w:val="Heading3"/>
      </w:pPr>
      <w:r>
        <w:t xml:space="preserve">Model Diagnostics</w:t>
      </w:r>
    </w:p>
    <w:p>
      <w:pPr>
        <w:pStyle w:val="FirstParagraph"/>
      </w:pPr>
      <w:r>
        <w:t xml:space="preserve">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 xml:space="preserve">1.3</w:t>
        </w:r>
      </w:hyperlink>
      <w:r>
        <w:t xml:space="preserve">).</w:t>
      </w:r>
    </w:p>
    <w:bookmarkStart w:id="44" w:name="fig:diagnostics"/>
    <w:p>
      <w:pPr>
        <w:pStyle w:val="CaptionedFigure"/>
      </w:pPr>
      <w:r>
        <w:drawing>
          <wp:inline>
            <wp:extent cx="5334000" cy="2667000"/>
            <wp:effectExtent b="0" l="0" r="0" t="0"/>
            <wp:docPr descr="" title="" id="42" name="Picture"/>
            <a:graphic>
              <a:graphicData uri="http://schemas.openxmlformats.org/drawingml/2006/picture">
                <pic:pic>
                  <pic:nvPicPr>
                    <pic:cNvPr descr="supplemental/results/thesis_exports/figures/combined_diagnostics.png" id="43"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Model diagnostics for M23. Left: Residuals versus fitted values showing banding that reflects the discrete counting method, with smoothed relationship shown in blue. Right: Normal Q-Q plot of model residuals showing reasonable normality with minor tail deviations.</w:t>
      </w:r>
    </w:p>
    <w:bookmarkEnd w:id="44"/>
    <w:bookmarkEnd w:id="45"/>
    <w:bookmarkEnd w:id="46"/>
    <w:bookmarkStart w:id="56" w:name="discussion"/>
    <w:p>
      <w:pPr>
        <w:pStyle w:val="Heading2"/>
      </w:pPr>
      <w:r>
        <w:t xml:space="preserve">Discussion</w:t>
      </w:r>
    </w:p>
    <w:bookmarkStart w:id="47"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w:t>
      </w:r>
      <w:r>
        <w:t xml:space="preserve"> </w:t>
      </w:r>
      <w:r>
        <w:t xml:space="preserve">(Society 2016)</w:t>
      </w:r>
      <w:r>
        <w:t xml:space="preserv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three decades of management guidance.</w:t>
      </w:r>
    </w:p>
    <w:p>
      <w:pPr>
        <w:pStyle w:val="BodyText"/>
      </w:pPr>
      <w:r>
        <w:t xml:space="preserve">The absence of wind effects in our data is particularly striking given that mean maximum wind speeds (2.2 m/s, SD = 1.4) frequently exceeded the proposed threshold. If the disruptive wind hypothesis were valid, we should have observed a clear signal: transitions from aggregated butterflies to zero butterflies, as strictly predicted by the hypothesis. Instead, we observed no change, small changes, or even positive changes in butterfly abundance at wind speeds six times the proposed threshold.</w:t>
      </w:r>
    </w:p>
    <w:p>
      <w:pPr>
        <w:pStyle w:val="BodyText"/>
      </w:pPr>
      <w:r>
        <w:t xml:space="preserve">Importantly, our analysis had adequate statistical power to detect biologically meaningful wind effects. Power analysis demonstrated 87.5% power to detect moderate effect sizes (0.15 standard deviations) and 98.5% power for larger effects (0.20 standard deviations). Among our 48 candidate models, wind appeared in only one of the top five models (M24), where it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complete cluster abandonment above threshold speeds, a large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47"/>
    <w:bookmarkStart w:id="51"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48"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cluster abandonment in our study (F = 19.36, p &lt; 0.001). Butterflies exposed to direct sunlight at the beginning of an observation interval showed the largest decreases in abundance, suggesting that solar radiation rapidly warms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w:t>
      </w:r>
      <w:r>
        <w:t xml:space="preserve"> </w:t>
      </w:r>
      <w:r>
        <w:t xml:space="preserve">(Masters, Malcolm, and Brower 1988)</w:t>
      </w:r>
      <w:r>
        <w:t xml:space="preserve">. This rapid warming capability explains why direct sunlight exposure is such a strong predictor of cluster abandonment, butterflies must quickly respond to avoid overheating.</w:t>
      </w:r>
    </w:p>
    <w:p>
      <w:pPr>
        <w:pStyle w:val="BodyText"/>
      </w:pPr>
      <w:r>
        <w:t xml:space="preserve">The relationship between sunlight and departure represents a key component of the thermoregulatory equation. While monarchs have evolved efficient solar heat absorption capabilities that enable activity during cool conditions, this same efficiency forces them to abandon energetically favorable clustering positions when exposed to direct solar radiation. This trade-off between the benefits of clustering and the thermal constraints imposed by solar exposure may fundamentally shape daily movement patterns at overwintering sites.</w:t>
      </w:r>
    </w:p>
    <w:bookmarkEnd w:id="48"/>
    <w:bookmarkStart w:id="49"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(the known flight threshold), a slight positive association around 20–21°C, and sharp declines above 25°C consistent with thermoregulatory constraints. Given that thermal preferences vary between sites</w:t>
      </w:r>
      <w:r>
        <w:t xml:space="preserve"> </w:t>
      </w:r>
      <w:r>
        <w:t xml:space="preserve">(Saniee and Villablanca 2022)</w:t>
      </w:r>
      <w:r>
        <w:t xml:space="preserve">, these patterns require validation across the overwintering range before we can generalize about monarch thermal preferences.</w:t>
      </w:r>
    </w:p>
    <w:bookmarkEnd w:id="49"/>
    <w:bookmarkStart w:id="50"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p>
    <w:bookmarkEnd w:id="50"/>
    <w:bookmarkEnd w:id="51"/>
    <w:bookmarkStart w:id="52" w:name="study-limitations"/>
    <w:p>
      <w:pPr>
        <w:pStyle w:val="Heading3"/>
      </w:pPr>
      <w:r>
        <w:t xml:space="preserve">Study Limitations</w:t>
      </w:r>
    </w:p>
    <w:p>
      <w:pPr>
        <w:pStyle w:val="FirstParagraph"/>
      </w:pPr>
      <w:r>
        <w:t xml:space="preserve">Several limitations warrant consideration. Our data derive from a single season (2023–2024) at two sites, with historically low monarch abundance preventing temporal replication. Additionally, our counting methodology introduced discretization artifacts that contributed to large confidence intervals for environmental predictors. While we detected strong signals like direct sunlight effects, more subtle relationships require careful interpretation.</w:t>
      </w:r>
    </w:p>
    <w:bookmarkEnd w:id="52"/>
    <w:bookmarkStart w:id="53"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if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w:t>
      </w:r>
    </w:p>
    <w:bookmarkEnd w:id="53"/>
    <w:bookmarkStart w:id="54"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w:t>
      </w:r>
    </w:p>
    <w:p>
      <w:pPr>
        <w:pStyle w:val="BodyText"/>
      </w:pPr>
      <w:r>
        <w:t xml:space="preserve">Second, investigation of social dynamics and positive feedback mechanisms could address unexplained variation in our models. Monarchs may exhibit emergent clustering behaviors where initial settlement increases the probability of others joining, creating self-reinforcing patterns independent of environmental conditions.</w:t>
      </w:r>
    </w:p>
    <w:p>
      <w:pPr>
        <w:pStyle w:val="BodyText"/>
      </w:pPr>
      <w:r>
        <w:t xml:space="preserve">Research should also examine whether our findings extend across the broader overwintering range. Testing these patterns at sites with different tree species, latitudes, and population densities would strengthen conclusions about the generality of wind effects, or their absence.</w:t>
      </w:r>
    </w:p>
    <w:bookmarkEnd w:id="54"/>
    <w:bookmarkStart w:id="55" w:name="conclusions"/>
    <w:p>
      <w:pPr>
        <w:pStyle w:val="Heading3"/>
      </w:pPr>
      <w:r>
        <w:t xml:space="preserve">Conclusions</w:t>
      </w:r>
    </w:p>
    <w:p>
      <w:pPr>
        <w:pStyle w:val="FirstParagraph"/>
      </w:pPr>
      <w:r>
        <w:t xml:space="preserve">Wind did not disrupt monarch clusters even at speeds far exceeding established thresholds. Instead, butterflies responded primarily to thermal conditions, light exposure, and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about three decades of conservation guidance. As monarch populations face continued threats, evidence-based management becomes increasingly critical for conserving the overwintering sites essential for this iconic species.</w:t>
      </w:r>
    </w:p>
    <w:bookmarkEnd w:id="55"/>
    <w:bookmarkEnd w:id="56"/>
    <w:bookmarkStart w:id="71" w:name="references"/>
    <w:p>
      <w:pPr>
        <w:pStyle w:val="Heading2"/>
      </w:pPr>
      <w:r>
        <w:t xml:space="preserve">References</w:t>
      </w:r>
    </w:p>
    <w:bookmarkStart w:id="70" w:name="refs"/>
    <w:bookmarkStart w:id="58" w:name="ref-hristov_estimating_2019"/>
    <w:p>
      <w:pPr>
        <w:pStyle w:val="Bibliography"/>
      </w:pPr>
      <w:r>
        <w:t xml:space="preserve">Hristov, Nickolay I., Dionysios Nikolaidis, Tatjana Y. Hubel, and Louise C. Allen. 2019.</w:t>
      </w:r>
      <w:r>
        <w:t xml:space="preserve"> </w:t>
      </w:r>
      <w:r>
        <w:t xml:space="preserve">“Estimating Overwintering Monarch Butterfly Populations Using Terrestrial</w:t>
      </w:r>
      <w:r>
        <w:t xml:space="preserve"> </w:t>
      </w:r>
      <w:r>
        <w:t xml:space="preserve">LiDAR</w:t>
      </w:r>
      <w:r>
        <w:t xml:space="preserve"> </w:t>
      </w:r>
      <w:r>
        <w:t xml:space="preserve">Scanning.”</w:t>
      </w:r>
      <w:r>
        <w:t xml:space="preserve"> </w:t>
      </w:r>
      <w:r>
        <w:rPr>
          <w:i/>
          <w:iCs/>
        </w:rPr>
        <w:t xml:space="preserve">Frontiers in Ecology and Evolution</w:t>
      </w:r>
      <w:r>
        <w:t xml:space="preserve"> </w:t>
      </w:r>
      <w:r>
        <w:t xml:space="preserve">7.</w:t>
      </w:r>
      <w:r>
        <w:t xml:space="preserve"> </w:t>
      </w:r>
      <w:hyperlink r:id="rId57">
        <w:r>
          <w:rPr>
            <w:rStyle w:val="Hyperlink"/>
          </w:rPr>
          <w:t xml:space="preserve">https://www.frontiersin.org/articles/10.3389/fevo.2019.00266</w:t>
        </w:r>
      </w:hyperlink>
      <w:r>
        <w:t xml:space="preserve">.</w:t>
      </w:r>
    </w:p>
    <w:bookmarkEnd w:id="58"/>
    <w:bookmarkStart w:id="60" w:name="ref-Masters1988_ACNENTPT"/>
    <w:p>
      <w:pPr>
        <w:pStyle w:val="Bibliography"/>
      </w:pPr>
      <w:r>
        <w:t xml:space="preserve">Masters, Alan R., Stephen B. Malcolm, and Lincoln P. Brower. 1988.</w:t>
      </w:r>
      <w:r>
        <w:t xml:space="preserve"> </w:t>
      </w:r>
      <w:r>
        <w:t xml:space="preserve">“Monarch Butterfly (Danaus Plexippus) Thermoregulatory Behavior and Adaptations for Overwintering in Mexico.”</w:t>
      </w:r>
      <w:r>
        <w:t xml:space="preserve"> </w:t>
      </w:r>
      <w:r>
        <w:rPr>
          <w:i/>
          <w:iCs/>
        </w:rPr>
        <w:t xml:space="preserve">Ecology</w:t>
      </w:r>
      <w:r>
        <w:t xml:space="preserve"> </w:t>
      </w:r>
      <w:r>
        <w:t xml:space="preserve">69 (2): 458–67.</w:t>
      </w:r>
      <w:r>
        <w:t xml:space="preserve"> </w:t>
      </w:r>
      <w:hyperlink r:id="rId59">
        <w:r>
          <w:rPr>
            <w:rStyle w:val="Hyperlink"/>
          </w:rPr>
          <w:t xml:space="preserve">https://doi.org/10.2307/1940444</w:t>
        </w:r>
      </w:hyperlink>
      <w:r>
        <w:t xml:space="preserve">.</w:t>
      </w:r>
    </w:p>
    <w:bookmarkEnd w:id="60"/>
    <w:bookmarkStart w:id="62" w:name="ref-Saniee2022_3VN7I68M"/>
    <w:p>
      <w:pPr>
        <w:pStyle w:val="Bibliography"/>
      </w:pPr>
      <w:r>
        <w:t xml:space="preserve">Saniee, Kiana, and Francis Villablanca. 2022.</w:t>
      </w:r>
      <w:r>
        <w:t xml:space="preserve"> </w:t>
      </w:r>
      <w:r>
        <w:t xml:space="preserve">“Hierarchy and Scale Influence the Western Monarch Butterfly Overwintering Microclimate.”</w:t>
      </w:r>
      <w:r>
        <w:t xml:space="preserve"> </w:t>
      </w:r>
      <w:r>
        <w:rPr>
          <w:i/>
          <w:iCs/>
        </w:rPr>
        <w:t xml:space="preserve">Frontiers in Conservation Science</w:t>
      </w:r>
      <w:r>
        <w:t xml:space="preserve"> </w:t>
      </w:r>
      <w:r>
        <w:t xml:space="preserve">3.</w:t>
      </w:r>
      <w:r>
        <w:t xml:space="preserve"> </w:t>
      </w:r>
      <w:hyperlink r:id="rId61">
        <w:r>
          <w:rPr>
            <w:rStyle w:val="Hyperlink"/>
          </w:rPr>
          <w:t xml:space="preserve">https://www.frontiersin.org/articles/10.3389/fcosc.2022.844299</w:t>
        </w:r>
      </w:hyperlink>
      <w:r>
        <w:t xml:space="preserve">.</w:t>
      </w:r>
    </w:p>
    <w:bookmarkEnd w:id="62"/>
    <w:bookmarkStart w:id="64" w:name="ref-Society2016_WFJMUMAD"/>
    <w:p>
      <w:pPr>
        <w:pStyle w:val="Bibliography"/>
      </w:pPr>
      <w:r>
        <w:t xml:space="preserve">Society, Xerces. 2016.</w:t>
      </w:r>
      <w:r>
        <w:t xml:space="preserve"> </w:t>
      </w:r>
      <w:r>
        <w:t xml:space="preserve">“State of the Monarch Overwintering Sites in California.”</w:t>
      </w:r>
      <w:r>
        <w:t xml:space="preserve"> </w:t>
      </w:r>
      <w:hyperlink r:id="rId63">
        <w:r>
          <w:rPr>
            <w:rStyle w:val="Hyperlink"/>
          </w:rPr>
          <w:t xml:space="preserve">https://www.xerces.org/sites/default/files/2018-05/16-015_01_XercesSoc_State-of-Monarch-Overwintering-Sites-in-California_web.pdf</w:t>
        </w:r>
      </w:hyperlink>
      <w:r>
        <w:t xml:space="preserve">.</w:t>
      </w:r>
    </w:p>
    <w:bookmarkEnd w:id="64"/>
    <w:bookmarkStart w:id="65" w:name="ref-xercesProtocolsWesternMonarch2017"/>
    <w:p>
      <w:pPr>
        <w:pStyle w:val="Bibliography"/>
      </w:pPr>
      <w:r>
        <w:t xml:space="preserve">Xerces Society. 2017.</w:t>
      </w:r>
      <w:r>
        <w:t xml:space="preserve"> </w:t>
      </w:r>
      <w:r>
        <w:t xml:space="preserve">“Step-by-Step Western Monarch Thanksgiving Count Monitoring Guide.”</w:t>
      </w:r>
    </w:p>
    <w:bookmarkEnd w:id="65"/>
    <w:bookmarkStart w:id="67" w:name="ref-xercesGuideWesternMonarch2025"/>
    <w:p>
      <w:pPr>
        <w:pStyle w:val="Bibliography"/>
      </w:pPr>
      <w:r>
        <w:t xml:space="preserve">———. 2025a.</w:t>
      </w:r>
      <w:r>
        <w:t xml:space="preserve"> </w:t>
      </w:r>
      <w:r>
        <w:t xml:space="preserve">“Western Monarch Thanksgiving Count and New Year’s Count Data, 1997-2025.”</w:t>
      </w:r>
      <w:r>
        <w:t xml:space="preserve"> </w:t>
      </w:r>
      <w:hyperlink r:id="rId66">
        <w:r>
          <w:rPr>
            <w:rStyle w:val="Hyperlink"/>
          </w:rPr>
          <w:t xml:space="preserve">WesternMonarchCount.com</w:t>
        </w:r>
      </w:hyperlink>
      <w:r>
        <w:t xml:space="preserve">.</w:t>
      </w:r>
    </w:p>
    <w:bookmarkEnd w:id="67"/>
    <w:bookmarkStart w:id="69" w:name="ref-xerces_society_western_2025"/>
    <w:p>
      <w:pPr>
        <w:pStyle w:val="Bibliography"/>
      </w:pPr>
      <w:r>
        <w:t xml:space="preserve">———. 2025b.</w:t>
      </w:r>
      <w:r>
        <w:t xml:space="preserve"> </w:t>
      </w:r>
      <w:r>
        <w:t xml:space="preserve">“Western Monarch Butterfly Population Declines to Near Record Low.”</w:t>
      </w:r>
      <w:r>
        <w:t xml:space="preserve"> </w:t>
      </w:r>
      <w:r>
        <w:t xml:space="preserve">March 6, 2025.</w:t>
      </w:r>
      <w:r>
        <w:t xml:space="preserve"> </w:t>
      </w:r>
      <w:hyperlink r:id="rId68">
        <w:r>
          <w:rPr>
            <w:rStyle w:val="Hyperlink"/>
          </w:rPr>
          <w:t xml:space="preserve">https://www.xerces.org/press/western-monarch-butterfly-population-declines-to-near-record-low</w:t>
        </w:r>
      </w:hyperlink>
      <w:r>
        <w:t xml:space="preserve">.</w:t>
      </w:r>
    </w:p>
    <w:bookmarkEnd w:id="69"/>
    <w:bookmarkEnd w:id="70"/>
    <w:bookmarkEnd w:id="71"/>
    <w:bookmarkEnd w:id="7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hyperlink" Id="rId66" Target="https://WesternMonarchCount.com" TargetMode="External" /><Relationship Type="http://schemas.openxmlformats.org/officeDocument/2006/relationships/hyperlink" Id="rId59" Target="https://doi.org/10.2307/1940444"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61" Target="https://www.frontiersin.org/articles/10.3389/fcosc.2022.844299" TargetMode="External" /><Relationship Type="http://schemas.openxmlformats.org/officeDocument/2006/relationships/hyperlink" Id="rId57" Target="https://www.frontiersin.org/articles/10.3389/fevo.2019.00266" TargetMode="External" /><Relationship Type="http://schemas.openxmlformats.org/officeDocument/2006/relationships/hyperlink" Id="rId68" Target="https://www.xerces.org/press/western-monarch-butterfly-population-declines-to-near-record-low" TargetMode="External" /><Relationship Type="http://schemas.openxmlformats.org/officeDocument/2006/relationships/hyperlink" Id="rId63" Target="https://www.xerces.org/sites/default/files/2018-05/16-015_01_XercesSoc_State-of-Monarch-Overwintering-Sites-in-California_web.pdf" TargetMode="External" /></Relationships>
</file>

<file path=word/_rels/footnotes.xml.rels><?xml version="1.0" encoding="UTF-8"?><Relationships xmlns="http://schemas.openxmlformats.org/package/2006/relationships"><Relationship Type="http://schemas.openxmlformats.org/officeDocument/2006/relationships/hyperlink" Id="rId66" Target="https://WesternMonarchCount.com" TargetMode="External" /><Relationship Type="http://schemas.openxmlformats.org/officeDocument/2006/relationships/hyperlink" Id="rId59" Target="https://doi.org/10.2307/1940444" TargetMode="External" /><Relationship Type="http://schemas.openxmlformats.org/officeDocument/2006/relationships/hyperlink" Id="rId14" Target="https://kylenessen.github.io/monarch_trailcam_classifier/" TargetMode="External" /><Relationship Type="http://schemas.openxmlformats.org/officeDocument/2006/relationships/hyperlink" Id="rId61" Target="https://www.frontiersin.org/articles/10.3389/fcosc.2022.844299" TargetMode="External" /><Relationship Type="http://schemas.openxmlformats.org/officeDocument/2006/relationships/hyperlink" Id="rId57" Target="https://www.frontiersin.org/articles/10.3389/fevo.2019.00266" TargetMode="External" /><Relationship Type="http://schemas.openxmlformats.org/officeDocument/2006/relationships/hyperlink" Id="rId68" Target="https://www.xerces.org/press/western-monarch-butterfly-population-declines-to-near-record-low" TargetMode="External" /><Relationship Type="http://schemas.openxmlformats.org/officeDocument/2006/relationships/hyperlink" Id="rId63" Target="https://www.xerces.org/sites/default/files/2018-05/16-015_01_XercesSoc_State-of-Monarch-Overwintering-Sites-in-California_web.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2025-09-09T05:15:37Z</dcterms:created>
  <dcterms:modified xsi:type="dcterms:W3CDTF">2025-09-09T05:15:37Z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