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F2ADF" w14:textId="77777777" w:rsidR="00992339" w:rsidRDefault="00000000">
      <w:pPr>
        <w:pStyle w:val="Title"/>
      </w:pPr>
      <w:r>
        <w:t>Wind resilience in overwintering monarch butterflies: An empirical test of the microclimate hypothesis</w:t>
      </w:r>
    </w:p>
    <w:p w14:paraId="61BC862D" w14:textId="77777777" w:rsidR="00992339" w:rsidRDefault="00000000">
      <w:pPr>
        <w:pStyle w:val="Author"/>
      </w:pPr>
      <w:r>
        <w:t>Kyle Nessen</w:t>
      </w:r>
    </w:p>
    <w:p w14:paraId="18744C09" w14:textId="77777777" w:rsidR="00992339" w:rsidRDefault="00000000" w:rsidP="00AD46BD">
      <w:pPr>
        <w:pStyle w:val="Heading2"/>
      </w:pPr>
      <w:r>
        <w:t>Abstract</w:t>
      </w:r>
    </w:p>
    <w:p w14:paraId="4095A706" w14:textId="77777777" w:rsidR="00992339" w:rsidRDefault="00000000" w:rsidP="00AD46BD">
      <w:r>
        <w:t>The western monarch butterfly (</w:t>
      </w:r>
      <w:r>
        <w:rPr>
          <w:i/>
          <w:iCs/>
        </w:rPr>
        <w:t>Danaus plexippus</w:t>
      </w:r>
      <w:r>
        <w:t>) population has declined by over 99% since the 1980s, making conservation of overwintering habitat along California’s coast a management priority. For three decades, habitat management has followed the Disruptive Wind Hypothesis, which posits that wind speeds exceeding 2 m/s disrupt butterfly clusters and cause roost abandonment. This threshold has had substantial influence on restoration practices, despite lacking direct empirical validation.</w:t>
      </w:r>
    </w:p>
    <w:p w14:paraId="48355C08" w14:textId="77777777" w:rsidR="00992339" w:rsidRDefault="00000000" w:rsidP="00AD46BD">
      <w:r>
        <w:t>This study provides the first experimental test of wind effects on overwintering monarch clusters. We deployed cameras and wind sensors at two sites on Vandenberg Space Force Base during the 2023-2024 overwintering season, collecting 1,894 paired observations at 30-minute intervals across 78 days. Time-lapse photography documented butterfly abundance while wind sensors at roost height recorded wind conditions.</w:t>
      </w:r>
    </w:p>
    <w:p w14:paraId="42188A5B" w14:textId="77777777" w:rsidR="00992339" w:rsidRDefault="00000000" w:rsidP="00AD46BD">
      <w:r>
        <w:t>Linear regression analysis revealed no significant relationship between wind speed and changes in cluster size at either 30-minute or daily timescales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0.002, p = 0.073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0.013, p = 0.252, respectively). Every day with butterflies </w:t>
      </w:r>
      <w:proofErr w:type="gramStart"/>
      <w:r>
        <w:t>present</w:t>
      </w:r>
      <w:proofErr w:type="gramEnd"/>
      <w:r>
        <w:t xml:space="preserve"> experienced wind speeds exceeding the 2 m/s threshold, yet clusters persisted throughout the monitoring period. Generalized additive mixed models identified temperature, time of day, and an interaction between wind and sunlight as factors influencing cluster behavior (p </w:t>
      </w:r>
      <m:oMath>
        <m:r>
          <m:rPr>
            <m:sty m:val="p"/>
          </m:rPr>
          <w:rPr>
            <w:rFonts w:ascii="Cambria Math" w:hAnsi="Cambria Math"/>
          </w:rPr>
          <m:t>&lt;</m:t>
        </m:r>
      </m:oMath>
      <w:r>
        <w:t xml:space="preserve"> 0.001), but wind alone showed no independent effect. When butterflies remained in shade, wind speed had no effect on cluster behavior across the entire observed range (0 to 12.4 m/s). Effects appeared only when butterflies occupied sunlit positions, suggesting that thermoregulation may be a primary driver of clustering behavior.</w:t>
      </w:r>
    </w:p>
    <w:p w14:paraId="42808AAB" w14:textId="77777777" w:rsidR="00992339" w:rsidRDefault="00000000" w:rsidP="00AD46BD">
      <w:r>
        <w:t>Our findings challenge fundamental assumptions in monarch habitat management. The absence of wind disruption indicates that monarchs may be more resilient to environmental variation than previously believed, with suitable habitat potentially more extensive than currently recognized. Conservation efforts should continue promoting healthy groves while reconsidering strict wind-based management requirements. Future research should investigate canopy structure and resulting light patterns that monarchs may select when choosing roost sites. As western monarch populations continue to face historic lows, evidence-based understanding of overwintering ecology becomes essential for effective conservation.</w:t>
      </w:r>
    </w:p>
    <w:p w14:paraId="4DAD2E93" w14:textId="750E454C" w:rsidR="00AD46BD" w:rsidRPr="00AD46BD" w:rsidRDefault="00AD46BD" w:rsidP="00AD46BD">
      <w:pPr>
        <w:pStyle w:val="Heading2"/>
      </w:pPr>
      <w:r>
        <w:lastRenderedPageBreak/>
        <w:t>Acknowledgments</w:t>
      </w:r>
    </w:p>
    <w:p w14:paraId="58549225" w14:textId="77777777" w:rsidR="00992339" w:rsidRDefault="00000000">
      <w:pPr>
        <w:pStyle w:val="FirstParagraph"/>
      </w:pPr>
      <w:r>
        <w:t>I would like to express my sincere gratitude to my committee for their mentorship, support, and advocacy throughout this thesis. In particular, I thank Dr. Francis Villablanca, who gave his time generously by providing invaluable mentorship on the scientific process.</w:t>
      </w:r>
    </w:p>
    <w:p w14:paraId="3F776EFB" w14:textId="77777777" w:rsidR="00992339" w:rsidRDefault="00000000">
      <w:pPr>
        <w:pStyle w:val="BodyText"/>
      </w:pPr>
      <w:r>
        <w:t>This research benefited immensely from the “Super Study” group, whose many meetings provided excellent feedback and insights at all stages of my project. I thank Emma Pelton, Peter Ibsen, Jay Diffendorfer, Jessica Griffiths, Ashley Fisher, Sara Cuadra-Vargas, Charis van der Heide, Stephanie Little, and Ray Danner for their collaboration and expertise. Emma Pelton was instrumental in gathering these experts together, securing funding for my project, and initially seeding the idea for this study. Peter Ibsen and Jay Diffendorfer at USGS provided crucial funding support and valuable feedback throughout. Jessica Griffiths was instrumental in securing site access at Vandenberg Space Force Base, helping select study sites, and interpreting results. Ashley Fisher provided extensive discussions about monarch ecology and field assistance.</w:t>
      </w:r>
    </w:p>
    <w:p w14:paraId="63E96F58" w14:textId="77777777" w:rsidR="00992339" w:rsidRDefault="00000000">
      <w:pPr>
        <w:pStyle w:val="BodyText"/>
      </w:pPr>
      <w:r>
        <w:t>I am deeply grateful to my undergraduate research assistants who conducted all photo labeling and provided essential field assistance: Skyler Meinholz, Vincent Rios, Emery Doornbos, and Kevin Untalan. Their dedication and hard work made this research possible.</w:t>
      </w:r>
    </w:p>
    <w:p w14:paraId="0D616CD9" w14:textId="77777777" w:rsidR="00992339" w:rsidRDefault="00000000">
      <w:pPr>
        <w:pStyle w:val="BodyText"/>
      </w:pPr>
      <w:r>
        <w:t>I thank LynneDee Althouse, Dan Meade, Stu Weiss, and Charis van der Heide, along with the many wonderful people at Althouse and Meade, Inc., for their collaboration and mentorship during my early monarch work, which laid the foundation for this thesis.</w:t>
      </w:r>
    </w:p>
    <w:p w14:paraId="6D996731" w14:textId="77777777" w:rsidR="00992339" w:rsidRDefault="00000000">
      <w:pPr>
        <w:pStyle w:val="BodyText"/>
      </w:pPr>
      <w:r>
        <w:t>I thank my family and friends for their unwavering support and encouragement as I changed careers to pursue this project, especially my wife, Emily Nessen, whose patience and encouragement sustained me throughout.</w:t>
      </w:r>
    </w:p>
    <w:p w14:paraId="3118C301" w14:textId="77777777" w:rsidR="00992339" w:rsidRDefault="00000000">
      <w:pPr>
        <w:pStyle w:val="BodyText"/>
      </w:pPr>
      <w:r>
        <w:t>This research was made possible through generous funding from The Xerces Society for Invertebrate Conservation, US Forest Service International Programs, Department of Defense Legacy Resource Management Program, and the United States Geological Survey.</w:t>
      </w:r>
    </w:p>
    <w:p w14:paraId="351977BE" w14:textId="08898FFE" w:rsidR="00AD46BD" w:rsidRDefault="00AD46BD" w:rsidP="00AD46BD">
      <w:pPr>
        <w:pStyle w:val="Heading2"/>
      </w:pPr>
      <w:r>
        <w:t>Dedication</w:t>
      </w:r>
    </w:p>
    <w:p w14:paraId="2CFF4588" w14:textId="67B37028" w:rsidR="00992339" w:rsidRDefault="00000000" w:rsidP="00AD46BD">
      <w:pPr>
        <w:pStyle w:val="BodyText"/>
      </w:pPr>
      <w:r>
        <w:t>In memory of Dan Meade, who revealed the fascinating mysteries of monarch butterflies to me and provided the rare freedom to explore them. His patience, generosity, and belief in my ideas helped make this research possible.</w:t>
      </w:r>
      <w:bookmarkStart w:id="0" w:name="section"/>
    </w:p>
    <w:p w14:paraId="581B3C82" w14:textId="77777777" w:rsidR="00992339" w:rsidRDefault="00000000">
      <w:pPr>
        <w:pStyle w:val="Heading2"/>
      </w:pPr>
      <w:bookmarkStart w:id="1" w:name="ch:introduction"/>
      <w:r>
        <w:t>Introduction</w:t>
      </w:r>
    </w:p>
    <w:p w14:paraId="27ED39B8" w14:textId="77777777" w:rsidR="00992339" w:rsidRDefault="00000000">
      <w:pPr>
        <w:pStyle w:val="FirstParagraph"/>
      </w:pPr>
      <w:r>
        <w:t>The distribution and survival of invertebrate species are governed by a complex interplay of biotic and abiotic factors. While biotic interactions influence community assembly in part through predation, competition, and parasitism (Blois-Heulin et al. 1990; Lafferty and Shaw 2013; Miller-ter Kuile et al. 2022), abiotic conditions often set the fundamental limits determining where invertebrates can persist. Temperature constrains invertebrate physiology across all latitudes, from Antarctic midges (</w:t>
      </w:r>
      <w:r>
        <w:rPr>
          <w:i/>
          <w:iCs/>
        </w:rPr>
        <w:t>Belgica antarctica</w:t>
      </w:r>
      <w:r>
        <w:t xml:space="preserve">) that survive </w:t>
      </w:r>
      <w:r>
        <w:lastRenderedPageBreak/>
        <w:t>freeze-thaw cycles through cryoprotective dehydration (Everatt et al. 2015), to desert land snails (</w:t>
      </w:r>
      <w:r>
        <w:rPr>
          <w:i/>
          <w:iCs/>
        </w:rPr>
        <w:t>Sphincterochila boissieri</w:t>
      </w:r>
      <w:r>
        <w:t>) that tolerate 55°C through metabolic downregulation (Schweizer, Triebskorn, and Köhler 2019). Rising temperatures directly increase metabolic rates and respiratory water loss, creating compound stress that limits activity windows (Chown, Sørensen, and Terblanche 2011). Solar radiation drives both direct physiological impacts and behavioral responses. Army ants demonstrate habitat-specific evolution of thermal maxima tied to insolation exposure (Baudier et al. 2018), while terrestrial gastropods climb vertical surfaces to escape ground-level heat and evolve reflective pigmentation in exposed populations (Schweizer, Triebskorn, and Köhler 2019).</w:t>
      </w:r>
    </w:p>
    <w:p w14:paraId="52CC104C" w14:textId="77777777" w:rsidR="00992339" w:rsidRDefault="00000000">
      <w:pPr>
        <w:pStyle w:val="BodyText"/>
      </w:pPr>
      <w:r>
        <w:t>Wind influences invertebrate behavior and ecology through diverse mechanisms that vary across species, exhibiting remarkably specific wind detection thresholds and behavioral responses. Cockroaches (</w:t>
      </w:r>
      <w:r>
        <w:rPr>
          <w:i/>
          <w:iCs/>
        </w:rPr>
        <w:t>Periplaneta americana</w:t>
      </w:r>
      <w:r>
        <w:t>) perceive air currents as low as 0.015–0.03 m/s, demonstrating predictable orientation shifts from upwind movement at low velocities to downwind escape at higher speeds (Bell and Kramer 1979). Mosquito flight activity shows sensitivity to even light winds, with trap catches declining 75% when wind speeds approach their normal flight velocity of 1.0 m/s, effectively grounding entire populations (Bidlingmayer, Day, and Evans 1995). Some species exploit wind for dispersal through specific behavioral triggers, such as spiders exhibiting stereotypic ‘tiptoe’ behavior to initiate ballooning when wind conditions permit controlled trajectories (Bonte and Lens 2007). Others respond to wind as an environmental stressor requiring active avoidance. Herbivorous larvae like the mad hatterpillar (</w:t>
      </w:r>
      <w:r>
        <w:rPr>
          <w:i/>
          <w:iCs/>
        </w:rPr>
        <w:t>Uraba lugens</w:t>
      </w:r>
      <w:r>
        <w:t>) treat moderate winds of 3 m/s as disturbance cues, triggering increased movement to stable microsites on branches and behavioral shifts to leeward sides and abaxial leaf surfaces for protection (Leonard, McArthur, and Hochuli 2016). Underlying many of these behavioral responses are the fundamental thermal and hydric effects of wind, as convective cooling from air movement significantly alters heat and water exchange between organisms and their environment, particularly when interacting with solar radiation (Riddell and Porter 2025).</w:t>
      </w:r>
    </w:p>
    <w:p w14:paraId="799A263F" w14:textId="77777777" w:rsidR="00992339" w:rsidRDefault="00000000">
      <w:pPr>
        <w:pStyle w:val="BodyText"/>
      </w:pPr>
      <w:r>
        <w:t xml:space="preserve">Beyond direct physical effects, invertebrates detect wind through indirect sensory pathways. The Namib desert beetle </w:t>
      </w:r>
      <w:r>
        <w:rPr>
          <w:i/>
          <w:iCs/>
        </w:rPr>
        <w:t>Lepidochora discoidalis</w:t>
      </w:r>
      <w:r>
        <w:t xml:space="preserve"> perceives substrate vibrations when winds exceeding 5 m/s lift sand grains, using these cues to time surface foraging when detritus becomes concentrated (Hanrahan and and Kirchner 1997). The katydid </w:t>
      </w:r>
      <w:r>
        <w:rPr>
          <w:i/>
          <w:iCs/>
        </w:rPr>
        <w:t>Copiphora brevirostris</w:t>
      </w:r>
      <w:r>
        <w:t xml:space="preserve"> adjusts vibratory communication to avoid wind-induced noise, concentrating signaling between 2:00 and 5:00 AM when winds are calmest and exploiting short-term lulls during gusty periods (Velilla et al. 2020). This complexity in wind-organism interactions becomes particularly evident when examining species that must navigate multiple life stages with different environmental exposures.</w:t>
      </w:r>
    </w:p>
    <w:p w14:paraId="29BA3BA5" w14:textId="77777777" w:rsidR="00992339" w:rsidRDefault="00000000">
      <w:pPr>
        <w:pStyle w:val="BodyText"/>
      </w:pPr>
      <w:r>
        <w:t>The monarch butterfly (</w:t>
      </w:r>
      <w:r>
        <w:rPr>
          <w:i/>
          <w:iCs/>
        </w:rPr>
        <w:t>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 (L. Brower 1995; Solensky 2004; S. Jepsen et al. 2015). North America is home to two populations of monarchs separated by the Rocky Mountains: a larger Eastern population and a Western </w:t>
      </w:r>
      <w:r>
        <w:lastRenderedPageBreak/>
        <w:t>population (Cockrell, Malcolm, and Brower 1993; S. Jepsen et al. 2015; Freedman et al. 2021). In spring, the overwintered generation migrates northward from their wintering sites to the southern United States where they breed and die. Their offspring and subsequent generations continue breeding and progressively colonizing northward throughout spring and summer, with multiple short-lived generations (2–5 weeks) breeding across an expanding range (Zalucki 1982; Cockrell, Malcolm, and Brower 1993). Females lay eggs exclusively on milkweed (</w:t>
      </w:r>
      <w:r>
        <w:rPr>
          <w:i/>
          <w:iCs/>
        </w:rPr>
        <w:t>Asclepias</w:t>
      </w:r>
      <w:r>
        <w:t xml:space="preserve"> spp.), the larval host plant. This successive breeding and northward expansion builds the population through three to four generations, until late summer when environmental cues such as shortening day length and cooling temperatures trigger the emergence of the migratory generation (Reppert and de Roode 2018; Goehring and Oberhauser 2002; Herman and Tatar 2001; Barker and Herman 1976). These migratory adults exhibit a unique phenotype: they enter a state of reproductive diapause (suspended reproduction) and possess elongated wings suited for long-distance travel (Barker and Herman 1976; Yang et al. 2016; Tuskes and Brower 1978).</w:t>
      </w:r>
    </w:p>
    <w:p w14:paraId="688EED0D" w14:textId="77777777" w:rsidR="00992339" w:rsidRDefault="00000000">
      <w:pPr>
        <w:pStyle w:val="BodyText"/>
      </w:pPr>
      <w:r>
        <w:t>The fall migration begins as these long-lived adults (6–8 months) orient themselves southward, flying up to thousands of kilometers, nectaring at flowers along their route to build the lipid reserves needed for the long overwintering period (Herman and Tatar 2001; Chaplin and Wells 1982; Urquhart and Urquhart 1978). Navigational feats are guided by a sophisticated system that includes a time-compensated sun compass residing in the antennae, allowing them to maintain direction throughout the day (Mouritsen and Frost 2002; Nguyen et al. 2021). Eastern monarchs travel to the high-altitude oyamel fir (</w:t>
      </w:r>
      <w:r>
        <w:rPr>
          <w:i/>
          <w:iCs/>
        </w:rPr>
        <w:t>Abies religiosa</w:t>
      </w:r>
      <w:r>
        <w:t>) forests in central Mexico, while the Western population migrates to overwintering groves located along the Pacific coast of California (L. Brower 1995; Urquhart and Urquhart 1978).</w:t>
      </w:r>
    </w:p>
    <w:p w14:paraId="4E28E9D5" w14:textId="77777777" w:rsidR="00992339" w:rsidRDefault="00000000">
      <w:pPr>
        <w:pStyle w:val="BodyText"/>
      </w:pPr>
      <w:r>
        <w:t xml:space="preserve">The overwintering period, lasting roughly from mid-October through mid-March, represents an important phase of the annual migration where the entire North American population concentrates into remarkably small, forested areas (Solensky 2004; Vidal and Rendón-Salinas 2014; S. J. Jepsen and Black 2015). During these months, monarchs must survive exclusively on lipid reserves accumulated during the autumn migration while maintaining precise thermoregulatory balance (Chaplin and Wells 1982; Masters, Malcolm, and Brower 1988). As ectotherms, monarchs face a fundamental trade-off: they must maintain body temperatures cool enough to conserve energy through metabolic suppression, yet warm enough to permit essential daily movement (Masters, Malcolm, and Brower 1988; Chaplin and Wells 1982; Kammer 1970; Alonso-Mejia and Arellano-Guillermo 1992). The flight threshold, established at 12.7-16.0°C for Eastern populations, represents the minimum thoracic temperature required for powered flight (Masters, Malcolm, and Brower 1988). Below this threshold, monarchs employ behavioral thermoregulation through dorsal basking, which can elevate body temperature to flight capability within 30 seconds of sun exposure, or through energetically costly shivering that consumes energy 25 times faster than resting (Masters, Malcolm, and Brower 1988). Conversely, temperatures above 20°C risk terminating reproductive diapause and triggering premature remigration, while direct sun exposure can rapidly elevate thoracic temperatures to 33.6°C, forcing butterflies to adopt sun-minimizing postures or engage in heat-dissipating flights (Barker and Herman </w:t>
      </w:r>
      <w:r>
        <w:lastRenderedPageBreak/>
        <w:t>1976, 1976). This delicate energetic balance means that monarchs selecting overwintering sites must find locations that minimize both freezing risk and elevated metabolic expenditure (Masters, Malcolm, and Brower 1988; Alonso-Mejia and Arellano-Guillermo 1992; Calvert, Zuchowski, and Brower 1983).</w:t>
      </w:r>
    </w:p>
    <w:p w14:paraId="129F6F9E" w14:textId="77777777" w:rsidR="00992339" w:rsidRDefault="00000000">
      <w:pPr>
        <w:pStyle w:val="BodyText"/>
      </w:pPr>
      <w:r>
        <w:t xml:space="preserve">Building on early studies from Mexican overwintering sites that identified abiotic factors limiting butterfly survival, Leong proposed the microclimate hypothesis for western monarchs overwintering in California (Kingston L. H. Leong 1990). This hypothesis posited that monarchs select clustering locations within groves based on a measurable microenvironmental envelope characterized by four key parameters: wind protection below 2 m/s ( 5 mph) to prevent cluster disruption, cool temperatures maintaining reproductive diapause while avoiding freezing mortality, dappled sunlight enabling behavioral thermoregulation, and high humidity with accessible moisture to prevent desiccation (Kingston L. H. Leong 1990; Kingston L. H. Leong et al. 1991). Wind emerged as particularly critical in this framework, though these conclusions derived from correlational measurements rather than direct behavioral observations. Leong’s initial studies measured wind speeds at trees with and without butterfly clusters, while noting that “during winter storms, the butterflies clustered on those few trees that offered the greatest protection against winds of 2 m/s or greater” (Kingston L. H. Leong 1990), though the highest wind speed measured in this study was 1.66 m/s. Based on these correlational patterns, Leong reported that “butterflies cluster in areas of the grove that offer exposure to filtered sunlight and shelter from strong wind movement” (Kingston L. H. Leong et al. 1991). In later publications, Leong described increasingly dramatic wind effects through anecdotal observations, noting that “roosting butterflies were blown from their clusters or dislodged by excessive branch movements (shaking) caused by winds exceeding 2 m/sec” and that “upon dislodgment, the butterflies flew to and resettled on foliage of trees that offered better shelter from strong winds” (K. L. H. Leong 1999). When storm winds coincided with cold morning temperatures below 15°C, “the dislodged butterflies would be blown to the ground and remain there until temperatures reached flight threshold,” with “butterflies littering the ground at the base of roosting trees” commonly observed after winter storms (K. L. H. Leong 1999). Despite originating from correlational field measurements and anecdotal observations, this hypothesis gained widespread acceptance and directly informed management guidelines at multiple levels. Leong’s 2016 synthesis for California Department of Fish and Wildlife formally established that “winds </w:t>
      </w:r>
      <m:oMath>
        <m:r>
          <m:rPr>
            <m:sty m:val="p"/>
          </m:rPr>
          <w:rPr>
            <w:rFonts w:ascii="Cambria Math" w:hAnsi="Cambria Math"/>
          </w:rPr>
          <m:t>≥</m:t>
        </m:r>
      </m:oMath>
      <w:r>
        <w:t xml:space="preserve"> 2 m/s are disruptive to the aggregating butterflies by blowing them from their roosting branches or dislodging them by shaking the branches,” and that when subjected to such winds above flight threshold, butterflies “either flew to a more sheltered area of the grove or, if no refuge area was available, abandoned the grove temporarily or for the remainder of the season” (Kingston L. H. Leong 2016). The microclimate hypothesis thus dictated that successful overwintering sites must consistently exhibit this specific suite of conditions, particularly wind protection from </w:t>
      </w:r>
      <m:oMath>
        <m:r>
          <m:rPr>
            <m:sty m:val="p"/>
          </m:rPr>
          <w:rPr>
            <w:rFonts w:ascii="Cambria Math" w:hAnsi="Cambria Math"/>
          </w:rPr>
          <m:t>≥</m:t>
        </m:r>
      </m:oMath>
      <w:r>
        <w:t xml:space="preserve"> 2 m/s wind speed, implying that these abiotic parameters should guide habitat restoration efforts, a principle now widely adopted in monarch conservation plans (Xerces Society 2016; S. Jepsen et al. 2017; E. Pelton 2020; Stuart B. Weiss and Rich 2008; Althouse &amp; Meade, Inc. and Creekside Science 2023).</w:t>
      </w:r>
    </w:p>
    <w:p w14:paraId="0989AEB5" w14:textId="77777777" w:rsidR="00992339" w:rsidRDefault="00000000">
      <w:pPr>
        <w:pStyle w:val="BodyText"/>
      </w:pPr>
      <w:r>
        <w:lastRenderedPageBreak/>
        <w:t>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 (Saniee and Villablanca 2022). Temperature responses proved more complex than originally proposed, with monarchs avoiding freezing temperatures but selecting the warmest of cold temperatures available at their latitude (Fisher et al. 2018). Humidity requirements showed geographic variability rather than consistency (Saniee and Villablanca 2022). Of the four original parameters, only light exposure showed potential support as a unifying factor, with successful overwintering sites exhibiting consistent patterns of canopy openness (Saniee and Villablanca 2022; Stuart B. Weiss et al. 1991). This geographic variability in microclimate preferences, where selection occurs hierarchically across multiple spatial scales rather than for a single environmental envelope, fundamentally contradicts Leong’s original hypothesis (Fisher et al. 2018; Saniee and Villablanca 2022).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14:paraId="020012F9" w14:textId="77777777" w:rsidR="00992339" w:rsidRDefault="00000000">
      <w:pPr>
        <w:pStyle w:val="BodyText"/>
      </w:pPr>
      <w:r>
        <w:t>Among the four parameters of Leong’s microclimate hypothesis, wind disruption stands apart as the only major component that has never undergone direct empirical testing of butterfly behavioral responses. Despite widespread adoption of the 2 m/s wind protection threshold in restoration efforts, no study has established causal relationships between wind exposure and butterfly behavior (Xerces Society 2018; S. Jepsen et al. 2017; Althouse &amp; Meade, Inc. and Creekside Science 2023; U.S. Fish and Wildlife Service 2024; Stuart B. Weiss 2018; Kingston L. H. Leong 2016).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14:paraId="57E49D4B" w14:textId="77777777" w:rsidR="00992339" w:rsidRDefault="00000000">
      <w:pPr>
        <w:pStyle w:val="BodyText"/>
      </w:pPr>
      <w:r>
        <w:t xml:space="preserve">The absence of empirical testing for the wind disruption component of the microclimate hypothesis becomes critically important given the catastrophic decline of western monarch populations. Between the 1980s and mid-2010s, populations collapsed by approximately 97% (Schultz et al. 2017), with population viability analyses revealing a 72% quasi-extinction risk within 20 years (Schultz et al. 2017). The winter 2018 to 2019 count recorded fewer than 30,000 monarchs, a single-year drop of 86%, representing over 99% decline from 1980s abundance (E. M. Pelton et al. 2019). The situation reached its most critical state in 2020 when the Western Monarch Thanksgiving Count documented only 1,901 butterflies, the lowest number ever recorded (Xerces Society 2025a). While populations showed some recovery in subsequent years, the 2024 to 2025 count of just 9,119 butterflies represents the second-lowest count on record, demonstrating the population’s continued precarity (Xerces Society 2025a). These dramatic declines result from multiple interacting stressors including breeding habitat loss, pesticide exposure, climate change, and critically, the loss and degradation of overwintering habitat (Crone et al. 2019; E. M. Pelton et al. 2019). Evidence increasingly suggests that the overwintering </w:t>
      </w:r>
      <w:r>
        <w:lastRenderedPageBreak/>
        <w:t>stage represents the most limiting phase of the monarch’s annual cycle, with population declines concentrated during winter and early spring periods (E. M. Pelton et al. 2019; Marini and Zalucki 2017). California’s coastal overwintering groves, where the entire western population concentrates into small forested areas from October through March, have thus emerged as the focal point of conservation priorities. Yet management of these critical sites continues to rely on the untested wind disruption component of the microclimate hypothesis, with restoration efforts investing millions of conservation dollars based on the presumed necessity of maintaining wind speeds below 2 m/s (Althouse &amp; Meade, Inc. and Creekside Science 2023; The Monarch Press 2019).</w:t>
      </w:r>
    </w:p>
    <w:p w14:paraId="787320FC" w14:textId="77777777" w:rsidR="00992339" w:rsidRDefault="00000000">
      <w:pPr>
        <w:pStyle w:val="BodyText"/>
      </w:pPr>
      <w:r>
        <w:t>Testing the wind disruption component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 (Masters, Malcolm, and Brower 1988; Kammer 1970). Temperature independently influences activity patterns, with monarchs exhibiting predictable responses as temperatures approach and exceed flight thresholds (Barker and Herman 1976). Time of day creates inherent activity rhythms related to sun angle and thermal conditions (Mouritsen and Frost 2002). Furthermore, wind itself is multidimensional, characterized not only by average speed but also by gustiness and variability (Nathan et al. 2005) 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14:paraId="73C5531D" w14:textId="77777777" w:rsidR="00992339" w:rsidRDefault="00000000">
      <w:pPr>
        <w:pStyle w:val="BodyText"/>
      </w:pPr>
      <w:r>
        <w:t>This study provides the first direct empirical test of whether wind disrupts overwintering monarch butterflies. Our primary objective was to evaluate the 2 m/s wind disruption threshold that has guided over three decades of conservation practice.</w:t>
      </w:r>
    </w:p>
    <w:p w14:paraId="74126B34" w14:textId="77777777" w:rsidR="00992339" w:rsidRDefault="00000000">
      <w:pPr>
        <w:pStyle w:val="BodyText"/>
      </w:pPr>
      <w:r>
        <w:t>First, we hypothesized that wind, alongside other environmental factors, predicts butterfly abundance at overwintering clusters. If true, we predict that wind will emerge as a significant predictor of abundance changes, with monarch abundance decreasing when exposed to higher wind speeds.</w:t>
      </w:r>
    </w:p>
    <w:p w14:paraId="01A7AAD9" w14:textId="77777777" w:rsidR="00992339" w:rsidRDefault="00000000">
      <w:pPr>
        <w:pStyle w:val="BodyText"/>
      </w:pPr>
      <w:r>
        <w:t>Second, we hypothesized that wind becomes disruptive above a specific threshold of 2 m/s. If this threshold represents a meaningful biological boundary, we predict that monarch abundance will decline at roosts experiencing winds exceeding 2 m/s.</w:t>
      </w:r>
    </w:p>
    <w:p w14:paraId="1851EB2D" w14:textId="77777777" w:rsidR="00992339" w:rsidRDefault="00000000">
      <w:pPr>
        <w:pStyle w:val="BodyText"/>
      </w:pPr>
      <w:r>
        <w:t>Third, we hypothesized that wind’s disruptive effects scale with intensity. If disruption increases with wind speed, we predict proportionally greater decreases in monarch abundance as wind speeds rise above the threshold.</w:t>
      </w:r>
    </w:p>
    <w:p w14:paraId="19B7D480" w14:textId="77777777" w:rsidR="00992339" w:rsidRDefault="00000000">
      <w:pPr>
        <w:pStyle w:val="BodyText"/>
      </w:pPr>
      <w:r>
        <w:t xml:space="preserve">Finally, we hypothesized that experiencing disruptive winds affects monarch site fidelity. If wind disruption influences future roost selection, we predict decreased site fidelity </w:t>
      </w:r>
      <w:r>
        <w:lastRenderedPageBreak/>
        <w:t>manifested as sustained abundance reductions at wind-disturbed roosts compared to pre-disturbance levels.</w:t>
      </w:r>
    </w:p>
    <w:p w14:paraId="3C5FE57D" w14:textId="77777777" w:rsidR="00992339" w:rsidRDefault="00000000">
      <w:pPr>
        <w:pStyle w:val="Heading2"/>
      </w:pPr>
      <w:bookmarkStart w:id="2" w:name="materials-and-methods"/>
      <w:bookmarkEnd w:id="1"/>
      <w:r>
        <w:t>Materials and Methods</w:t>
      </w:r>
    </w:p>
    <w:p w14:paraId="45F3CA55" w14:textId="77777777" w:rsidR="00992339" w:rsidRDefault="00000000">
      <w:pPr>
        <w:pStyle w:val="Heading3"/>
      </w:pPr>
      <w:bookmarkStart w:id="3" w:name="study-site"/>
      <w:r>
        <w:t>Study Site</w:t>
      </w:r>
    </w:p>
    <w:p w14:paraId="34A5FFE9" w14:textId="77777777" w:rsidR="00992339" w:rsidRDefault="00000000">
      <w:pPr>
        <w:pStyle w:val="FirstParagraph"/>
      </w:pPr>
      <w:r>
        <w:t>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Eucalyptus globulus</w:t>
      </w:r>
      <w:r>
        <w:t>) that have created suitable overwintering habitat throughout the installation, and restricted access that provided security for long-term equipment deployment. The military base contains thirty documented monarch overwintering groves, with several sites consistently ranking within the top 10% of population counts statewide over the past decade (Xerces Society 2025b).</w:t>
      </w:r>
    </w:p>
    <w:p w14:paraId="5F577019" w14:textId="77777777" w:rsidR="00992339" w:rsidRDefault="00000000">
      <w:pPr>
        <w:pStyle w:val="BodyText"/>
      </w:pPr>
      <w:r>
        <w:t>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 (Xerces Society 2025b). From these twelve candidate sites, we deployed monitoring equipment at ten unique locations across both study seasons: four sites during the 2023-2024 season and ten sites during the 2024-2025 season. However, due to low monarch populations during the 2023-2024 season and no observed overwintering behavior in the 2024-2025 season, only two sites (Spring Canyon and UDMH) produced measurable butterfly clusters suitable for our study.</w:t>
      </w:r>
    </w:p>
    <w:p w14:paraId="387462D9" w14:textId="77777777" w:rsidR="00992339" w:rsidRDefault="00000000">
      <w:pPr>
        <w:pStyle w:val="BodyText"/>
      </w:pPr>
      <w:r>
        <w:t>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14:paraId="6400EAA8" w14:textId="77777777" w:rsidR="00992339" w:rsidRDefault="00000000">
      <w:pPr>
        <w:pStyle w:val="BodyText"/>
      </w:pPr>
      <w:r>
        <w:t>The second site,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2022 count and ranking among the base’s highest population sites.</w:t>
      </w:r>
    </w:p>
    <w:p w14:paraId="12372858" w14:textId="77777777" w:rsidR="00992339" w:rsidRDefault="00000000">
      <w:pPr>
        <w:pStyle w:val="Heading3"/>
      </w:pPr>
      <w:bookmarkStart w:id="4" w:name="monitoring-strategy"/>
      <w:bookmarkEnd w:id="3"/>
      <w:r>
        <w:lastRenderedPageBreak/>
        <w:t>Monitoring Strategy</w:t>
      </w:r>
    </w:p>
    <w:p w14:paraId="69136E5D" w14:textId="77777777" w:rsidR="00992339" w:rsidRDefault="00000000">
      <w:pPr>
        <w:pStyle w:val="FirstParagraph"/>
      </w:pPr>
      <w:r>
        <w:t>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In the 2024-2025 season, no monarchs were recorded at these anticipatory deployment sites; consequently, these data are excluded from analysis.</w:t>
      </w:r>
    </w:p>
    <w:p w14:paraId="297DE10B" w14:textId="77777777" w:rsidR="00992339" w:rsidRDefault="00000000">
      <w:pPr>
        <w:pStyle w:val="BodyText"/>
      </w:pPr>
      <w:r>
        <w:t>Building on insights from the 2023-2024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 (Xerces Society 2025b), resulting in no observed clustering behavior at any of the ten monitored locations. Consequently, our analysis focuses exclusively on data collected during the 2023-2024 season.</w:t>
      </w:r>
    </w:p>
    <w:p w14:paraId="5D2F351E" w14:textId="77777777" w:rsidR="00992339" w:rsidRDefault="00000000">
      <w:pPr>
        <w:pStyle w:val="Heading3"/>
      </w:pPr>
      <w:bookmarkStart w:id="5" w:name="field-equipment"/>
      <w:bookmarkEnd w:id="4"/>
      <w:r>
        <w:t>Field Equipment</w:t>
      </w:r>
    </w:p>
    <w:p w14:paraId="77159CBB" w14:textId="77777777" w:rsidR="00992339" w:rsidRDefault="00000000">
      <w:pPr>
        <w:pStyle w:val="FirstParagraph"/>
      </w:pPr>
      <w:r>
        <w:t>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14:paraId="132AB429" w14:textId="77777777" w:rsidR="00992339" w:rsidRDefault="00000000">
      <w:pPr>
        <w:pStyle w:val="BodyText"/>
      </w:pPr>
      <w:r>
        <w:t>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14:paraId="684E56E5" w14:textId="77777777" w:rsidR="00992339" w:rsidRDefault="00000000">
      <w:pPr>
        <w:pStyle w:val="BodyText"/>
      </w:pPr>
      <w:r>
        <w:t>We monitored monarch abundance using modified trail cameras (GardePro E7 and E8, Shenzhen, China) configured for near-infrared imaging to enhance contrast between clustering butterflies and surrounding vegetation. Trail cameras were selected for their durability for extended field deployment, native time-lapse functionality, and modification potential. Near-infrared wavelength selection followed previous literature demonstrating effectiveness for butterfly population estimation (Hristov et al. 2019).</w:t>
      </w:r>
    </w:p>
    <w:p w14:paraId="20686C68" w14:textId="77777777" w:rsidR="00992339" w:rsidRDefault="00000000">
      <w:pPr>
        <w:pStyle w:val="BodyText"/>
      </w:pPr>
      <w:r>
        <w:lastRenderedPageBreak/>
        <w:t>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14:paraId="611383C2" w14:textId="77777777" w:rsidR="00992339" w:rsidRDefault="00000000">
      <w:pPr>
        <w:pStyle w:val="BodyText"/>
      </w:pPr>
      <w:r>
        <w:t>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14:paraId="44B2893C" w14:textId="77777777" w:rsidR="00992339" w:rsidRDefault="00000000">
      <w:pPr>
        <w:pStyle w:val="BodyText"/>
      </w:pPr>
      <w:r>
        <w:t>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14:paraId="1047A1E2" w14:textId="77777777" w:rsidR="00992339" w:rsidRDefault="00000000">
      <w:pPr>
        <w:pStyle w:val="BodyText"/>
      </w:pPr>
      <w:r>
        <w:t>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14:paraId="271A21D6" w14:textId="77777777" w:rsidR="00992339" w:rsidRDefault="00000000">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w:t>
      </w:r>
      <w:r>
        <w:lastRenderedPageBreak/>
        <w:t>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p w14:paraId="3090D434" w14:textId="77777777" w:rsidR="00992339" w:rsidRDefault="00000000">
      <w:pPr>
        <w:pStyle w:val="Heading3"/>
      </w:pPr>
      <w:bookmarkStart w:id="6" w:name="image-analysis"/>
      <w:bookmarkEnd w:id="5"/>
      <w:r>
        <w:t>Image Analysis</w:t>
      </w:r>
    </w:p>
    <w:p w14:paraId="3F2990FA" w14:textId="77777777" w:rsidR="00992339" w:rsidRDefault="00000000">
      <w:pPr>
        <w:pStyle w:val="Heading4"/>
      </w:pPr>
      <w:bookmarkStart w:id="7" w:name="grid-based-counting-method"/>
      <w:r>
        <w:t>Grid-based Counting Method</w:t>
      </w:r>
    </w:p>
    <w:p w14:paraId="38ABA89A" w14:textId="77777777" w:rsidR="00992339" w:rsidRDefault="00000000">
      <w:pPr>
        <w:pStyle w:val="FirstParagraph"/>
      </w:pPr>
      <w:r>
        <w:t>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 (Xerces Society 2018).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14:paraId="2C6FF75C" w14:textId="77777777" w:rsidR="00992339" w:rsidRDefault="00000000">
      <w:pPr>
        <w:pStyle w:val="BodyText"/>
      </w:pPr>
      <w:r>
        <w:t>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p w14:paraId="5E714EF9" w14:textId="77777777" w:rsidR="00992339" w:rsidRDefault="00000000">
      <w:pPr>
        <w:pStyle w:val="Heading4"/>
      </w:pPr>
      <w:bookmarkStart w:id="8" w:name="counting-protocol"/>
      <w:bookmarkEnd w:id="7"/>
      <w:r>
        <w:t>Counting Protocol</w:t>
      </w:r>
    </w:p>
    <w:p w14:paraId="3BEF9C65" w14:textId="77777777" w:rsidR="00992339" w:rsidRDefault="00000000">
      <w:pPr>
        <w:pStyle w:val="FirstParagraph"/>
      </w:pPr>
      <w:r>
        <w:t>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5">
        <w:r>
          <w:rPr>
            <w:rStyle w:val="Hyperlink"/>
          </w:rPr>
          <w:t>https://kylenessen.github.io/monarch_trailcam_classifier/</w:t>
        </w:r>
      </w:hyperlink>
      <w:r>
        <w:t>). The protocol prioritized efficiency while maintaining consistency across observers.</w:t>
      </w:r>
    </w:p>
    <w:p w14:paraId="724FA4C8" w14:textId="77777777" w:rsidR="00992339" w:rsidRDefault="00000000">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w:t>
      </w:r>
      <w:r>
        <w:lastRenderedPageBreak/>
        <w:t>categories across the time series, we consistently applied the lower estimate to maintain conservative abundance estimates.</w:t>
      </w:r>
    </w:p>
    <w:p w14:paraId="7471818B" w14:textId="77777777" w:rsidR="00992339" w:rsidRDefault="00000000">
      <w:pPr>
        <w:pStyle w:val="BodyText"/>
      </w:pPr>
      <w:r>
        <w:t>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14:paraId="4183991F" w14:textId="77777777" w:rsidR="00992339" w:rsidRDefault="00000000">
      <w:pPr>
        <w:pStyle w:val="BodyText"/>
      </w:pPr>
      <w:r>
        <w:t>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p w14:paraId="70961C31" w14:textId="77777777" w:rsidR="00992339" w:rsidRDefault="00000000">
      <w:pPr>
        <w:pStyle w:val="Heading4"/>
      </w:pPr>
      <w:bookmarkStart w:id="9" w:name="abundance-calculation"/>
      <w:bookmarkEnd w:id="8"/>
      <w:r>
        <w:t>Abundance Calculation</w:t>
      </w:r>
    </w:p>
    <w:p w14:paraId="49C46D26" w14:textId="77777777" w:rsidR="00992339" w:rsidRDefault="00000000">
      <w:pPr>
        <w:pStyle w:val="FirstParagraph"/>
      </w:pPr>
      <w:r>
        <w:t>We calculated an abundance index for each frame by summing the products of cell counts and their assigned category values across all grid cells, employing conservative estimates using minimum values within each order-of-magnitude category:</w:t>
      </w:r>
    </w:p>
    <w:p w14:paraId="0F9C337C" w14:textId="77777777" w:rsidR="00992339" w:rsidRDefault="00000000">
      <w:pPr>
        <w:pStyle w:val="BodyText"/>
      </w:pPr>
      <m:oMathPara>
        <m:oMathParaPr>
          <m:jc m:val="center"/>
        </m:oMathParaPr>
        <m:oMath>
          <m:r>
            <m:rPr>
              <m:nor/>
            </m:rPr>
            <m:t>Abundance index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766FC601" w14:textId="77777777" w:rsidR="00992339" w:rsidRDefault="00000000">
      <w:pPr>
        <w:pStyle w:val="FirstParagraph"/>
      </w:pPr>
      <w:r>
        <w:t xml:space="preserve">where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represents the number of cells in category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represents the conservative estimate for that category. We used minimum category values (</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 xml:space="preserve"> for category 1–9, </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r>
          <w:rPr>
            <w:rFonts w:ascii="Cambria Math" w:hAnsi="Cambria Math"/>
          </w:rPr>
          <m:t>10</m:t>
        </m:r>
      </m:oMath>
      <w:r>
        <w:t xml:space="preserve"> for category 10–99, and </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r>
          <w:rPr>
            <w:rFonts w:ascii="Cambria Math" w:hAnsi="Cambria Math"/>
          </w:rPr>
          <m:t>100</m:t>
        </m:r>
      </m:oMath>
      <w:r>
        <w:t xml:space="preserve"> for category 100–999) rather than midpoint or maximum values to ensure temporal analyses reflected genuine population shifts rather than estimation uncertainty.</w:t>
      </w:r>
    </w:p>
    <w:p w14:paraId="390C09C7" w14:textId="77777777" w:rsidR="00992339" w:rsidRDefault="00000000">
      <w:pPr>
        <w:pStyle w:val="Heading3"/>
      </w:pPr>
      <w:bookmarkStart w:id="10" w:name="temperature-data-extraction"/>
      <w:bookmarkEnd w:id="6"/>
      <w:bookmarkEnd w:id="9"/>
      <w:r>
        <w:t>Temperature Data Extraction</w:t>
      </w:r>
    </w:p>
    <w:p w14:paraId="1DDFE30C" w14:textId="77777777" w:rsidR="00992339" w:rsidRDefault="00000000">
      <w:pPr>
        <w:pStyle w:val="FirstParagraph"/>
      </w:pPr>
      <w:r>
        <w:t>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14:paraId="31160F57" w14:textId="77777777" w:rsidR="00992339" w:rsidRDefault="00000000">
      <w:pPr>
        <w:pStyle w:val="BodyText"/>
      </w:pPr>
      <w:r>
        <w:t xml:space="preserve">Following initial automated extraction, we manually reviewed and corrected edge cases where OCR failed or produced anomalous values. All temperature data underwent </w:t>
      </w:r>
      <w:r>
        <w:lastRenderedPageBreak/>
        <w:t>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p w14:paraId="36573720" w14:textId="77777777" w:rsidR="00992339" w:rsidRDefault="00000000">
      <w:pPr>
        <w:pStyle w:val="Heading3"/>
      </w:pPr>
      <w:bookmarkStart w:id="11" w:name="sec:statistical-analysis"/>
      <w:bookmarkEnd w:id="10"/>
      <w:r>
        <w:t>Statistical Analysis</w:t>
      </w:r>
    </w:p>
    <w:p w14:paraId="4AEA9B25" w14:textId="77777777" w:rsidR="00992339" w:rsidRDefault="00000000">
      <w:pPr>
        <w:pStyle w:val="Heading4"/>
      </w:pPr>
      <w:bookmarkStart w:id="12" w:name="data-preparation"/>
      <w:r>
        <w:t>Data Preparation</w:t>
      </w:r>
    </w:p>
    <w:p w14:paraId="254EB016" w14:textId="77777777" w:rsidR="00992339" w:rsidRDefault="00000000">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 </w:t>
      </w:r>
      <m:oMath>
        <m:r>
          <w:rPr>
            <w:rFonts w:ascii="Cambria Math" w:hAnsi="Cambria Math"/>
          </w:rPr>
          <m:t>t</m:t>
        </m:r>
      </m:oMath>
      <w:r>
        <w:t xml:space="preserve"> with counts at time </w:t>
      </w:r>
      <m:oMath>
        <m:r>
          <w:rPr>
            <w:rFonts w:ascii="Cambria Math" w:hAnsi="Cambria Math"/>
          </w:rPr>
          <m:t>t</m:t>
        </m:r>
        <m:r>
          <m:rPr>
            <m:sty m:val="p"/>
          </m:rPr>
          <w:rPr>
            <w:rFonts w:ascii="Cambria Math" w:hAnsi="Cambria Math"/>
          </w:rPr>
          <m:t>-</m:t>
        </m:r>
        <m:r>
          <w:rPr>
            <w:rFonts w:ascii="Cambria Math" w:hAnsi="Cambria Math"/>
          </w:rPr>
          <m:t>30</m:t>
        </m:r>
      </m:oMath>
      <w:r>
        <w:t xml:space="preserve"> 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 </w:t>
      </w:r>
      <m:oMath>
        <m:r>
          <w:rPr>
            <w:rFonts w:ascii="Cambria Math" w:hAnsi="Cambria Math"/>
          </w:rPr>
          <m:t>y</m:t>
        </m:r>
        <m:r>
          <m:rPr>
            <m:sty m:val="p"/>
          </m:rPr>
          <w:rPr>
            <w:rFonts w:ascii="Cambria Math" w:hAnsi="Cambria Math"/>
          </w:rPr>
          <m:t>=</m:t>
        </m:r>
        <m:r>
          <m:rPr>
            <m:nor/>
          </m:rPr>
          <m:t>sign</m:t>
        </m:r>
        <m:r>
          <m:rPr>
            <m:sty m:val="p"/>
          </m:rPr>
          <w:rPr>
            <w:rFonts w:ascii="Cambria Math" w:hAnsi="Cambria Math"/>
          </w:rPr>
          <m:t>(Δ)×|Δ</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sup>
        </m:sSup>
      </m:oMath>
      <w:r>
        <w:t xml:space="preserve">, where </w:t>
      </w:r>
      <m:oMath>
        <m:r>
          <m:rPr>
            <m:sty m:val="p"/>
          </m:rPr>
          <w:rPr>
            <w:rFonts w:ascii="Cambria Math" w:hAnsi="Cambria Math"/>
          </w:rPr>
          <m:t>Δ</m:t>
        </m:r>
      </m:oMath>
      <w:r>
        <w:t xml:space="preserve"> 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p w14:paraId="56C60712" w14:textId="77777777" w:rsidR="00992339" w:rsidRDefault="00000000">
      <w:pPr>
        <w:pStyle w:val="Heading4"/>
      </w:pPr>
      <w:bookmarkStart w:id="13" w:name="variable-selection"/>
      <w:bookmarkEnd w:id="12"/>
      <w:r>
        <w:t>Variable Selection</w:t>
      </w:r>
    </w:p>
    <w:p w14:paraId="060A1788" w14:textId="77777777" w:rsidR="00992339" w:rsidRDefault="00000000">
      <w:pPr>
        <w:pStyle w:val="FirstParagraph"/>
      </w:pPr>
      <w:r>
        <w:t>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w:rPr>
            <w:rFonts w:ascii="Cambria Math" w:hAnsi="Cambria Math"/>
          </w:rPr>
          <m:t>r</m:t>
        </m:r>
        <m:r>
          <m:rPr>
            <m:sty m:val="p"/>
          </m:rPr>
          <w:rPr>
            <w:rFonts w:ascii="Cambria Math" w:hAnsi="Cambria Math"/>
          </w:rPr>
          <m:t>&gt;</m:t>
        </m:r>
        <m:r>
          <w:rPr>
            <w:rFonts w:ascii="Cambria Math" w:hAnsi="Cambria Math"/>
          </w:rPr>
          <m:t>0.75</m:t>
        </m:r>
      </m:oMath>
      <w:r>
        <w:t>).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p w14:paraId="4C3575A7" w14:textId="77777777" w:rsidR="00992339" w:rsidRDefault="00000000">
      <w:pPr>
        <w:pStyle w:val="Heading4"/>
      </w:pPr>
      <w:bookmarkStart w:id="14" w:name="model-framework"/>
      <w:bookmarkEnd w:id="13"/>
      <w:r>
        <w:lastRenderedPageBreak/>
        <w:t>Model Framework</w:t>
      </w:r>
    </w:p>
    <w:p w14:paraId="39EF58D1" w14:textId="77777777" w:rsidR="00992339" w:rsidRDefault="00000000">
      <w:pPr>
        <w:pStyle w:val="FirstParagraph"/>
      </w:pPr>
      <w:r>
        <w:t>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14:paraId="2E2F18E7" w14:textId="77777777" w:rsidR="00992339" w:rsidRDefault="00000000">
      <w:pPr>
        <w:pStyle w:val="BodyText"/>
      </w:pPr>
      <w:r>
        <w:t>To test specifically for threshold effects at the proposed 2 m/s disruptive wind speed, we conducted a threshold wind disruption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p w14:paraId="5FDB1AA0" w14:textId="77777777" w:rsidR="00992339" w:rsidRDefault="00000000">
      <w:pPr>
        <w:pStyle w:val="Heading4"/>
      </w:pPr>
      <w:bookmarkStart w:id="15" w:name="model-validation"/>
      <w:bookmarkEnd w:id="14"/>
      <w:r>
        <w:t>Model Validation</w:t>
      </w:r>
    </w:p>
    <w:p w14:paraId="73995B9E" w14:textId="77777777" w:rsidR="00992339" w:rsidRDefault="00000000">
      <w:pPr>
        <w:pStyle w:val="FirstParagraph"/>
      </w:pPr>
      <w:r>
        <w:t>Model assumptions were verified through standard residual diagnostics including examination of residual distributions, fitted versus residual plots, and quantile-quantile plots. Convergence was confirmed for all candidate models in both the primary and threshold wind disruption analyses. Model performance and predictor significance were evaluated through AIC comparison, with models differing by less than 2 AIC units considered equivalent.</w:t>
      </w:r>
    </w:p>
    <w:p w14:paraId="5D5CA107" w14:textId="77777777" w:rsidR="00992339" w:rsidRDefault="00000000">
      <w:pPr>
        <w:pStyle w:val="Heading4"/>
      </w:pPr>
      <w:bookmarkStart w:id="16" w:name="statistical-power-analysis"/>
      <w:bookmarkEnd w:id="15"/>
      <w:r>
        <w:t>Statistical Power Analysis</w:t>
      </w:r>
    </w:p>
    <w:p w14:paraId="459A6149" w14:textId="77777777" w:rsidR="00992339" w:rsidRDefault="00000000">
      <w:pPr>
        <w:pStyle w:val="FirstParagraph"/>
      </w:pPr>
      <w:r>
        <w:t>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w:rPr>
            <w:rFonts w:ascii="Cambria Math" w:hAnsi="Cambria Math"/>
          </w:rPr>
          <m:t>α</m:t>
        </m:r>
        <m:r>
          <m:rPr>
            <m:sty m:val="p"/>
          </m:rPr>
          <w:rPr>
            <w:rFonts w:ascii="Cambria Math" w:hAnsi="Cambria Math"/>
          </w:rPr>
          <m:t>=</m:t>
        </m:r>
        <m:r>
          <w:rPr>
            <w:rFonts w:ascii="Cambria Math" w:hAnsi="Cambria Math"/>
          </w:rPr>
          <m:t>0.05</m:t>
        </m:r>
      </m:oMath>
      <w:r>
        <w:t>). This simulation approach accounts for the complexity of our GAMM framework and hierarchical data structure, providing robust estimates of statistical power for detecting wind effects across a range of biologically plausible magnitudes.</w:t>
      </w:r>
    </w:p>
    <w:p w14:paraId="4E92FBE5" w14:textId="77777777" w:rsidR="00992339" w:rsidRDefault="00000000">
      <w:pPr>
        <w:pStyle w:val="Heading4"/>
      </w:pPr>
      <w:bookmarkStart w:id="17" w:name="dynamic-window-analysis"/>
      <w:bookmarkEnd w:id="16"/>
      <w:r>
        <w:lastRenderedPageBreak/>
        <w:t>Dynamic Window Analysis</w:t>
      </w:r>
    </w:p>
    <w:p w14:paraId="77D659E1" w14:textId="77777777" w:rsidR="00992339" w:rsidRDefault="00000000">
      <w:pPr>
        <w:pStyle w:val="FirstParagraph"/>
      </w:pPr>
      <w:r>
        <w:t>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14:paraId="7542F6D5" w14:textId="77777777" w:rsidR="00992339" w:rsidRDefault="00000000">
      <w:pPr>
        <w:pStyle w:val="BodyText"/>
      </w:pPr>
      <w:r>
        <w:t>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14:paraId="25045160" w14:textId="77777777" w:rsidR="00992339" w:rsidRDefault="00000000">
      <w:pPr>
        <w:pStyle w:val="BodyText"/>
      </w:pPr>
      <w:r>
        <w:t>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14:paraId="31B29D6D" w14:textId="77777777" w:rsidR="00992339" w:rsidRDefault="00000000">
      <w:pPr>
        <w:pStyle w:val="BodyText"/>
      </w:pPr>
      <w:r>
        <w:t>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14:paraId="2C4E385D" w14:textId="77777777" w:rsidR="00992339" w:rsidRDefault="00000000">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 </w:t>
      </w:r>
      <m:oMath>
        <m:r>
          <w:rPr>
            <w:rFonts w:ascii="Cambria Math" w:hAnsi="Cambria Math"/>
          </w:rPr>
          <m:t>r</m:t>
        </m:r>
        <m:r>
          <m:rPr>
            <m:sty m:val="p"/>
          </m:rPr>
          <w:rPr>
            <w:rFonts w:ascii="Cambria Math" w:hAnsi="Cambria Math"/>
          </w:rPr>
          <m:t>&gt;</m:t>
        </m:r>
        <m:r>
          <w:rPr>
            <w:rFonts w:ascii="Cambria Math" w:hAnsi="Cambria Math"/>
          </w:rPr>
          <m:t>0.75</m:t>
        </m:r>
      </m:oMath>
      <w:r>
        <w:t>) and temperature variables. Based on this analysis, we selected predictors that minimized redundancy while maintaining interpretability and adequate degrees of freedom relative to sample size.</w:t>
      </w:r>
    </w:p>
    <w:p w14:paraId="4FD5127D" w14:textId="77777777" w:rsidR="00992339" w:rsidRDefault="00000000">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w:t>
      </w:r>
      <w:r>
        <w:lastRenderedPageBreak/>
        <w:t>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14:paraId="3C3322EC" w14:textId="77777777" w:rsidR="00992339" w:rsidRDefault="00000000">
      <w:pPr>
        <w:pStyle w:val="BodyText"/>
      </w:pPr>
      <w:r>
        <w:t>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p w14:paraId="10CF8597" w14:textId="77777777" w:rsidR="00992339" w:rsidRDefault="00000000">
      <w:pPr>
        <w:pStyle w:val="Heading2"/>
      </w:pPr>
      <w:bookmarkStart w:id="18" w:name="results"/>
      <w:bookmarkEnd w:id="2"/>
      <w:bookmarkEnd w:id="11"/>
      <w:bookmarkEnd w:id="17"/>
      <w:r>
        <w:t>Results</w:t>
      </w:r>
    </w:p>
    <w:p w14:paraId="04449AC5" w14:textId="77777777" w:rsidR="00992339" w:rsidRDefault="00000000">
      <w:pPr>
        <w:pStyle w:val="Heading3"/>
      </w:pPr>
      <w:bookmarkStart w:id="19" w:name="descriptive-statistics"/>
      <w:r>
        <w:t>Descriptive Statistics</w:t>
      </w:r>
    </w:p>
    <w:p w14:paraId="56F231C9" w14:textId="77777777" w:rsidR="00992339" w:rsidRDefault="00000000">
      <w:pPr>
        <w:pStyle w:val="FirstParagraph"/>
      </w:pPr>
      <w:r>
        <w:t>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14:paraId="246CCB08" w14:textId="77777777" w:rsidR="00992339" w:rsidRDefault="00000000">
      <w:pPr>
        <w:pStyle w:val="BodyText"/>
      </w:pPr>
      <w:r>
        <w:t>Wind speeds ranged from complete calm to moderately strong conditions, with maximum gusts reaching 12.4 m/s (mean = 2.2 ± 1.4 m/s, median = 2.2 m/s). The interquartile range of 1.3–3.0 m/s indicated that most observations occurred under relatively mild wind conditions. Temperatures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When direct sunlight was available, an average of 17.0 individual butterflies occupied sunlit positions (range: 1–295), though most observations recorded no butterflies in direct sun, with the distribution heavily skewed toward low or zero values.</w:t>
      </w:r>
    </w:p>
    <w:p w14:paraId="7CB5B1AB" w14:textId="77777777" w:rsidR="00992339" w:rsidRDefault="00000000">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w:t>
      </w:r>
      <w:r>
        <w:lastRenderedPageBreak/>
        <w:t>reflected substantial variation in cluster sizes. Zero-count observations, representing either the beginning of cluster formation or cluster dissolution, comprised 2.3% of the dataset (n = 43).</w:t>
      </w:r>
    </w:p>
    <w:p w14:paraId="616DDD10" w14:textId="77777777" w:rsidR="00992339" w:rsidRDefault="00000000">
      <w:pPr>
        <w:pStyle w:val="BodyText"/>
      </w:pPr>
      <w:r>
        <w:t>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14:paraId="4EC696E3" w14:textId="77777777" w:rsidR="00992339" w:rsidRDefault="00000000">
      <w:pPr>
        <w:pStyle w:val="BodyText"/>
      </w:pPr>
      <w:r>
        <w:t>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p w14:paraId="339767C5" w14:textId="77777777" w:rsidR="00992339" w:rsidRDefault="00000000">
      <w:pPr>
        <w:pStyle w:val="Heading3"/>
      </w:pPr>
      <w:bookmarkStart w:id="20" w:name="X1aa1dff04d498a29fb339024c436cf9f49a29b7"/>
      <w:bookmarkEnd w:id="19"/>
      <w:r>
        <w:t>Linear Regression Between Wind and Cluster Dynamics</w:t>
      </w:r>
    </w:p>
    <w:p w14:paraId="5274BA38" w14:textId="77777777" w:rsidR="00992339" w:rsidRDefault="00000000">
      <w:pPr>
        <w:pStyle w:val="FirstParagraph"/>
      </w:pPr>
      <w:r>
        <w:t>Linear regression analyses examined whether wind speed alone could explain changes in monarch cluster size, revealing no meaningful relationship between maximum wind speed and cluster size changes at either temporal scale (Figure </w:t>
      </w:r>
      <w:hyperlink w:anchor="fig:wind_linear_regression_30min">
        <w:r>
          <w:rPr>
            <w:rStyle w:val="Hyperlink"/>
          </w:rPr>
          <w:t>1.1</w:t>
        </w:r>
      </w:hyperlink>
      <w:r>
        <w:t xml:space="preserve"> and </w:t>
      </w:r>
      <w:hyperlink w:anchor="fig:wind_linear_regression_sunset">
        <w:r>
          <w:rPr>
            <w:rStyle w:val="Hyperlink"/>
          </w:rPr>
          <w:t>1.2</w:t>
        </w:r>
      </w:hyperlink>
      <w:r>
        <w:t>).</w:t>
      </w:r>
    </w:p>
    <w:p w14:paraId="6318E563" w14:textId="77777777" w:rsidR="00992339" w:rsidRDefault="00000000">
      <w:pPr>
        <w:pStyle w:val="BodyText"/>
      </w:pPr>
      <w:r>
        <w:t>At 30-minute intervals, linear regression confirmed no statistically significant relationship between maximum wind speed and butterfly abundance change (</w:t>
      </w:r>
      <m:oMath>
        <m:r>
          <w:rPr>
            <w:rFonts w:ascii="Cambria Math" w:hAnsi="Cambria Math"/>
          </w:rPr>
          <m:t>β</m:t>
        </m:r>
      </m:oMath>
      <w:r>
        <w:t xml:space="preserve"> = 1.19 butterflies per m/s, SE = 0.66, p = 0.073, n = 1,894). The correlation was negligible (r = 0.041,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0.002), with wind speed explaining only 0.17% of the variance in cluster size changes. Data points scattered uniformly across all wind speeds from calm conditions to 12.4 m/s. The proposed 2 m/s behavioral threshold showed no apparent demarcation in butterfly responses, with similar variance in cluster size changes both above and below this threshold.</w:t>
      </w:r>
    </w:p>
    <w:p w14:paraId="4D24E825" w14:textId="77777777" w:rsidR="00992339" w:rsidRDefault="00000000">
      <w:pPr>
        <w:pStyle w:val="BodyText"/>
      </w:pPr>
      <w:r>
        <w:t>Day-to-day analyses similarly revealed no statistically significant relationship between maximum wind exposure and cluster size changes (</w:t>
      </w:r>
      <m:oMath>
        <m:r>
          <w:rPr>
            <w:rFonts w:ascii="Cambria Math" w:hAnsi="Cambria Math"/>
          </w:rPr>
          <m:t>β</m:t>
        </m:r>
      </m:oMath>
      <w:r>
        <w:t xml:space="preserve"> = 5.34 butterflies per m/s, SE = 4.63, p = 0.252, n = 101). The correlation remained weak (r = 0.115,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0.013), with wind speed explaining only 1.3% of the variance in abundance changes between consecutive days. All observation periods in this analysis experienced maximum wind speeds exceeding the proposed 2 m/s behavioral threshold. Despite consistent exposure to winds above the threshold, no clear pattern emerged linking wind intensity to subsequent roost abandonment or growth.</w:t>
      </w:r>
    </w:p>
    <w:p w14:paraId="1BEAC3D6" w14:textId="77777777" w:rsidR="00992339" w:rsidRDefault="00000000">
      <w:pPr>
        <w:pStyle w:val="BodyText"/>
      </w:pPr>
      <w:r>
        <w:t>These null linear regression relationships indicated that wind speed alone cannot predict monarch clustering behavior, necessitating examination of more complex environmental interactions and conditional relationships that may modulate wind effects.</w:t>
      </w:r>
    </w:p>
    <w:p w14:paraId="1867ADE7" w14:textId="77777777" w:rsidR="00992339" w:rsidRDefault="00000000">
      <w:pPr>
        <w:pStyle w:val="CaptionedFigure"/>
      </w:pPr>
      <w:bookmarkStart w:id="21" w:name="fig:wind_linear_regression_30min"/>
      <w:r>
        <w:rPr>
          <w:noProof/>
        </w:rPr>
        <w:lastRenderedPageBreak/>
        <w:drawing>
          <wp:inline distT="0" distB="0" distL="0" distR="0" wp14:anchorId="580B1EDB" wp14:editId="3DABA4E1">
            <wp:extent cx="4267200" cy="36576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supplemental/results/30_min/figures/wind_vs_change_bivariate_untransformed.png"/>
                    <pic:cNvPicPr>
                      <a:picLocks noChangeAspect="1" noChangeArrowheads="1"/>
                    </pic:cNvPicPr>
                  </pic:nvPicPr>
                  <pic:blipFill>
                    <a:blip r:embed="rId6"/>
                    <a:stretch>
                      <a:fillRect/>
                    </a:stretch>
                  </pic:blipFill>
                  <pic:spPr bwMode="auto">
                    <a:xfrm>
                      <a:off x="0" y="0"/>
                      <a:ext cx="4267200" cy="3657600"/>
                    </a:xfrm>
                    <a:prstGeom prst="rect">
                      <a:avLst/>
                    </a:prstGeom>
                    <a:noFill/>
                    <a:ln w="9525">
                      <a:noFill/>
                      <a:headEnd/>
                      <a:tailEnd/>
                    </a:ln>
                  </pic:spPr>
                </pic:pic>
              </a:graphicData>
            </a:graphic>
          </wp:inline>
        </w:drawing>
      </w:r>
    </w:p>
    <w:p w14:paraId="5C87437E" w14:textId="77777777" w:rsidR="00992339" w:rsidRDefault="00000000">
      <w:pPr>
        <w:pStyle w:val="ImageCaption"/>
      </w:pPr>
      <w:r>
        <w:t>Linear regression of maximum wind speed and butterfly abundance change at 30-minute intervals. Each point represents a paired observation (n = 1,894). Linear regression showed no significant relationship (</w:t>
      </w:r>
      <m:oMath>
        <m:r>
          <w:rPr>
            <w:rFonts w:ascii="Cambria Math" w:hAnsi="Cambria Math"/>
          </w:rPr>
          <m:t>β</m:t>
        </m:r>
      </m:oMath>
      <w:r>
        <w:t xml:space="preserve"> = 1.19, SE = 0.66, p = 0.073, r = 0.041,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0.002). The red dashed line indicates the proposed 2 m/s behavioral threshold. The blue regression line is shown for reference despite non-significance.</w:t>
      </w:r>
    </w:p>
    <w:p w14:paraId="4C352B0A" w14:textId="77777777" w:rsidR="00992339" w:rsidRDefault="00000000">
      <w:pPr>
        <w:pStyle w:val="CaptionedFigure"/>
      </w:pPr>
      <w:bookmarkStart w:id="22" w:name="fig:wind_linear_regression_sunset"/>
      <w:bookmarkEnd w:id="21"/>
      <w:r>
        <w:rPr>
          <w:noProof/>
        </w:rPr>
        <w:lastRenderedPageBreak/>
        <w:drawing>
          <wp:inline distT="0" distB="0" distL="0" distR="0" wp14:anchorId="7CE12619" wp14:editId="647F8F88">
            <wp:extent cx="4267200" cy="36576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supplemental/results/sunset/figures/wind_vs_change_bivariate_untransformed.png"/>
                    <pic:cNvPicPr>
                      <a:picLocks noChangeAspect="1" noChangeArrowheads="1"/>
                    </pic:cNvPicPr>
                  </pic:nvPicPr>
                  <pic:blipFill>
                    <a:blip r:embed="rId7"/>
                    <a:stretch>
                      <a:fillRect/>
                    </a:stretch>
                  </pic:blipFill>
                  <pic:spPr bwMode="auto">
                    <a:xfrm>
                      <a:off x="0" y="0"/>
                      <a:ext cx="4267200" cy="3657600"/>
                    </a:xfrm>
                    <a:prstGeom prst="rect">
                      <a:avLst/>
                    </a:prstGeom>
                    <a:noFill/>
                    <a:ln w="9525">
                      <a:noFill/>
                      <a:headEnd/>
                      <a:tailEnd/>
                    </a:ln>
                  </pic:spPr>
                </pic:pic>
              </a:graphicData>
            </a:graphic>
          </wp:inline>
        </w:drawing>
      </w:r>
    </w:p>
    <w:p w14:paraId="2EC0F88C" w14:textId="77777777" w:rsidR="00992339" w:rsidRDefault="00000000">
      <w:pPr>
        <w:pStyle w:val="ImageCaption"/>
      </w:pPr>
      <w:r>
        <w:t>Linear regression of maximum wind speed and day-to-day cluster size changes from maximum count to next sunset. Each point represents consecutive day pairs at the same deployment (n = 101). Linear regression showed no significant relationship (</w:t>
      </w:r>
      <m:oMath>
        <m:r>
          <w:rPr>
            <w:rFonts w:ascii="Cambria Math" w:hAnsi="Cambria Math"/>
          </w:rPr>
          <m:t>β</m:t>
        </m:r>
      </m:oMath>
      <w:r>
        <w:t xml:space="preserve"> = 5.34, SE = 4.63, p = 0.252, r = 0.115,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0.013). The red dashed line indicates the 2 m/s threshold. All observations experienced winds exceeding this threshold. The blue regression line is shown for reference despite non-significance.</w:t>
      </w:r>
    </w:p>
    <w:p w14:paraId="3C0BEB80" w14:textId="77777777" w:rsidR="00992339" w:rsidRDefault="00000000">
      <w:pPr>
        <w:pStyle w:val="Heading3"/>
      </w:pPr>
      <w:bookmarkStart w:id="23" w:name="wind-disruption-analysis"/>
      <w:bookmarkEnd w:id="20"/>
      <w:bookmarkEnd w:id="22"/>
      <w:r>
        <w:t>Wind Disruption Analysis</w:t>
      </w:r>
    </w:p>
    <w:p w14:paraId="305662C5" w14:textId="77777777" w:rsidR="00992339" w:rsidRDefault="00000000">
      <w:pPr>
        <w:pStyle w:val="FirstParagraph"/>
      </w:pPr>
      <w:r>
        <w:t>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p w14:paraId="7D17EE2A" w14:textId="77777777" w:rsidR="00992339" w:rsidRDefault="00000000">
      <w:pPr>
        <w:pStyle w:val="Heading4"/>
      </w:pPr>
      <w:bookmarkStart w:id="24" w:name="model-selection"/>
      <w:r>
        <w:t>Model Selection</w:t>
      </w:r>
    </w:p>
    <w:p w14:paraId="1A18AFDB" w14:textId="77777777" w:rsidR="00992339" w:rsidRDefault="00000000">
      <w:pPr>
        <w:pStyle w:val="FirstParagraph"/>
      </w:pPr>
      <w:r>
        <w:t>In the 30-minute wind disruption analysis, 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1.1</w:t>
        </w:r>
      </w:hyperlink>
      <w:r>
        <w:t xml:space="preserve">). The next best model (M23) showed substantially weaker support with </w:t>
      </w:r>
      <m:oMath>
        <m:r>
          <m:rPr>
            <m:sty m:val="p"/>
          </m:rPr>
          <w:rPr>
            <w:rFonts w:ascii="Cambria Math" w:hAnsi="Cambria Math"/>
          </w:rPr>
          <m:t>Δ</m:t>
        </m:r>
      </m:oMath>
      <w:r>
        <w:t>AIC = 3.8 and only 12.6% model weight. Model M50 incorporated smoothed terms for previous butterfly count, temperature, and time of day (minutes since sunrise), along with a tensor interaction between maximum wind speed and butterflies in direct sun.</w:t>
      </w:r>
    </w:p>
    <w:p w14:paraId="401F1BEE" w14:textId="77777777" w:rsidR="00992339" w:rsidRDefault="00000000">
      <w:pPr>
        <w:pStyle w:val="TableCaption"/>
      </w:pPr>
      <w:bookmarkStart w:id="25" w:name="tab:export-model-selection-table"/>
      <w:r>
        <w:lastRenderedPageBreak/>
        <w:t>Top 5 models ranked by AIC (30-minute analysis)</w:t>
      </w:r>
    </w:p>
    <w:tbl>
      <w:tblPr>
        <w:tblStyle w:val="Table"/>
        <w:tblW w:w="0" w:type="auto"/>
        <w:tblLook w:val="0020" w:firstRow="1" w:lastRow="0" w:firstColumn="0" w:lastColumn="0" w:noHBand="0" w:noVBand="0"/>
        <w:tblCaption w:val="Top 5 models ranked by AIC (30-minute analysis)"/>
      </w:tblPr>
      <w:tblGrid>
        <w:gridCol w:w="862"/>
        <w:gridCol w:w="5922"/>
        <w:gridCol w:w="1054"/>
        <w:gridCol w:w="798"/>
        <w:gridCol w:w="940"/>
      </w:tblGrid>
      <w:tr w:rsidR="00992339" w14:paraId="5B47B928"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047F5C38" w14:textId="77777777" w:rsidR="00992339" w:rsidRDefault="00000000">
            <w:pPr>
              <w:pStyle w:val="Compact"/>
            </w:pPr>
            <w:r>
              <w:t>Model</w:t>
            </w:r>
          </w:p>
        </w:tc>
        <w:tc>
          <w:tcPr>
            <w:tcW w:w="0" w:type="auto"/>
          </w:tcPr>
          <w:p w14:paraId="25019342" w14:textId="77777777" w:rsidR="00992339" w:rsidRDefault="00000000">
            <w:pPr>
              <w:pStyle w:val="Compact"/>
            </w:pPr>
            <w:r>
              <w:t>Terms</w:t>
            </w:r>
          </w:p>
        </w:tc>
        <w:tc>
          <w:tcPr>
            <w:tcW w:w="0" w:type="auto"/>
          </w:tcPr>
          <w:p w14:paraId="487B0652" w14:textId="77777777" w:rsidR="00992339" w:rsidRDefault="00000000">
            <w:pPr>
              <w:pStyle w:val="Compact"/>
              <w:jc w:val="right"/>
            </w:pPr>
            <w:r>
              <w:t>AIC</w:t>
            </w:r>
          </w:p>
        </w:tc>
        <w:tc>
          <w:tcPr>
            <w:tcW w:w="0" w:type="auto"/>
          </w:tcPr>
          <w:p w14:paraId="32AE4C3C" w14:textId="77777777" w:rsidR="00992339" w:rsidRDefault="00000000">
            <w:pPr>
              <w:pStyle w:val="Compact"/>
              <w:jc w:val="right"/>
            </w:pPr>
            <m:oMath>
              <m:r>
                <m:rPr>
                  <m:sty m:val="p"/>
                </m:rPr>
                <w:rPr>
                  <w:rFonts w:ascii="Cambria Math" w:hAnsi="Cambria Math"/>
                </w:rPr>
                <m:t>Δ</m:t>
              </m:r>
            </m:oMath>
            <w:r>
              <w:t>AIC</w:t>
            </w:r>
          </w:p>
        </w:tc>
        <w:tc>
          <w:tcPr>
            <w:tcW w:w="0" w:type="auto"/>
          </w:tcPr>
          <w:p w14:paraId="63AF6878" w14:textId="77777777" w:rsidR="00992339" w:rsidRDefault="00000000">
            <w:pPr>
              <w:pStyle w:val="Compact"/>
              <w:jc w:val="right"/>
            </w:pPr>
            <w:r>
              <w:t>Weight</w:t>
            </w:r>
          </w:p>
        </w:tc>
      </w:tr>
      <w:tr w:rsidR="00992339" w14:paraId="6864513B" w14:textId="77777777">
        <w:tc>
          <w:tcPr>
            <w:tcW w:w="0" w:type="auto"/>
          </w:tcPr>
          <w:p w14:paraId="69970D25" w14:textId="77777777" w:rsidR="00992339" w:rsidRDefault="00000000">
            <w:pPr>
              <w:pStyle w:val="Compact"/>
            </w:pPr>
            <w:r>
              <w:t>M50</w:t>
            </w:r>
          </w:p>
        </w:tc>
        <w:tc>
          <w:tcPr>
            <w:tcW w:w="0" w:type="auto"/>
          </w:tcPr>
          <w:p w14:paraId="62E02792" w14:textId="77777777" w:rsidR="00992339" w:rsidRDefault="00000000">
            <w:pPr>
              <w:pStyle w:val="Compact"/>
            </w:pPr>
            <w:r>
              <w:t>Previous butterfly count, Temperature, Time since sunrise, Interaction (tensor): Maximum wind speed, Butterflies in direct sun</w:t>
            </w:r>
          </w:p>
        </w:tc>
        <w:tc>
          <w:tcPr>
            <w:tcW w:w="0" w:type="auto"/>
          </w:tcPr>
          <w:p w14:paraId="4C5AF1CB" w14:textId="77777777" w:rsidR="00992339" w:rsidRDefault="00000000">
            <w:pPr>
              <w:pStyle w:val="Compact"/>
              <w:jc w:val="right"/>
            </w:pPr>
            <w:r>
              <w:t>8074.03</w:t>
            </w:r>
          </w:p>
        </w:tc>
        <w:tc>
          <w:tcPr>
            <w:tcW w:w="0" w:type="auto"/>
          </w:tcPr>
          <w:p w14:paraId="57FAC5D9" w14:textId="77777777" w:rsidR="00992339" w:rsidRDefault="00000000">
            <w:pPr>
              <w:pStyle w:val="Compact"/>
              <w:jc w:val="right"/>
            </w:pPr>
            <w:r>
              <w:t>0.00</w:t>
            </w:r>
          </w:p>
        </w:tc>
        <w:tc>
          <w:tcPr>
            <w:tcW w:w="0" w:type="auto"/>
          </w:tcPr>
          <w:p w14:paraId="4A84EC26" w14:textId="77777777" w:rsidR="00992339" w:rsidRDefault="00000000">
            <w:pPr>
              <w:pStyle w:val="Compact"/>
              <w:jc w:val="right"/>
            </w:pPr>
            <w:r>
              <w:t>0.86</w:t>
            </w:r>
          </w:p>
        </w:tc>
      </w:tr>
      <w:tr w:rsidR="00992339" w14:paraId="1A397B56" w14:textId="77777777">
        <w:tc>
          <w:tcPr>
            <w:tcW w:w="0" w:type="auto"/>
          </w:tcPr>
          <w:p w14:paraId="6B8D460F" w14:textId="77777777" w:rsidR="00992339" w:rsidRDefault="00000000">
            <w:pPr>
              <w:pStyle w:val="Compact"/>
            </w:pPr>
            <w:r>
              <w:t>M23</w:t>
            </w:r>
          </w:p>
        </w:tc>
        <w:tc>
          <w:tcPr>
            <w:tcW w:w="0" w:type="auto"/>
          </w:tcPr>
          <w:p w14:paraId="25C5906E" w14:textId="77777777" w:rsidR="00992339" w:rsidRDefault="00000000">
            <w:pPr>
              <w:pStyle w:val="Compact"/>
            </w:pPr>
            <w:r>
              <w:t>Previous butterfly count, Temperature, Butterflies in direct sun, Time since sunrise</w:t>
            </w:r>
          </w:p>
        </w:tc>
        <w:tc>
          <w:tcPr>
            <w:tcW w:w="0" w:type="auto"/>
          </w:tcPr>
          <w:p w14:paraId="2742A3DB" w14:textId="77777777" w:rsidR="00992339" w:rsidRDefault="00000000">
            <w:pPr>
              <w:pStyle w:val="Compact"/>
              <w:jc w:val="right"/>
            </w:pPr>
            <w:r>
              <w:t>8077.86</w:t>
            </w:r>
          </w:p>
        </w:tc>
        <w:tc>
          <w:tcPr>
            <w:tcW w:w="0" w:type="auto"/>
          </w:tcPr>
          <w:p w14:paraId="4294BE82" w14:textId="77777777" w:rsidR="00992339" w:rsidRDefault="00000000">
            <w:pPr>
              <w:pStyle w:val="Compact"/>
              <w:jc w:val="right"/>
            </w:pPr>
            <w:r>
              <w:t>3.83</w:t>
            </w:r>
          </w:p>
        </w:tc>
        <w:tc>
          <w:tcPr>
            <w:tcW w:w="0" w:type="auto"/>
          </w:tcPr>
          <w:p w14:paraId="5F5D52AC" w14:textId="77777777" w:rsidR="00992339" w:rsidRDefault="00000000">
            <w:pPr>
              <w:pStyle w:val="Compact"/>
              <w:jc w:val="right"/>
            </w:pPr>
            <w:r>
              <w:t>0.13</w:t>
            </w:r>
          </w:p>
        </w:tc>
      </w:tr>
      <w:tr w:rsidR="00992339" w14:paraId="66573D69" w14:textId="77777777">
        <w:tc>
          <w:tcPr>
            <w:tcW w:w="0" w:type="auto"/>
          </w:tcPr>
          <w:p w14:paraId="2A3D4678" w14:textId="77777777" w:rsidR="00992339" w:rsidRDefault="00000000">
            <w:pPr>
              <w:pStyle w:val="Compact"/>
            </w:pPr>
            <w:r>
              <w:t>M22</w:t>
            </w:r>
          </w:p>
        </w:tc>
        <w:tc>
          <w:tcPr>
            <w:tcW w:w="0" w:type="auto"/>
          </w:tcPr>
          <w:p w14:paraId="0BC5343A" w14:textId="77777777" w:rsidR="00992339" w:rsidRDefault="00000000">
            <w:pPr>
              <w:pStyle w:val="Compact"/>
            </w:pPr>
            <w:r>
              <w:t>Previous butterfly count, Temperature (linear), Butterflies in direct sun, Time since sunrise</w:t>
            </w:r>
          </w:p>
        </w:tc>
        <w:tc>
          <w:tcPr>
            <w:tcW w:w="0" w:type="auto"/>
          </w:tcPr>
          <w:p w14:paraId="27714540" w14:textId="77777777" w:rsidR="00992339" w:rsidRDefault="00000000">
            <w:pPr>
              <w:pStyle w:val="Compact"/>
              <w:jc w:val="right"/>
            </w:pPr>
            <w:r>
              <w:t>8082.90</w:t>
            </w:r>
          </w:p>
        </w:tc>
        <w:tc>
          <w:tcPr>
            <w:tcW w:w="0" w:type="auto"/>
          </w:tcPr>
          <w:p w14:paraId="3F7A7A39" w14:textId="77777777" w:rsidR="00992339" w:rsidRDefault="00000000">
            <w:pPr>
              <w:pStyle w:val="Compact"/>
              <w:jc w:val="right"/>
            </w:pPr>
            <w:r>
              <w:t>8.87</w:t>
            </w:r>
          </w:p>
        </w:tc>
        <w:tc>
          <w:tcPr>
            <w:tcW w:w="0" w:type="auto"/>
          </w:tcPr>
          <w:p w14:paraId="58AFAB9B" w14:textId="77777777" w:rsidR="00992339" w:rsidRDefault="00000000">
            <w:pPr>
              <w:pStyle w:val="Compact"/>
              <w:jc w:val="right"/>
            </w:pPr>
            <w:r>
              <w:t>0.01</w:t>
            </w:r>
          </w:p>
        </w:tc>
      </w:tr>
      <w:tr w:rsidR="00992339" w14:paraId="2B052602" w14:textId="77777777">
        <w:tc>
          <w:tcPr>
            <w:tcW w:w="0" w:type="auto"/>
          </w:tcPr>
          <w:p w14:paraId="3BDBD8C2" w14:textId="77777777" w:rsidR="00992339" w:rsidRDefault="00000000">
            <w:pPr>
              <w:pStyle w:val="Compact"/>
            </w:pPr>
            <w:r>
              <w:t>M24</w:t>
            </w:r>
          </w:p>
        </w:tc>
        <w:tc>
          <w:tcPr>
            <w:tcW w:w="0" w:type="auto"/>
          </w:tcPr>
          <w:p w14:paraId="7C176EBA" w14:textId="77777777" w:rsidR="00992339" w:rsidRDefault="00000000">
            <w:pPr>
              <w:pStyle w:val="Compact"/>
            </w:pPr>
            <w:r>
              <w:t>Previous butterfly count, Maximum wind speed, Temperature, Butterflies in direct sun, Time since sunrise</w:t>
            </w:r>
          </w:p>
        </w:tc>
        <w:tc>
          <w:tcPr>
            <w:tcW w:w="0" w:type="auto"/>
          </w:tcPr>
          <w:p w14:paraId="29FFD71F" w14:textId="77777777" w:rsidR="00992339" w:rsidRDefault="00000000">
            <w:pPr>
              <w:pStyle w:val="Compact"/>
              <w:jc w:val="right"/>
            </w:pPr>
            <w:r>
              <w:t>8084.05</w:t>
            </w:r>
          </w:p>
        </w:tc>
        <w:tc>
          <w:tcPr>
            <w:tcW w:w="0" w:type="auto"/>
          </w:tcPr>
          <w:p w14:paraId="56EC9C59" w14:textId="77777777" w:rsidR="00992339" w:rsidRDefault="00000000">
            <w:pPr>
              <w:pStyle w:val="Compact"/>
              <w:jc w:val="right"/>
            </w:pPr>
            <w:r>
              <w:t>10.02</w:t>
            </w:r>
          </w:p>
        </w:tc>
        <w:tc>
          <w:tcPr>
            <w:tcW w:w="0" w:type="auto"/>
          </w:tcPr>
          <w:p w14:paraId="4E36E53D" w14:textId="77777777" w:rsidR="00992339" w:rsidRDefault="00000000">
            <w:pPr>
              <w:pStyle w:val="Compact"/>
              <w:jc w:val="right"/>
            </w:pPr>
            <w:r>
              <w:t>0.01</w:t>
            </w:r>
          </w:p>
        </w:tc>
      </w:tr>
      <w:tr w:rsidR="00992339" w14:paraId="5216DCEA" w14:textId="77777777">
        <w:tc>
          <w:tcPr>
            <w:tcW w:w="0" w:type="auto"/>
          </w:tcPr>
          <w:p w14:paraId="7F8FF430" w14:textId="77777777" w:rsidR="00992339" w:rsidRDefault="00000000">
            <w:pPr>
              <w:pStyle w:val="Compact"/>
            </w:pPr>
            <w:r>
              <w:t>M52</w:t>
            </w:r>
          </w:p>
        </w:tc>
        <w:tc>
          <w:tcPr>
            <w:tcW w:w="0" w:type="auto"/>
          </w:tcPr>
          <w:p w14:paraId="5097D0FE" w14:textId="77777777" w:rsidR="00992339" w:rsidRDefault="00000000">
            <w:pPr>
              <w:pStyle w:val="Compact"/>
            </w:pPr>
            <w:r>
              <w:t>Temperature, Time since sunrise, Interaction (tensor): Maximum wind speed, Butterflies in direct sun</w:t>
            </w:r>
          </w:p>
        </w:tc>
        <w:tc>
          <w:tcPr>
            <w:tcW w:w="0" w:type="auto"/>
          </w:tcPr>
          <w:p w14:paraId="6B398E57" w14:textId="77777777" w:rsidR="00992339" w:rsidRDefault="00000000">
            <w:pPr>
              <w:pStyle w:val="Compact"/>
              <w:jc w:val="right"/>
            </w:pPr>
            <w:r>
              <w:t>8092.72</w:t>
            </w:r>
          </w:p>
        </w:tc>
        <w:tc>
          <w:tcPr>
            <w:tcW w:w="0" w:type="auto"/>
          </w:tcPr>
          <w:p w14:paraId="1A16994B" w14:textId="77777777" w:rsidR="00992339" w:rsidRDefault="00000000">
            <w:pPr>
              <w:pStyle w:val="Compact"/>
              <w:jc w:val="right"/>
            </w:pPr>
            <w:r>
              <w:t>18.69</w:t>
            </w:r>
          </w:p>
        </w:tc>
        <w:tc>
          <w:tcPr>
            <w:tcW w:w="0" w:type="auto"/>
          </w:tcPr>
          <w:p w14:paraId="7003851F" w14:textId="77777777" w:rsidR="00992339" w:rsidRDefault="00000000">
            <w:pPr>
              <w:pStyle w:val="Compact"/>
              <w:jc w:val="right"/>
            </w:pPr>
            <w:r>
              <w:t>0.00</w:t>
            </w:r>
          </w:p>
        </w:tc>
      </w:tr>
    </w:tbl>
    <w:p w14:paraId="5225D100" w14:textId="77777777" w:rsidR="00992339" w:rsidRDefault="00000000">
      <w:pPr>
        <w:pStyle w:val="Heading4"/>
      </w:pPr>
      <w:bookmarkStart w:id="26" w:name="analysis-of-best-fit-model"/>
      <w:bookmarkEnd w:id="24"/>
      <w:bookmarkEnd w:id="25"/>
      <w:r>
        <w:t>Analysis of Best Fit Model</w:t>
      </w:r>
    </w:p>
    <w:p w14:paraId="0FCFDE98" w14:textId="77777777" w:rsidR="00992339" w:rsidRDefault="00000000">
      <w:pPr>
        <w:pStyle w:val="FirstParagraph"/>
      </w:pPr>
      <w:r>
        <w:t>The best-fit model from the 30-minute wind disruption analysis (M50) predicted change in butterfly abundance as a function of: (1) the previous 30-minute observation’s butterfly count, (2) average temperature, (3) time of day, and (4) an interaction between maximum wind gust speed and the number of butterflies in direct sunlight.</w:t>
      </w:r>
    </w:p>
    <w:p w14:paraId="349B2EC8" w14:textId="77777777" w:rsidR="00992339" w:rsidRDefault="00000000">
      <w:pPr>
        <w:pStyle w:val="BodyText"/>
      </w:pPr>
      <w:r>
        <w:t>Statistical analysis of the responsive change model revealed significant effects for three of the four predictors (Table </w:t>
      </w:r>
      <w:hyperlink w:anchor="tab:m50_summary">
        <w:r>
          <w:rPr>
            <w:rStyle w:val="Hyperlink"/>
          </w:rPr>
          <w:t>1.2</w:t>
        </w:r>
      </w:hyperlink>
      <w:r>
        <w:t xml:space="preserve">). The previous butterfly count (F = 12.50, p </w:t>
      </w:r>
      <m:oMath>
        <m:r>
          <m:rPr>
            <m:sty m:val="p"/>
          </m:rPr>
          <w:rPr>
            <w:rFonts w:ascii="Cambria Math" w:hAnsi="Cambria Math"/>
          </w:rPr>
          <m:t>&lt;</m:t>
        </m:r>
      </m:oMath>
      <w:r>
        <w:t xml:space="preserve"> 0.001), time of day (F = 9.85, p </w:t>
      </w:r>
      <m:oMath>
        <m:r>
          <m:rPr>
            <m:sty m:val="p"/>
          </m:rPr>
          <w:rPr>
            <w:rFonts w:ascii="Cambria Math" w:hAnsi="Cambria Math"/>
          </w:rPr>
          <m:t>&lt;</m:t>
        </m:r>
      </m:oMath>
      <w:r>
        <w:t xml:space="preserve"> 0.001), and the wind-sunlight interaction (F = 4.67, p </w:t>
      </w:r>
      <m:oMath>
        <m:r>
          <m:rPr>
            <m:sty m:val="p"/>
          </m:rPr>
          <w:rPr>
            <w:rFonts w:ascii="Cambria Math" w:hAnsi="Cambria Math"/>
          </w:rPr>
          <m:t>&lt;</m:t>
        </m:r>
      </m:oMath>
      <w:r>
        <w:t xml:space="preserve"> 0.001) all showed strong statistical significance. Temperature effects approached but did not reach conventional significance thresholds (F = 3.19, p = 0.057). The model explained 6.4% of the variance in butterfly abundance changes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0.064, n = 1894).</w:t>
      </w:r>
    </w:p>
    <w:p w14:paraId="405E8606" w14:textId="77777777" w:rsidR="00992339" w:rsidRDefault="00000000">
      <w:pPr>
        <w:pStyle w:val="TableCaption"/>
      </w:pPr>
      <w:bookmarkStart w:id="27" w:name="tab:m50_summary"/>
      <w:r>
        <w:t>Summary of best-fit model (M50) for predicting changes in butterfly abundance. The model uses cube-root transformed butterfly count differences as the response variable.</w:t>
      </w:r>
    </w:p>
    <w:tbl>
      <w:tblPr>
        <w:tblStyle w:val="Table"/>
        <w:tblW w:w="0" w:type="auto"/>
        <w:tblLook w:val="0020" w:firstRow="1" w:lastRow="0" w:firstColumn="0" w:lastColumn="0" w:noHBand="0" w:noVBand="0"/>
        <w:tblCaption w:val="Summary of best-fit model (M50) for predicting changes in butterfly abundance. The model uses cube-root transformed butterfly count differences as the response variable."/>
      </w:tblPr>
      <w:tblGrid>
        <w:gridCol w:w="3328"/>
        <w:gridCol w:w="670"/>
        <w:gridCol w:w="875"/>
        <w:gridCol w:w="798"/>
        <w:gridCol w:w="1355"/>
      </w:tblGrid>
      <w:tr w:rsidR="00992339" w14:paraId="0443C78E"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05486615" w14:textId="77777777" w:rsidR="00992339" w:rsidRDefault="00000000">
            <w:pPr>
              <w:pStyle w:val="Compact"/>
            </w:pPr>
            <w:r>
              <w:rPr>
                <w:b/>
                <w:bCs/>
              </w:rPr>
              <w:t>Smooth Term</w:t>
            </w:r>
          </w:p>
        </w:tc>
        <w:tc>
          <w:tcPr>
            <w:tcW w:w="0" w:type="auto"/>
          </w:tcPr>
          <w:p w14:paraId="4580D532" w14:textId="77777777" w:rsidR="00992339" w:rsidRDefault="00000000">
            <w:pPr>
              <w:pStyle w:val="Compact"/>
              <w:jc w:val="center"/>
            </w:pPr>
            <w:r>
              <w:rPr>
                <w:b/>
                <w:bCs/>
              </w:rPr>
              <w:t>edf</w:t>
            </w:r>
          </w:p>
        </w:tc>
        <w:tc>
          <w:tcPr>
            <w:tcW w:w="0" w:type="auto"/>
          </w:tcPr>
          <w:p w14:paraId="7A7FC763" w14:textId="77777777" w:rsidR="00992339" w:rsidRDefault="00000000">
            <w:pPr>
              <w:pStyle w:val="Compact"/>
              <w:jc w:val="center"/>
            </w:pPr>
            <w:r>
              <w:rPr>
                <w:b/>
                <w:bCs/>
              </w:rPr>
              <w:t>Ref.df</w:t>
            </w:r>
          </w:p>
        </w:tc>
        <w:tc>
          <w:tcPr>
            <w:tcW w:w="0" w:type="auto"/>
          </w:tcPr>
          <w:p w14:paraId="13111435" w14:textId="77777777" w:rsidR="00992339" w:rsidRDefault="00000000">
            <w:pPr>
              <w:pStyle w:val="Compact"/>
              <w:jc w:val="center"/>
            </w:pPr>
            <w:r>
              <w:rPr>
                <w:b/>
                <w:bCs/>
              </w:rPr>
              <w:t>F</w:t>
            </w:r>
          </w:p>
        </w:tc>
        <w:tc>
          <w:tcPr>
            <w:tcW w:w="0" w:type="auto"/>
          </w:tcPr>
          <w:p w14:paraId="1140F6AB" w14:textId="77777777" w:rsidR="00992339" w:rsidRDefault="00000000">
            <w:pPr>
              <w:pStyle w:val="Compact"/>
              <w:jc w:val="center"/>
            </w:pPr>
            <w:r>
              <w:rPr>
                <w:b/>
                <w:bCs/>
              </w:rPr>
              <w:t>p-value</w:t>
            </w:r>
          </w:p>
        </w:tc>
      </w:tr>
      <w:tr w:rsidR="00992339" w14:paraId="25F89D72" w14:textId="77777777">
        <w:tc>
          <w:tcPr>
            <w:tcW w:w="0" w:type="auto"/>
          </w:tcPr>
          <w:p w14:paraId="374B465D" w14:textId="77777777" w:rsidR="00992339" w:rsidRDefault="00000000">
            <w:pPr>
              <w:pStyle w:val="Compact"/>
            </w:pPr>
            <w:r>
              <w:t>Previous butterfly count</w:t>
            </w:r>
          </w:p>
        </w:tc>
        <w:tc>
          <w:tcPr>
            <w:tcW w:w="0" w:type="auto"/>
          </w:tcPr>
          <w:p w14:paraId="5DD724F7" w14:textId="77777777" w:rsidR="00992339" w:rsidRDefault="00000000">
            <w:pPr>
              <w:pStyle w:val="Compact"/>
              <w:jc w:val="center"/>
            </w:pPr>
            <w:r>
              <w:t>2.41</w:t>
            </w:r>
          </w:p>
        </w:tc>
        <w:tc>
          <w:tcPr>
            <w:tcW w:w="0" w:type="auto"/>
          </w:tcPr>
          <w:p w14:paraId="21B20700" w14:textId="77777777" w:rsidR="00992339" w:rsidRDefault="00000000">
            <w:pPr>
              <w:pStyle w:val="Compact"/>
              <w:jc w:val="center"/>
            </w:pPr>
            <w:r>
              <w:t>2.41</w:t>
            </w:r>
          </w:p>
        </w:tc>
        <w:tc>
          <w:tcPr>
            <w:tcW w:w="0" w:type="auto"/>
          </w:tcPr>
          <w:p w14:paraId="45C35AB9" w14:textId="77777777" w:rsidR="00992339" w:rsidRDefault="00000000">
            <w:pPr>
              <w:pStyle w:val="Compact"/>
              <w:jc w:val="center"/>
            </w:pPr>
            <w:r>
              <w:t>12.50</w:t>
            </w:r>
          </w:p>
        </w:tc>
        <w:tc>
          <w:tcPr>
            <w:tcW w:w="0" w:type="auto"/>
          </w:tcPr>
          <w:p w14:paraId="727C4F3C" w14:textId="77777777" w:rsidR="00992339" w:rsidRDefault="00000000">
            <w:pPr>
              <w:pStyle w:val="Compact"/>
              <w:jc w:val="center"/>
            </w:pPr>
            <m:oMath>
              <m:r>
                <m:rPr>
                  <m:sty m:val="p"/>
                </m:rPr>
                <w:rPr>
                  <w:rFonts w:ascii="Cambria Math" w:hAnsi="Cambria Math"/>
                </w:rPr>
                <m:t>&lt;</m:t>
              </m:r>
            </m:oMath>
            <w:r>
              <w:t xml:space="preserve"> 0.001***</w:t>
            </w:r>
          </w:p>
        </w:tc>
      </w:tr>
      <w:tr w:rsidR="00992339" w14:paraId="69C468EE" w14:textId="77777777">
        <w:tc>
          <w:tcPr>
            <w:tcW w:w="0" w:type="auto"/>
          </w:tcPr>
          <w:p w14:paraId="4DBCE06D" w14:textId="77777777" w:rsidR="00992339" w:rsidRDefault="00000000">
            <w:pPr>
              <w:pStyle w:val="Compact"/>
            </w:pPr>
            <w:r>
              <w:t>Average temperature</w:t>
            </w:r>
          </w:p>
        </w:tc>
        <w:tc>
          <w:tcPr>
            <w:tcW w:w="0" w:type="auto"/>
          </w:tcPr>
          <w:p w14:paraId="61FA9069" w14:textId="77777777" w:rsidR="00992339" w:rsidRDefault="00000000">
            <w:pPr>
              <w:pStyle w:val="Compact"/>
              <w:jc w:val="center"/>
            </w:pPr>
            <w:r>
              <w:t>3.68</w:t>
            </w:r>
          </w:p>
        </w:tc>
        <w:tc>
          <w:tcPr>
            <w:tcW w:w="0" w:type="auto"/>
          </w:tcPr>
          <w:p w14:paraId="6482EBAD" w14:textId="77777777" w:rsidR="00992339" w:rsidRDefault="00000000">
            <w:pPr>
              <w:pStyle w:val="Compact"/>
              <w:jc w:val="center"/>
            </w:pPr>
            <w:r>
              <w:t>3.68</w:t>
            </w:r>
          </w:p>
        </w:tc>
        <w:tc>
          <w:tcPr>
            <w:tcW w:w="0" w:type="auto"/>
          </w:tcPr>
          <w:p w14:paraId="0D983C65" w14:textId="77777777" w:rsidR="00992339" w:rsidRDefault="00000000">
            <w:pPr>
              <w:pStyle w:val="Compact"/>
              <w:jc w:val="center"/>
            </w:pPr>
            <w:r>
              <w:t>3.19</w:t>
            </w:r>
          </w:p>
        </w:tc>
        <w:tc>
          <w:tcPr>
            <w:tcW w:w="0" w:type="auto"/>
          </w:tcPr>
          <w:p w14:paraId="24519B6D" w14:textId="77777777" w:rsidR="00992339" w:rsidRDefault="00000000">
            <w:pPr>
              <w:pStyle w:val="Compact"/>
              <w:jc w:val="center"/>
            </w:pPr>
            <w:r>
              <w:t>0.057</w:t>
            </w:r>
          </w:p>
        </w:tc>
      </w:tr>
      <w:tr w:rsidR="00992339" w14:paraId="1AAAF4DB" w14:textId="77777777">
        <w:tc>
          <w:tcPr>
            <w:tcW w:w="0" w:type="auto"/>
          </w:tcPr>
          <w:p w14:paraId="2EFA657A" w14:textId="77777777" w:rsidR="00992339" w:rsidRDefault="00000000">
            <w:pPr>
              <w:pStyle w:val="Compact"/>
            </w:pPr>
            <w:r>
              <w:t>Time since sunrise</w:t>
            </w:r>
          </w:p>
        </w:tc>
        <w:tc>
          <w:tcPr>
            <w:tcW w:w="0" w:type="auto"/>
          </w:tcPr>
          <w:p w14:paraId="5713CC31" w14:textId="77777777" w:rsidR="00992339" w:rsidRDefault="00000000">
            <w:pPr>
              <w:pStyle w:val="Compact"/>
              <w:jc w:val="center"/>
            </w:pPr>
            <w:r>
              <w:t>4.87</w:t>
            </w:r>
          </w:p>
        </w:tc>
        <w:tc>
          <w:tcPr>
            <w:tcW w:w="0" w:type="auto"/>
          </w:tcPr>
          <w:p w14:paraId="2D8D4998" w14:textId="77777777" w:rsidR="00992339" w:rsidRDefault="00000000">
            <w:pPr>
              <w:pStyle w:val="Compact"/>
              <w:jc w:val="center"/>
            </w:pPr>
            <w:r>
              <w:t>4.87</w:t>
            </w:r>
          </w:p>
        </w:tc>
        <w:tc>
          <w:tcPr>
            <w:tcW w:w="0" w:type="auto"/>
          </w:tcPr>
          <w:p w14:paraId="204D253C" w14:textId="77777777" w:rsidR="00992339" w:rsidRDefault="00000000">
            <w:pPr>
              <w:pStyle w:val="Compact"/>
              <w:jc w:val="center"/>
            </w:pPr>
            <w:r>
              <w:t>9.85</w:t>
            </w:r>
          </w:p>
        </w:tc>
        <w:tc>
          <w:tcPr>
            <w:tcW w:w="0" w:type="auto"/>
          </w:tcPr>
          <w:p w14:paraId="4A9A408B" w14:textId="77777777" w:rsidR="00992339" w:rsidRDefault="00000000">
            <w:pPr>
              <w:pStyle w:val="Compact"/>
              <w:jc w:val="center"/>
            </w:pPr>
            <m:oMath>
              <m:r>
                <m:rPr>
                  <m:sty m:val="p"/>
                </m:rPr>
                <w:rPr>
                  <w:rFonts w:ascii="Cambria Math" w:hAnsi="Cambria Math"/>
                </w:rPr>
                <m:t>&lt;</m:t>
              </m:r>
            </m:oMath>
            <w:r>
              <w:t xml:space="preserve"> 0.001***</w:t>
            </w:r>
          </w:p>
        </w:tc>
      </w:tr>
      <w:tr w:rsidR="00992339" w14:paraId="452EC5EB" w14:textId="77777777">
        <w:tc>
          <w:tcPr>
            <w:tcW w:w="0" w:type="auto"/>
          </w:tcPr>
          <w:p w14:paraId="2B803FAA" w14:textId="77777777" w:rsidR="00992339" w:rsidRDefault="00000000">
            <w:pPr>
              <w:pStyle w:val="Compact"/>
            </w:pPr>
            <w:r>
              <w:t>Wind gust × Sunlight exposure</w:t>
            </w:r>
          </w:p>
        </w:tc>
        <w:tc>
          <w:tcPr>
            <w:tcW w:w="0" w:type="auto"/>
          </w:tcPr>
          <w:p w14:paraId="721728E2" w14:textId="77777777" w:rsidR="00992339" w:rsidRDefault="00000000">
            <w:pPr>
              <w:pStyle w:val="Compact"/>
              <w:jc w:val="center"/>
            </w:pPr>
            <w:r>
              <w:t>7.35</w:t>
            </w:r>
          </w:p>
        </w:tc>
        <w:tc>
          <w:tcPr>
            <w:tcW w:w="0" w:type="auto"/>
          </w:tcPr>
          <w:p w14:paraId="7D8854EB" w14:textId="77777777" w:rsidR="00992339" w:rsidRDefault="00000000">
            <w:pPr>
              <w:pStyle w:val="Compact"/>
              <w:jc w:val="center"/>
            </w:pPr>
            <w:r>
              <w:t>7.35</w:t>
            </w:r>
          </w:p>
        </w:tc>
        <w:tc>
          <w:tcPr>
            <w:tcW w:w="0" w:type="auto"/>
          </w:tcPr>
          <w:p w14:paraId="722EAE15" w14:textId="77777777" w:rsidR="00992339" w:rsidRDefault="00000000">
            <w:pPr>
              <w:pStyle w:val="Compact"/>
              <w:jc w:val="center"/>
            </w:pPr>
            <w:r>
              <w:t>4.67</w:t>
            </w:r>
          </w:p>
        </w:tc>
        <w:tc>
          <w:tcPr>
            <w:tcW w:w="0" w:type="auto"/>
          </w:tcPr>
          <w:p w14:paraId="03D95F6F" w14:textId="77777777" w:rsidR="00992339" w:rsidRDefault="00000000">
            <w:pPr>
              <w:pStyle w:val="Compact"/>
              <w:jc w:val="center"/>
            </w:pPr>
            <m:oMath>
              <m:r>
                <m:rPr>
                  <m:sty m:val="p"/>
                </m:rPr>
                <w:rPr>
                  <w:rFonts w:ascii="Cambria Math" w:hAnsi="Cambria Math"/>
                </w:rPr>
                <m:t>&lt;</m:t>
              </m:r>
            </m:oMath>
            <w:r>
              <w:t xml:space="preserve"> 0.001***</w:t>
            </w:r>
          </w:p>
        </w:tc>
      </w:tr>
      <w:tr w:rsidR="00992339" w14:paraId="724EE262" w14:textId="77777777">
        <w:tc>
          <w:tcPr>
            <w:tcW w:w="0" w:type="auto"/>
            <w:gridSpan w:val="5"/>
          </w:tcPr>
          <w:p w14:paraId="2E6BA2BC" w14:textId="77777777" w:rsidR="00992339" w:rsidRDefault="00000000">
            <w:pPr>
              <w:pStyle w:val="Compact"/>
            </w:pPr>
            <w:r>
              <w:rPr>
                <w:i/>
                <w:iCs/>
              </w:rPr>
              <w:t>Model performance:</w:t>
            </w:r>
            <w:r>
              <w:t xml:space="preserve"> Adj.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0.064, Scale est. = 4.03, n = 1894</w:t>
            </w:r>
          </w:p>
        </w:tc>
      </w:tr>
    </w:tbl>
    <w:bookmarkEnd w:id="27"/>
    <w:p w14:paraId="574FAC81" w14:textId="77777777" w:rsidR="00992339" w:rsidRDefault="00000000">
      <w:pPr>
        <w:pStyle w:val="BodyText"/>
      </w:pPr>
      <w:r>
        <w:t>Partial effects for the smooth terms, which represent the isolated influence of each predictor while holding other variables constant, are shown in Figure </w:t>
      </w:r>
      <w:hyperlink w:anchor="fig:partial_effects_30min">
        <w:r>
          <w:rPr>
            <w:rStyle w:val="Hyperlink"/>
          </w:rPr>
          <w:t>1.3</w:t>
        </w:r>
      </w:hyperlink>
      <w:r>
        <w:t xml:space="preserve">. The previous butterfly count showed a significant non-linear negative relationship (p &lt; 0.001) consistent with proportionally greater departures from larger aggregations. Time of day captured a </w:t>
      </w:r>
      <w:r>
        <w:lastRenderedPageBreak/>
        <w:t>significant diurnal pattern (p &lt; 0.001) with morning departures and afternoon returns. Temperature showed a marginally non-significant trend (p = 0.057) suggesting possible effects near the 12.7–16°C flight threshold range.</w:t>
      </w:r>
    </w:p>
    <w:p w14:paraId="2699C813" w14:textId="77777777" w:rsidR="00992339" w:rsidRDefault="00000000">
      <w:pPr>
        <w:pStyle w:val="CaptionedFigure"/>
      </w:pPr>
      <w:bookmarkStart w:id="28" w:name="fig:partial_effects_30min"/>
      <w:r>
        <w:rPr>
          <w:noProof/>
        </w:rPr>
        <w:drawing>
          <wp:inline distT="0" distB="0" distL="0" distR="0" wp14:anchorId="0CB23764" wp14:editId="2C03A8C8">
            <wp:extent cx="5334000" cy="1752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supplemental/results/30_min/figures/partial_effects_best_1x3.png"/>
                    <pic:cNvPicPr>
                      <a:picLocks noChangeAspect="1" noChangeArrowheads="1"/>
                    </pic:cNvPicPr>
                  </pic:nvPicPr>
                  <pic:blipFill>
                    <a:blip r:embed="rId8"/>
                    <a:stretch>
                      <a:fillRect/>
                    </a:stretch>
                  </pic:blipFill>
                  <pic:spPr bwMode="auto">
                    <a:xfrm>
                      <a:off x="0" y="0"/>
                      <a:ext cx="5334000" cy="1752600"/>
                    </a:xfrm>
                    <a:prstGeom prst="rect">
                      <a:avLst/>
                    </a:prstGeom>
                    <a:noFill/>
                    <a:ln w="9525">
                      <a:noFill/>
                      <a:headEnd/>
                      <a:tailEnd/>
                    </a:ln>
                  </pic:spPr>
                </pic:pic>
              </a:graphicData>
            </a:graphic>
          </wp:inline>
        </w:drawing>
      </w:r>
    </w:p>
    <w:p w14:paraId="749D5A5D" w14:textId="77777777" w:rsidR="00992339" w:rsidRDefault="00000000">
      <w:pPr>
        <w:pStyle w:val="ImageCaption"/>
      </w:pPr>
      <w:r>
        <w:t>Partial effects of environmental predictors on monarch butterfly abundance changes from the best-fit GAMM model (M50) in the 30-minute wind disruption analysis. Partial effects show how each environmental factor influences butterfly abundance while holding all other variables constant at their average values, isolating each predictor’s individual contribution to the response. Shaded regions represent 95% confidence intervals.</w:t>
      </w:r>
    </w:p>
    <w:bookmarkEnd w:id="28"/>
    <w:p w14:paraId="53A09D57" w14:textId="77777777" w:rsidR="00992339" w:rsidRDefault="00000000">
      <w:pPr>
        <w:pStyle w:val="BodyText"/>
      </w:pPr>
      <w:r>
        <w:t>In the 30-minute wind disruption analysis, the tensor interaction between wind speed and butterflies in direct sun (p &lt; 0.001) revealed a complex conditional relationship where wind effects depended on solar exposure conditions (Figure </w:t>
      </w:r>
      <w:hyperlink w:anchor="fig:interaction_wind_sun">
        <w:r>
          <w:rPr>
            <w:rStyle w:val="Hyperlink"/>
          </w:rPr>
          <w:t>1.4</w:t>
        </w:r>
      </w:hyperlink>
      <w:r>
        <w:t>).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across the time window, while higher counts led to increasing cluster sizes across the time window.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p w14:paraId="53C100AD" w14:textId="77777777" w:rsidR="00992339" w:rsidRDefault="00000000">
      <w:pPr>
        <w:pStyle w:val="CaptionedFigure"/>
      </w:pPr>
      <w:bookmarkStart w:id="29" w:name="fig:interaction_wind_sun"/>
      <w:r>
        <w:rPr>
          <w:noProof/>
        </w:rPr>
        <w:lastRenderedPageBreak/>
        <w:drawing>
          <wp:inline distT="0" distB="0" distL="0" distR="0" wp14:anchorId="236ED600" wp14:editId="6E149391">
            <wp:extent cx="4267200" cy="36576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upplemental/results/30_min/figures/interaction_wind_x_sun_binned.png"/>
                    <pic:cNvPicPr>
                      <a:picLocks noChangeAspect="1" noChangeArrowheads="1"/>
                    </pic:cNvPicPr>
                  </pic:nvPicPr>
                  <pic:blipFill>
                    <a:blip r:embed="rId9"/>
                    <a:stretch>
                      <a:fillRect/>
                    </a:stretch>
                  </pic:blipFill>
                  <pic:spPr bwMode="auto">
                    <a:xfrm>
                      <a:off x="0" y="0"/>
                      <a:ext cx="4267200" cy="3657600"/>
                    </a:xfrm>
                    <a:prstGeom prst="rect">
                      <a:avLst/>
                    </a:prstGeom>
                    <a:noFill/>
                    <a:ln w="9525">
                      <a:noFill/>
                      <a:headEnd/>
                      <a:tailEnd/>
                    </a:ln>
                  </pic:spPr>
                </pic:pic>
              </a:graphicData>
            </a:graphic>
          </wp:inline>
        </w:drawing>
      </w:r>
    </w:p>
    <w:p w14:paraId="2E43C02B" w14:textId="77777777" w:rsidR="00992339" w:rsidRDefault="00000000">
      <w:pPr>
        <w:pStyle w:val="ImageCaption"/>
      </w:pPr>
      <w:r>
        <w:t>Tensor smooth interaction between maximum wind speed (m/s) and butterflies in direct sun on cluster size changes in the 30-minute wind disruption analysis. Color gradient indicates partial effect magnitude (red = positive, blue = negative). Black points show observed data distribution. Red dashed line marks the 2 m/s behavioral threshold. Gray regions indicate areas beyond reliable interpolation range.</w:t>
      </w:r>
    </w:p>
    <w:p w14:paraId="78300ADC" w14:textId="77777777" w:rsidR="00992339" w:rsidRDefault="00000000">
      <w:pPr>
        <w:pStyle w:val="Heading4"/>
      </w:pPr>
      <w:bookmarkStart w:id="30" w:name="model-diagnostics"/>
      <w:bookmarkEnd w:id="26"/>
      <w:bookmarkEnd w:id="29"/>
      <w:r>
        <w:t>Model Diagnostics</w:t>
      </w:r>
    </w:p>
    <w:p w14:paraId="661D8092" w14:textId="77777777" w:rsidR="00992339" w:rsidRDefault="00000000">
      <w:pPr>
        <w:pStyle w:val="FirstParagraph"/>
      </w:pPr>
      <w:r>
        <w:t>Model diagnostic plots confirmed the adequacy of the GAMM specification (Figure </w:t>
      </w:r>
      <w:hyperlink w:anchor="fig:model_diagnostics_30min">
        <w:r>
          <w:rPr>
            <w:rStyle w:val="Hyperlink"/>
          </w:rPr>
          <w:t>1.5</w:t>
        </w:r>
      </w:hyperlink>
      <w:r>
        <w:t>). Residual versus fitted value plots showed no systematic patterns or heteroscedasticity, indicating appropriate model structure. The quantile-quantile plot revealed approximately normal residual distribution with minor deviations in the tails.</w:t>
      </w:r>
    </w:p>
    <w:p w14:paraId="14DA5B66" w14:textId="77777777" w:rsidR="00992339" w:rsidRDefault="00000000">
      <w:pPr>
        <w:pStyle w:val="CaptionedFigure"/>
      </w:pPr>
      <w:bookmarkStart w:id="31" w:name="fig:model_diagnostics_30min"/>
      <w:r>
        <w:rPr>
          <w:noProof/>
        </w:rPr>
        <w:lastRenderedPageBreak/>
        <w:drawing>
          <wp:inline distT="0" distB="0" distL="0" distR="0" wp14:anchorId="266E0C27" wp14:editId="66D4EBFD">
            <wp:extent cx="4800600" cy="200025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supplemental/results/30_min/figures/diag_qq_and_residuals_1x2.png"/>
                    <pic:cNvPicPr>
                      <a:picLocks noChangeAspect="1" noChangeArrowheads="1"/>
                    </pic:cNvPicPr>
                  </pic:nvPicPr>
                  <pic:blipFill>
                    <a:blip r:embed="rId10"/>
                    <a:stretch>
                      <a:fillRect/>
                    </a:stretch>
                  </pic:blipFill>
                  <pic:spPr bwMode="auto">
                    <a:xfrm>
                      <a:off x="0" y="0"/>
                      <a:ext cx="4800600" cy="2000250"/>
                    </a:xfrm>
                    <a:prstGeom prst="rect">
                      <a:avLst/>
                    </a:prstGeom>
                    <a:noFill/>
                    <a:ln w="9525">
                      <a:noFill/>
                      <a:headEnd/>
                      <a:tailEnd/>
                    </a:ln>
                  </pic:spPr>
                </pic:pic>
              </a:graphicData>
            </a:graphic>
          </wp:inline>
        </w:drawing>
      </w:r>
    </w:p>
    <w:p w14:paraId="17F12349" w14:textId="77777777" w:rsidR="00992339" w:rsidRDefault="00000000">
      <w:pPr>
        <w:pStyle w:val="ImageCaption"/>
      </w:pPr>
      <w:r>
        <w:t>Diagnostic plots for the best-fit GAMM model (M50). Left panel shows quantile-quantile plot comparing model residuals to theoretical normal distribution. Right panel displays residuals versus fitted values to assess homoscedasticity and model adequacy.</w:t>
      </w:r>
    </w:p>
    <w:bookmarkEnd w:id="31"/>
    <w:p w14:paraId="18E36916" w14:textId="77777777" w:rsidR="00992339" w:rsidRDefault="00000000">
      <w:pPr>
        <w:pStyle w:val="BodyText"/>
      </w:pPr>
      <w:r>
        <w:t>Basis dimension checks confirmed adequate smoothing parameter selection for all model terms (Table </w:t>
      </w:r>
      <w:hyperlink w:anchor="tab:gam_basis_check">
        <w:r>
          <w:rPr>
            <w:rStyle w:val="Hyperlink"/>
          </w:rPr>
          <w:t>1.3</w:t>
        </w:r>
      </w:hyperlink>
      <w:r>
        <w:t>).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p w14:paraId="674321FE" w14:textId="77777777" w:rsidR="00992339" w:rsidRDefault="00000000">
      <w:pPr>
        <w:pStyle w:val="TableCaption"/>
      </w:pPr>
      <w:bookmarkStart w:id="32" w:name="tab:gam_basis_check"/>
      <w:r>
        <w:t>Basis dimension adequacy checks for smooth terms in best-fit GAMM model (M50). Low p-values (k-index &lt; 1) may indicate insufficient basis dimensions, particularly when edf approaches k’.</w:t>
      </w:r>
    </w:p>
    <w:tbl>
      <w:tblPr>
        <w:tblStyle w:val="Table"/>
        <w:tblW w:w="0" w:type="auto"/>
        <w:tblLook w:val="0020" w:firstRow="1" w:lastRow="0" w:firstColumn="0" w:lastColumn="0" w:noHBand="0" w:noVBand="0"/>
        <w:tblCaption w:val="Basis dimension adequacy checks for smooth terms in best-fit GAMM model (M50). Low p-values (k-index &lt; 1) may indicate insufficient basis dimensions, particularly when edf approaches k’."/>
      </w:tblPr>
      <w:tblGrid>
        <w:gridCol w:w="4120"/>
        <w:gridCol w:w="798"/>
        <w:gridCol w:w="670"/>
        <w:gridCol w:w="972"/>
        <w:gridCol w:w="992"/>
      </w:tblGrid>
      <w:tr w:rsidR="00992339" w14:paraId="03AE52DF"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157C0589" w14:textId="77777777" w:rsidR="00992339" w:rsidRDefault="00000000">
            <w:pPr>
              <w:pStyle w:val="Compact"/>
            </w:pPr>
            <w:r>
              <w:t>Smooth Term</w:t>
            </w:r>
          </w:p>
        </w:tc>
        <w:tc>
          <w:tcPr>
            <w:tcW w:w="0" w:type="auto"/>
          </w:tcPr>
          <w:p w14:paraId="51ED20B3" w14:textId="77777777" w:rsidR="00992339" w:rsidRDefault="00000000">
            <w:pPr>
              <w:pStyle w:val="Compact"/>
              <w:jc w:val="right"/>
            </w:pPr>
            <w:r>
              <w:t>k’</w:t>
            </w:r>
          </w:p>
        </w:tc>
        <w:tc>
          <w:tcPr>
            <w:tcW w:w="0" w:type="auto"/>
          </w:tcPr>
          <w:p w14:paraId="110C5B41" w14:textId="77777777" w:rsidR="00992339" w:rsidRDefault="00000000">
            <w:pPr>
              <w:pStyle w:val="Compact"/>
              <w:jc w:val="right"/>
            </w:pPr>
            <w:r>
              <w:t>edf</w:t>
            </w:r>
          </w:p>
        </w:tc>
        <w:tc>
          <w:tcPr>
            <w:tcW w:w="0" w:type="auto"/>
          </w:tcPr>
          <w:p w14:paraId="2215997E" w14:textId="77777777" w:rsidR="00992339" w:rsidRDefault="00000000">
            <w:pPr>
              <w:pStyle w:val="Compact"/>
              <w:jc w:val="right"/>
            </w:pPr>
            <w:r>
              <w:t>k-index</w:t>
            </w:r>
          </w:p>
        </w:tc>
        <w:tc>
          <w:tcPr>
            <w:tcW w:w="0" w:type="auto"/>
          </w:tcPr>
          <w:p w14:paraId="31AE3830" w14:textId="77777777" w:rsidR="00992339" w:rsidRDefault="00000000">
            <w:pPr>
              <w:pStyle w:val="Compact"/>
              <w:jc w:val="center"/>
            </w:pPr>
            <w:r>
              <w:t>p-value</w:t>
            </w:r>
          </w:p>
        </w:tc>
      </w:tr>
      <w:tr w:rsidR="00992339" w14:paraId="15A7085B" w14:textId="77777777">
        <w:tc>
          <w:tcPr>
            <w:tcW w:w="0" w:type="auto"/>
          </w:tcPr>
          <w:p w14:paraId="51ADE8C9" w14:textId="77777777" w:rsidR="00992339" w:rsidRDefault="00000000">
            <w:pPr>
              <w:pStyle w:val="Compact"/>
            </w:pPr>
            <w:r>
              <w:t xml:space="preserve">s(total butterflies </w:t>
            </w:r>
            <m:oMath>
              <m:sSub>
                <m:sSubPr>
                  <m:ctrlPr>
                    <w:rPr>
                      <w:rFonts w:ascii="Cambria Math" w:hAnsi="Cambria Math"/>
                    </w:rPr>
                  </m:ctrlPr>
                </m:sSubPr>
                <m:e>
                  <m:r>
                    <w:rPr>
                      <w:rFonts w:ascii="Cambria Math" w:hAnsi="Cambria Math"/>
                    </w:rPr>
                    <m:t>t</m:t>
                  </m:r>
                </m:e>
                <m:sub>
                  <m:r>
                    <w:rPr>
                      <w:rFonts w:ascii="Cambria Math" w:hAnsi="Cambria Math"/>
                    </w:rPr>
                    <m:t>lag</m:t>
                  </m:r>
                </m:sub>
              </m:sSub>
            </m:oMath>
            <w:r>
              <w:t>)</w:t>
            </w:r>
          </w:p>
        </w:tc>
        <w:tc>
          <w:tcPr>
            <w:tcW w:w="0" w:type="auto"/>
          </w:tcPr>
          <w:p w14:paraId="17C85491" w14:textId="77777777" w:rsidR="00992339" w:rsidRDefault="00000000">
            <w:pPr>
              <w:pStyle w:val="Compact"/>
              <w:jc w:val="right"/>
            </w:pPr>
            <w:r>
              <w:t>9.00</w:t>
            </w:r>
          </w:p>
        </w:tc>
        <w:tc>
          <w:tcPr>
            <w:tcW w:w="0" w:type="auto"/>
          </w:tcPr>
          <w:p w14:paraId="7B610794" w14:textId="77777777" w:rsidR="00992339" w:rsidRDefault="00000000">
            <w:pPr>
              <w:pStyle w:val="Compact"/>
              <w:jc w:val="right"/>
            </w:pPr>
            <w:r>
              <w:t>2.41</w:t>
            </w:r>
          </w:p>
        </w:tc>
        <w:tc>
          <w:tcPr>
            <w:tcW w:w="0" w:type="auto"/>
          </w:tcPr>
          <w:p w14:paraId="546CAEDA" w14:textId="77777777" w:rsidR="00992339" w:rsidRDefault="00000000">
            <w:pPr>
              <w:pStyle w:val="Compact"/>
              <w:jc w:val="right"/>
            </w:pPr>
            <w:r>
              <w:t>1.00</w:t>
            </w:r>
          </w:p>
        </w:tc>
        <w:tc>
          <w:tcPr>
            <w:tcW w:w="0" w:type="auto"/>
          </w:tcPr>
          <w:p w14:paraId="687CC539" w14:textId="77777777" w:rsidR="00992339" w:rsidRDefault="00000000">
            <w:pPr>
              <w:pStyle w:val="Compact"/>
              <w:jc w:val="center"/>
            </w:pPr>
            <w:r>
              <w:t>0.735</w:t>
            </w:r>
          </w:p>
        </w:tc>
      </w:tr>
      <w:tr w:rsidR="00992339" w14:paraId="3FB729B0" w14:textId="77777777">
        <w:tc>
          <w:tcPr>
            <w:tcW w:w="0" w:type="auto"/>
          </w:tcPr>
          <w:p w14:paraId="43F84D12" w14:textId="77777777" w:rsidR="00992339" w:rsidRDefault="00000000">
            <w:pPr>
              <w:pStyle w:val="Compact"/>
            </w:pPr>
            <w:r>
              <w:t>s(temperature avg)</w:t>
            </w:r>
          </w:p>
        </w:tc>
        <w:tc>
          <w:tcPr>
            <w:tcW w:w="0" w:type="auto"/>
          </w:tcPr>
          <w:p w14:paraId="27B1865B" w14:textId="77777777" w:rsidR="00992339" w:rsidRDefault="00000000">
            <w:pPr>
              <w:pStyle w:val="Compact"/>
              <w:jc w:val="right"/>
            </w:pPr>
            <w:r>
              <w:t>9.00</w:t>
            </w:r>
          </w:p>
        </w:tc>
        <w:tc>
          <w:tcPr>
            <w:tcW w:w="0" w:type="auto"/>
          </w:tcPr>
          <w:p w14:paraId="607C0A3A" w14:textId="77777777" w:rsidR="00992339" w:rsidRDefault="00000000">
            <w:pPr>
              <w:pStyle w:val="Compact"/>
              <w:jc w:val="right"/>
            </w:pPr>
            <w:r>
              <w:t>3.67</w:t>
            </w:r>
          </w:p>
        </w:tc>
        <w:tc>
          <w:tcPr>
            <w:tcW w:w="0" w:type="auto"/>
          </w:tcPr>
          <w:p w14:paraId="11A1439E" w14:textId="77777777" w:rsidR="00992339" w:rsidRDefault="00000000">
            <w:pPr>
              <w:pStyle w:val="Compact"/>
              <w:jc w:val="right"/>
            </w:pPr>
            <w:r>
              <w:t>1.02</w:t>
            </w:r>
          </w:p>
        </w:tc>
        <w:tc>
          <w:tcPr>
            <w:tcW w:w="0" w:type="auto"/>
          </w:tcPr>
          <w:p w14:paraId="72ABB121" w14:textId="77777777" w:rsidR="00992339" w:rsidRDefault="00000000">
            <w:pPr>
              <w:pStyle w:val="Compact"/>
              <w:jc w:val="center"/>
            </w:pPr>
            <w:r>
              <w:t>0.895</w:t>
            </w:r>
          </w:p>
        </w:tc>
      </w:tr>
      <w:tr w:rsidR="00992339" w14:paraId="2C4197B4" w14:textId="77777777">
        <w:tc>
          <w:tcPr>
            <w:tcW w:w="0" w:type="auto"/>
          </w:tcPr>
          <w:p w14:paraId="70C71196" w14:textId="77777777" w:rsidR="00992339" w:rsidRDefault="00000000">
            <w:pPr>
              <w:pStyle w:val="Compact"/>
            </w:pPr>
            <w:r>
              <w:t xml:space="preserve">s(time within day </w:t>
            </w:r>
            <m:oMath>
              <m:r>
                <w:rPr>
                  <w:rFonts w:ascii="Cambria Math" w:hAnsi="Cambria Math"/>
                </w:rPr>
                <m:t>t</m:t>
              </m:r>
            </m:oMath>
            <w:r>
              <w:t>)</w:t>
            </w:r>
          </w:p>
        </w:tc>
        <w:tc>
          <w:tcPr>
            <w:tcW w:w="0" w:type="auto"/>
          </w:tcPr>
          <w:p w14:paraId="1FFAA0BA" w14:textId="77777777" w:rsidR="00992339" w:rsidRDefault="00000000">
            <w:pPr>
              <w:pStyle w:val="Compact"/>
              <w:jc w:val="right"/>
            </w:pPr>
            <w:r>
              <w:t>9.00</w:t>
            </w:r>
          </w:p>
        </w:tc>
        <w:tc>
          <w:tcPr>
            <w:tcW w:w="0" w:type="auto"/>
          </w:tcPr>
          <w:p w14:paraId="6CF4D55C" w14:textId="77777777" w:rsidR="00992339" w:rsidRDefault="00000000">
            <w:pPr>
              <w:pStyle w:val="Compact"/>
              <w:jc w:val="right"/>
            </w:pPr>
            <w:r>
              <w:t>4.87</w:t>
            </w:r>
          </w:p>
        </w:tc>
        <w:tc>
          <w:tcPr>
            <w:tcW w:w="0" w:type="auto"/>
          </w:tcPr>
          <w:p w14:paraId="07AA29CE" w14:textId="77777777" w:rsidR="00992339" w:rsidRDefault="00000000">
            <w:pPr>
              <w:pStyle w:val="Compact"/>
              <w:jc w:val="right"/>
            </w:pPr>
            <w:r>
              <w:t>0.96</w:t>
            </w:r>
          </w:p>
        </w:tc>
        <w:tc>
          <w:tcPr>
            <w:tcW w:w="0" w:type="auto"/>
          </w:tcPr>
          <w:p w14:paraId="26126F39" w14:textId="77777777" w:rsidR="00992339" w:rsidRDefault="00000000">
            <w:pPr>
              <w:pStyle w:val="Compact"/>
              <w:jc w:val="center"/>
            </w:pPr>
            <w:r>
              <w:t>0.065</w:t>
            </w:r>
          </w:p>
        </w:tc>
      </w:tr>
      <w:tr w:rsidR="00992339" w14:paraId="79A8B345" w14:textId="77777777">
        <w:tc>
          <w:tcPr>
            <w:tcW w:w="0" w:type="auto"/>
          </w:tcPr>
          <w:p w14:paraId="6B659E7E" w14:textId="77777777" w:rsidR="00992339" w:rsidRDefault="00000000">
            <w:pPr>
              <w:pStyle w:val="Compact"/>
            </w:pPr>
            <w:r>
              <w:t xml:space="preserve">ti(max gust, butterflies direct sun </w:t>
            </w:r>
            <m:oMath>
              <m:sSub>
                <m:sSubPr>
                  <m:ctrlPr>
                    <w:rPr>
                      <w:rFonts w:ascii="Cambria Math" w:hAnsi="Cambria Math"/>
                    </w:rPr>
                  </m:ctrlPr>
                </m:sSubPr>
                <m:e>
                  <m:r>
                    <w:rPr>
                      <w:rFonts w:ascii="Cambria Math" w:hAnsi="Cambria Math"/>
                    </w:rPr>
                    <m:t>t</m:t>
                  </m:r>
                </m:e>
                <m:sub>
                  <m:r>
                    <w:rPr>
                      <w:rFonts w:ascii="Cambria Math" w:hAnsi="Cambria Math"/>
                    </w:rPr>
                    <m:t>lag</m:t>
                  </m:r>
                </m:sub>
              </m:sSub>
            </m:oMath>
            <w:r>
              <w:t>)</w:t>
            </w:r>
          </w:p>
        </w:tc>
        <w:tc>
          <w:tcPr>
            <w:tcW w:w="0" w:type="auto"/>
          </w:tcPr>
          <w:p w14:paraId="347E3A44" w14:textId="77777777" w:rsidR="00992339" w:rsidRDefault="00000000">
            <w:pPr>
              <w:pStyle w:val="Compact"/>
              <w:jc w:val="right"/>
            </w:pPr>
            <w:r>
              <w:t>16.00</w:t>
            </w:r>
          </w:p>
        </w:tc>
        <w:tc>
          <w:tcPr>
            <w:tcW w:w="0" w:type="auto"/>
          </w:tcPr>
          <w:p w14:paraId="698E0B28" w14:textId="77777777" w:rsidR="00992339" w:rsidRDefault="00000000">
            <w:pPr>
              <w:pStyle w:val="Compact"/>
              <w:jc w:val="right"/>
            </w:pPr>
            <w:r>
              <w:t>7.35</w:t>
            </w:r>
          </w:p>
        </w:tc>
        <w:tc>
          <w:tcPr>
            <w:tcW w:w="0" w:type="auto"/>
          </w:tcPr>
          <w:p w14:paraId="094EF02D" w14:textId="77777777" w:rsidR="00992339" w:rsidRDefault="00000000">
            <w:pPr>
              <w:pStyle w:val="Compact"/>
              <w:jc w:val="right"/>
            </w:pPr>
            <w:r>
              <w:t>0.99</w:t>
            </w:r>
          </w:p>
        </w:tc>
        <w:tc>
          <w:tcPr>
            <w:tcW w:w="0" w:type="auto"/>
          </w:tcPr>
          <w:p w14:paraId="34609E61" w14:textId="77777777" w:rsidR="00992339" w:rsidRDefault="00000000">
            <w:pPr>
              <w:pStyle w:val="Compact"/>
              <w:jc w:val="center"/>
            </w:pPr>
            <w:r>
              <w:t>0.490</w:t>
            </w:r>
          </w:p>
        </w:tc>
      </w:tr>
    </w:tbl>
    <w:bookmarkEnd w:id="32"/>
    <w:p w14:paraId="57F25B92" w14:textId="77777777" w:rsidR="00992339" w:rsidRDefault="00000000">
      <w:pPr>
        <w:pStyle w:val="BodyText"/>
      </w:pPr>
      <w:r>
        <w:t>Temporal autocorrelation analysis revealed minimal residual correlation structure after accounting for the AR(1) correlation within deployment days (Figure </w:t>
      </w:r>
      <w:hyperlink w:anchor="fig:acf_diagnostics">
        <w:r>
          <w:rPr>
            <w:rStyle w:val="Hyperlink"/>
          </w:rPr>
          <w:t>1.6</w:t>
        </w:r>
      </w:hyperlink>
      <w:r>
        <w:t>).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p w14:paraId="07AFD379" w14:textId="77777777" w:rsidR="00992339" w:rsidRDefault="00000000">
      <w:pPr>
        <w:pStyle w:val="CaptionedFigure"/>
      </w:pPr>
      <w:bookmarkStart w:id="33" w:name="fig:acf_diagnostics"/>
      <w:r>
        <w:rPr>
          <w:noProof/>
        </w:rPr>
        <w:lastRenderedPageBreak/>
        <w:drawing>
          <wp:inline distT="0" distB="0" distL="0" distR="0" wp14:anchorId="116E2F1E" wp14:editId="4B123C15">
            <wp:extent cx="4267200" cy="28448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supplemental/results/30_min/figures/diag_acf.png"/>
                    <pic:cNvPicPr>
                      <a:picLocks noChangeAspect="1" noChangeArrowheads="1"/>
                    </pic:cNvPicPr>
                  </pic:nvPicPr>
                  <pic:blipFill>
                    <a:blip r:embed="rId11"/>
                    <a:stretch>
                      <a:fillRect/>
                    </a:stretch>
                  </pic:blipFill>
                  <pic:spPr bwMode="auto">
                    <a:xfrm>
                      <a:off x="0" y="0"/>
                      <a:ext cx="4267200" cy="2844800"/>
                    </a:xfrm>
                    <a:prstGeom prst="rect">
                      <a:avLst/>
                    </a:prstGeom>
                    <a:noFill/>
                    <a:ln w="9525">
                      <a:noFill/>
                      <a:headEnd/>
                      <a:tailEnd/>
                    </a:ln>
                  </pic:spPr>
                </pic:pic>
              </a:graphicData>
            </a:graphic>
          </wp:inline>
        </w:drawing>
      </w:r>
    </w:p>
    <w:p w14:paraId="7F507DDA" w14:textId="77777777" w:rsidR="00992339" w:rsidRDefault="00000000">
      <w:pPr>
        <w:pStyle w:val="ImageCaption"/>
      </w:pPr>
      <w:r>
        <w:t>Autocorrelation function of model residuals showing minimal temporal correlation after accounting for AR(1) structure within deployment days. Blue dashed lines indicate 95% confidence bounds for white noise.</w:t>
      </w:r>
    </w:p>
    <w:p w14:paraId="4DF91D8A" w14:textId="77777777" w:rsidR="00992339" w:rsidRDefault="00000000">
      <w:pPr>
        <w:pStyle w:val="Heading4"/>
      </w:pPr>
      <w:bookmarkStart w:id="34" w:name="threshold-wind-disruption-analysis"/>
      <w:bookmarkEnd w:id="30"/>
      <w:bookmarkEnd w:id="33"/>
      <w:r>
        <w:t>Threshold Wind Disruption Analysis</w:t>
      </w:r>
    </w:p>
    <w:p w14:paraId="68EF0F06" w14:textId="77777777" w:rsidR="00992339" w:rsidRDefault="00000000">
      <w:pPr>
        <w:pStyle w:val="FirstParagraph"/>
      </w:pPr>
      <w:r>
        <w:t>Within the 30-minute wind disruption analysis framework, we conducted this threshold analysis to determine whether wind is best characterized as a continuous variable or a binary disruption threshold, regardless of whether it operates independently or conditionally on other factors. To test the hypothesis that wind acts as a binary disruption threshold rather than a continuous variable, we repeated the entire 30-minute interval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1.4</w:t>
        </w:r>
      </w:hyperlink>
      <w:r>
        <w:t>).</w:t>
      </w:r>
    </w:p>
    <w:p w14:paraId="3620357E" w14:textId="77777777" w:rsidR="00992339" w:rsidRDefault="00000000">
      <w:pPr>
        <w:pStyle w:val="BodyText"/>
      </w:pPr>
      <w:r>
        <w:t>While T50 achieved the lowest AIC among threshold models, it failed to decisively outperform simpler alternatives, capturing only 55.4% of model weight compared to 40.4% for the model without any wind term (T23). The negligible difference in AIC (</w:t>
      </w:r>
      <m:oMath>
        <m:r>
          <m:rPr>
            <m:sty m:val="p"/>
          </m:rPr>
          <w:rPr>
            <w:rFonts w:ascii="Cambria Math" w:hAnsi="Cambria Math"/>
          </w:rPr>
          <m:t>Δ</m:t>
        </m:r>
      </m:oMath>
      <w:r>
        <w:t xml:space="preserve">AIC = 0.63) between these models indicates substantial certainty that the threshold wind variable does not substantially improve predictions. Despite this weaker overall performance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p w14:paraId="0CB0F439" w14:textId="77777777" w:rsidR="00992339" w:rsidRDefault="00000000">
      <w:pPr>
        <w:pStyle w:val="TableCaption"/>
      </w:pPr>
      <w:bookmarkStart w:id="35" w:name="tab:threshold_model_selection"/>
      <w:r>
        <w:lastRenderedPageBreak/>
        <w:t>Top 5 models ranked by AIC (30-minute threshold analysis)</w:t>
      </w:r>
    </w:p>
    <w:tbl>
      <w:tblPr>
        <w:tblStyle w:val="Table"/>
        <w:tblW w:w="0" w:type="auto"/>
        <w:tblLook w:val="0020" w:firstRow="1" w:lastRow="0" w:firstColumn="0" w:lastColumn="0" w:noHBand="0" w:noVBand="0"/>
        <w:tblCaption w:val="Top 5 models ranked by AIC (30-minute threshold analysis)"/>
      </w:tblPr>
      <w:tblGrid>
        <w:gridCol w:w="862"/>
        <w:gridCol w:w="5922"/>
        <w:gridCol w:w="1054"/>
        <w:gridCol w:w="798"/>
        <w:gridCol w:w="940"/>
      </w:tblGrid>
      <w:tr w:rsidR="00992339" w14:paraId="3A24827B"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7B95F330" w14:textId="77777777" w:rsidR="00992339" w:rsidRDefault="00000000">
            <w:pPr>
              <w:pStyle w:val="Compact"/>
            </w:pPr>
            <w:r>
              <w:t>Model</w:t>
            </w:r>
          </w:p>
        </w:tc>
        <w:tc>
          <w:tcPr>
            <w:tcW w:w="0" w:type="auto"/>
          </w:tcPr>
          <w:p w14:paraId="429F7964" w14:textId="77777777" w:rsidR="00992339" w:rsidRDefault="00000000">
            <w:pPr>
              <w:pStyle w:val="Compact"/>
            </w:pPr>
            <w:r>
              <w:t>Terms</w:t>
            </w:r>
          </w:p>
        </w:tc>
        <w:tc>
          <w:tcPr>
            <w:tcW w:w="0" w:type="auto"/>
          </w:tcPr>
          <w:p w14:paraId="7B00BC07" w14:textId="77777777" w:rsidR="00992339" w:rsidRDefault="00000000">
            <w:pPr>
              <w:pStyle w:val="Compact"/>
              <w:jc w:val="right"/>
            </w:pPr>
            <w:r>
              <w:t>AIC</w:t>
            </w:r>
          </w:p>
        </w:tc>
        <w:tc>
          <w:tcPr>
            <w:tcW w:w="0" w:type="auto"/>
          </w:tcPr>
          <w:p w14:paraId="663A5C6A" w14:textId="77777777" w:rsidR="00992339" w:rsidRDefault="00000000">
            <w:pPr>
              <w:pStyle w:val="Compact"/>
              <w:jc w:val="right"/>
            </w:pPr>
            <m:oMath>
              <m:r>
                <m:rPr>
                  <m:sty m:val="p"/>
                </m:rPr>
                <w:rPr>
                  <w:rFonts w:ascii="Cambria Math" w:hAnsi="Cambria Math"/>
                </w:rPr>
                <m:t>Δ</m:t>
              </m:r>
            </m:oMath>
            <w:r>
              <w:t>AIC</w:t>
            </w:r>
          </w:p>
        </w:tc>
        <w:tc>
          <w:tcPr>
            <w:tcW w:w="0" w:type="auto"/>
          </w:tcPr>
          <w:p w14:paraId="67F842B8" w14:textId="77777777" w:rsidR="00992339" w:rsidRDefault="00000000">
            <w:pPr>
              <w:pStyle w:val="Compact"/>
              <w:jc w:val="right"/>
            </w:pPr>
            <w:r>
              <w:t>Weight</w:t>
            </w:r>
          </w:p>
        </w:tc>
      </w:tr>
      <w:tr w:rsidR="00992339" w14:paraId="18CCB8B7" w14:textId="77777777">
        <w:tc>
          <w:tcPr>
            <w:tcW w:w="0" w:type="auto"/>
          </w:tcPr>
          <w:p w14:paraId="25AE8945" w14:textId="77777777" w:rsidR="00992339" w:rsidRDefault="00000000">
            <w:pPr>
              <w:pStyle w:val="Compact"/>
            </w:pPr>
            <w:r>
              <w:t>T50</w:t>
            </w:r>
          </w:p>
        </w:tc>
        <w:tc>
          <w:tcPr>
            <w:tcW w:w="0" w:type="auto"/>
          </w:tcPr>
          <w:p w14:paraId="33D4D4B7" w14:textId="77777777" w:rsidR="00992339" w:rsidRDefault="00000000">
            <w:pPr>
              <w:pStyle w:val="Compact"/>
            </w:pPr>
            <w:r>
              <w:t>Previous butterfly count, Temperature, Time since sunrise, Interaction (tensor): Minutes above 2 m/s, Butterflies in direct sun</w:t>
            </w:r>
          </w:p>
        </w:tc>
        <w:tc>
          <w:tcPr>
            <w:tcW w:w="0" w:type="auto"/>
          </w:tcPr>
          <w:p w14:paraId="06F13040" w14:textId="77777777" w:rsidR="00992339" w:rsidRDefault="00000000">
            <w:pPr>
              <w:pStyle w:val="Compact"/>
              <w:jc w:val="right"/>
            </w:pPr>
            <w:r>
              <w:t>8077.23</w:t>
            </w:r>
          </w:p>
        </w:tc>
        <w:tc>
          <w:tcPr>
            <w:tcW w:w="0" w:type="auto"/>
          </w:tcPr>
          <w:p w14:paraId="6DD4AA77" w14:textId="77777777" w:rsidR="00992339" w:rsidRDefault="00000000">
            <w:pPr>
              <w:pStyle w:val="Compact"/>
              <w:jc w:val="right"/>
            </w:pPr>
            <w:r>
              <w:t>0.00</w:t>
            </w:r>
          </w:p>
        </w:tc>
        <w:tc>
          <w:tcPr>
            <w:tcW w:w="0" w:type="auto"/>
          </w:tcPr>
          <w:p w14:paraId="129C7F4F" w14:textId="77777777" w:rsidR="00992339" w:rsidRDefault="00000000">
            <w:pPr>
              <w:pStyle w:val="Compact"/>
              <w:jc w:val="right"/>
            </w:pPr>
            <w:r>
              <w:t>0.55</w:t>
            </w:r>
          </w:p>
        </w:tc>
      </w:tr>
      <w:tr w:rsidR="00992339" w14:paraId="2B7662B3" w14:textId="77777777">
        <w:tc>
          <w:tcPr>
            <w:tcW w:w="0" w:type="auto"/>
          </w:tcPr>
          <w:p w14:paraId="00D7151C" w14:textId="77777777" w:rsidR="00992339" w:rsidRDefault="00000000">
            <w:pPr>
              <w:pStyle w:val="Compact"/>
            </w:pPr>
            <w:r>
              <w:t>T23</w:t>
            </w:r>
          </w:p>
        </w:tc>
        <w:tc>
          <w:tcPr>
            <w:tcW w:w="0" w:type="auto"/>
          </w:tcPr>
          <w:p w14:paraId="5651715E" w14:textId="77777777" w:rsidR="00992339" w:rsidRDefault="00000000">
            <w:pPr>
              <w:pStyle w:val="Compact"/>
            </w:pPr>
            <w:r>
              <w:t>Previous butterfly count, Temperature, Butterflies in direct sun, Time since sunrise</w:t>
            </w:r>
          </w:p>
        </w:tc>
        <w:tc>
          <w:tcPr>
            <w:tcW w:w="0" w:type="auto"/>
          </w:tcPr>
          <w:p w14:paraId="0D7704B6" w14:textId="77777777" w:rsidR="00992339" w:rsidRDefault="00000000">
            <w:pPr>
              <w:pStyle w:val="Compact"/>
              <w:jc w:val="right"/>
            </w:pPr>
            <w:r>
              <w:t>8077.86</w:t>
            </w:r>
          </w:p>
        </w:tc>
        <w:tc>
          <w:tcPr>
            <w:tcW w:w="0" w:type="auto"/>
          </w:tcPr>
          <w:p w14:paraId="29FC65BA" w14:textId="77777777" w:rsidR="00992339" w:rsidRDefault="00000000">
            <w:pPr>
              <w:pStyle w:val="Compact"/>
              <w:jc w:val="right"/>
            </w:pPr>
            <w:r>
              <w:t>0.63</w:t>
            </w:r>
          </w:p>
        </w:tc>
        <w:tc>
          <w:tcPr>
            <w:tcW w:w="0" w:type="auto"/>
          </w:tcPr>
          <w:p w14:paraId="52D75F78" w14:textId="77777777" w:rsidR="00992339" w:rsidRDefault="00000000">
            <w:pPr>
              <w:pStyle w:val="Compact"/>
              <w:jc w:val="right"/>
            </w:pPr>
            <w:r>
              <w:t>0.40</w:t>
            </w:r>
          </w:p>
        </w:tc>
      </w:tr>
      <w:tr w:rsidR="00992339" w14:paraId="444AFA15" w14:textId="77777777">
        <w:tc>
          <w:tcPr>
            <w:tcW w:w="0" w:type="auto"/>
          </w:tcPr>
          <w:p w14:paraId="77B53A46" w14:textId="77777777" w:rsidR="00992339" w:rsidRDefault="00000000">
            <w:pPr>
              <w:pStyle w:val="Compact"/>
            </w:pPr>
            <w:r>
              <w:t>T22</w:t>
            </w:r>
          </w:p>
        </w:tc>
        <w:tc>
          <w:tcPr>
            <w:tcW w:w="0" w:type="auto"/>
          </w:tcPr>
          <w:p w14:paraId="7E899A0B" w14:textId="77777777" w:rsidR="00992339" w:rsidRDefault="00000000">
            <w:pPr>
              <w:pStyle w:val="Compact"/>
            </w:pPr>
            <w:r>
              <w:t>Previous butterfly count, Temperature (linear), Butterflies in direct sun, Time since sunrise</w:t>
            </w:r>
          </w:p>
        </w:tc>
        <w:tc>
          <w:tcPr>
            <w:tcW w:w="0" w:type="auto"/>
          </w:tcPr>
          <w:p w14:paraId="7FE7998B" w14:textId="77777777" w:rsidR="00992339" w:rsidRDefault="00000000">
            <w:pPr>
              <w:pStyle w:val="Compact"/>
              <w:jc w:val="right"/>
            </w:pPr>
            <w:r>
              <w:t>8082.90</w:t>
            </w:r>
          </w:p>
        </w:tc>
        <w:tc>
          <w:tcPr>
            <w:tcW w:w="0" w:type="auto"/>
          </w:tcPr>
          <w:p w14:paraId="72FA6BF2" w14:textId="77777777" w:rsidR="00992339" w:rsidRDefault="00000000">
            <w:pPr>
              <w:pStyle w:val="Compact"/>
              <w:jc w:val="right"/>
            </w:pPr>
            <w:r>
              <w:t>5.67</w:t>
            </w:r>
          </w:p>
        </w:tc>
        <w:tc>
          <w:tcPr>
            <w:tcW w:w="0" w:type="auto"/>
          </w:tcPr>
          <w:p w14:paraId="0C0C05E6" w14:textId="77777777" w:rsidR="00992339" w:rsidRDefault="00000000">
            <w:pPr>
              <w:pStyle w:val="Compact"/>
              <w:jc w:val="right"/>
            </w:pPr>
            <w:r>
              <w:t>0.03</w:t>
            </w:r>
          </w:p>
        </w:tc>
      </w:tr>
      <w:tr w:rsidR="00992339" w14:paraId="13F8A104" w14:textId="77777777">
        <w:tc>
          <w:tcPr>
            <w:tcW w:w="0" w:type="auto"/>
          </w:tcPr>
          <w:p w14:paraId="0B68D3F2" w14:textId="77777777" w:rsidR="00992339" w:rsidRDefault="00000000">
            <w:pPr>
              <w:pStyle w:val="Compact"/>
            </w:pPr>
            <w:r>
              <w:t>T24</w:t>
            </w:r>
          </w:p>
        </w:tc>
        <w:tc>
          <w:tcPr>
            <w:tcW w:w="0" w:type="auto"/>
          </w:tcPr>
          <w:p w14:paraId="4F9795FF" w14:textId="77777777" w:rsidR="00992339" w:rsidRDefault="00000000">
            <w:pPr>
              <w:pStyle w:val="Compact"/>
            </w:pPr>
            <w:r>
              <w:t>Previous butterfly count, Minutes above 2 m/s, Temperature, Butterflies in direct sun, Time since sunrise</w:t>
            </w:r>
          </w:p>
        </w:tc>
        <w:tc>
          <w:tcPr>
            <w:tcW w:w="0" w:type="auto"/>
          </w:tcPr>
          <w:p w14:paraId="0562427D" w14:textId="77777777" w:rsidR="00992339" w:rsidRDefault="00000000">
            <w:pPr>
              <w:pStyle w:val="Compact"/>
              <w:jc w:val="right"/>
            </w:pPr>
            <w:r>
              <w:t>8085.41</w:t>
            </w:r>
          </w:p>
        </w:tc>
        <w:tc>
          <w:tcPr>
            <w:tcW w:w="0" w:type="auto"/>
          </w:tcPr>
          <w:p w14:paraId="259D69A3" w14:textId="77777777" w:rsidR="00992339" w:rsidRDefault="00000000">
            <w:pPr>
              <w:pStyle w:val="Compact"/>
              <w:jc w:val="right"/>
            </w:pPr>
            <w:r>
              <w:t>8.18</w:t>
            </w:r>
          </w:p>
        </w:tc>
        <w:tc>
          <w:tcPr>
            <w:tcW w:w="0" w:type="auto"/>
          </w:tcPr>
          <w:p w14:paraId="22EA5CD8" w14:textId="77777777" w:rsidR="00992339" w:rsidRDefault="00000000">
            <w:pPr>
              <w:pStyle w:val="Compact"/>
              <w:jc w:val="right"/>
            </w:pPr>
            <w:r>
              <w:t>0.01</w:t>
            </w:r>
          </w:p>
        </w:tc>
      </w:tr>
      <w:tr w:rsidR="00992339" w14:paraId="4E153D2A" w14:textId="77777777">
        <w:tc>
          <w:tcPr>
            <w:tcW w:w="0" w:type="auto"/>
          </w:tcPr>
          <w:p w14:paraId="4445C210" w14:textId="77777777" w:rsidR="00992339" w:rsidRDefault="00000000">
            <w:pPr>
              <w:pStyle w:val="Compact"/>
            </w:pPr>
            <w:r>
              <w:t>T47</w:t>
            </w:r>
          </w:p>
        </w:tc>
        <w:tc>
          <w:tcPr>
            <w:tcW w:w="0" w:type="auto"/>
          </w:tcPr>
          <w:p w14:paraId="4332AEB6" w14:textId="77777777" w:rsidR="00992339" w:rsidRDefault="00000000">
            <w:pPr>
              <w:pStyle w:val="Compact"/>
            </w:pPr>
            <w:r>
              <w:t>Temperature, Butterflies in direct sun, Time since sunrise</w:t>
            </w:r>
          </w:p>
        </w:tc>
        <w:tc>
          <w:tcPr>
            <w:tcW w:w="0" w:type="auto"/>
          </w:tcPr>
          <w:p w14:paraId="0A65603A" w14:textId="77777777" w:rsidR="00992339" w:rsidRDefault="00000000">
            <w:pPr>
              <w:pStyle w:val="Compact"/>
              <w:jc w:val="right"/>
            </w:pPr>
            <w:r>
              <w:t>8097.30</w:t>
            </w:r>
          </w:p>
        </w:tc>
        <w:tc>
          <w:tcPr>
            <w:tcW w:w="0" w:type="auto"/>
          </w:tcPr>
          <w:p w14:paraId="6E2937F5" w14:textId="77777777" w:rsidR="00992339" w:rsidRDefault="00000000">
            <w:pPr>
              <w:pStyle w:val="Compact"/>
              <w:jc w:val="right"/>
            </w:pPr>
            <w:r>
              <w:t>20.07</w:t>
            </w:r>
          </w:p>
        </w:tc>
        <w:tc>
          <w:tcPr>
            <w:tcW w:w="0" w:type="auto"/>
          </w:tcPr>
          <w:p w14:paraId="3E549642" w14:textId="77777777" w:rsidR="00992339" w:rsidRDefault="00000000">
            <w:pPr>
              <w:pStyle w:val="Compact"/>
              <w:jc w:val="right"/>
            </w:pPr>
            <w:r>
              <w:t>0.00</w:t>
            </w:r>
          </w:p>
        </w:tc>
      </w:tr>
    </w:tbl>
    <w:bookmarkEnd w:id="35"/>
    <w:p w14:paraId="1FD85046" w14:textId="77777777" w:rsidR="00992339" w:rsidRDefault="00000000">
      <w:pPr>
        <w:pStyle w:val="BodyText"/>
      </w:pPr>
      <w:r>
        <w:t>The interaction partial effects plot from the 30-minute threshold analysis reveals complex conditional relationships between wind exposure duration and solar conditions (Figure </w:t>
      </w:r>
      <w:hyperlink w:anchor="fig:threshold_interaction">
        <w:r>
          <w:rPr>
            <w:rStyle w:val="Hyperlink"/>
          </w:rPr>
          <w:t>1.7</w:t>
        </w:r>
      </w:hyperlink>
      <w:r>
        <w:t>).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14:paraId="488C4301" w14:textId="77777777" w:rsidR="00992339" w:rsidRDefault="00000000">
      <w:pPr>
        <w:pStyle w:val="BodyText"/>
      </w:pPr>
      <w:r>
        <w:t>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14:paraId="47F35255" w14:textId="77777777" w:rsidR="00992339" w:rsidRDefault="00000000">
      <w:pPr>
        <w:pStyle w:val="BodyText"/>
      </w:pPr>
      <w:r>
        <w:t>The same caveats apply regarding sparse data at the extremes and the limits of interpolation, particularly given that most observations occurred at low butterfly counts in direct sun.</w:t>
      </w:r>
    </w:p>
    <w:p w14:paraId="5CAA5FF8" w14:textId="77777777" w:rsidR="00992339" w:rsidRDefault="00000000">
      <w:pPr>
        <w:pStyle w:val="CaptionedFigure"/>
      </w:pPr>
      <w:bookmarkStart w:id="36" w:name="fig:threshold_interaction"/>
      <w:r>
        <w:rPr>
          <w:noProof/>
        </w:rPr>
        <w:lastRenderedPageBreak/>
        <w:drawing>
          <wp:inline distT="0" distB="0" distL="0" distR="0" wp14:anchorId="1597D596" wp14:editId="7CE99ACE">
            <wp:extent cx="4267200" cy="36576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supplemental/results/30_min_threshold/figures/interaction_wind_x_sun_binned.png"/>
                    <pic:cNvPicPr>
                      <a:picLocks noChangeAspect="1" noChangeArrowheads="1"/>
                    </pic:cNvPicPr>
                  </pic:nvPicPr>
                  <pic:blipFill>
                    <a:blip r:embed="rId12"/>
                    <a:stretch>
                      <a:fillRect/>
                    </a:stretch>
                  </pic:blipFill>
                  <pic:spPr bwMode="auto">
                    <a:xfrm>
                      <a:off x="0" y="0"/>
                      <a:ext cx="4267200" cy="3657600"/>
                    </a:xfrm>
                    <a:prstGeom prst="rect">
                      <a:avLst/>
                    </a:prstGeom>
                    <a:noFill/>
                    <a:ln w="9525">
                      <a:noFill/>
                      <a:headEnd/>
                      <a:tailEnd/>
                    </a:ln>
                  </pic:spPr>
                </pic:pic>
              </a:graphicData>
            </a:graphic>
          </wp:inline>
        </w:drawing>
      </w:r>
    </w:p>
    <w:p w14:paraId="0F3085D0" w14:textId="77777777" w:rsidR="00992339" w:rsidRDefault="00000000">
      <w:pPr>
        <w:pStyle w:val="ImageCaption"/>
      </w:pPr>
      <w:r>
        <w:t>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p w14:paraId="538A326F" w14:textId="77777777" w:rsidR="00992339" w:rsidRDefault="00000000">
      <w:pPr>
        <w:pStyle w:val="Heading3"/>
      </w:pPr>
      <w:bookmarkStart w:id="37" w:name="statistical-power-to-detect-wind-effects"/>
      <w:bookmarkEnd w:id="23"/>
      <w:bookmarkEnd w:id="34"/>
      <w:bookmarkEnd w:id="36"/>
      <w:r>
        <w:t>Statistical Power to Detect Wind Effects</w:t>
      </w:r>
    </w:p>
    <w:p w14:paraId="77BDBD2A" w14:textId="77777777" w:rsidR="00992339" w:rsidRDefault="00000000">
      <w:pPr>
        <w:pStyle w:val="FirstParagraph"/>
      </w:pPr>
      <w:r>
        <w:t>Post-hoc power analysis confirmed our study had adequate statistical power to detect biologically meaningful wind effects (Table </w:t>
      </w:r>
      <w:hyperlink w:anchor="tab:power_analysis">
        <w:r>
          <w:rPr>
            <w:rStyle w:val="Hyperlink"/>
          </w:rPr>
          <w:t>1.5</w:t>
        </w:r>
      </w:hyperlink>
      <w:r>
        <w:t>).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p w14:paraId="450EE33A" w14:textId="77777777" w:rsidR="00992339" w:rsidRDefault="00000000">
      <w:pPr>
        <w:pStyle w:val="TableCaption"/>
      </w:pPr>
      <w:bookmarkStart w:id="38" w:name="tab:power_analysis"/>
      <w:r>
        <w:t>Estimated power to detect wind effects of varying magnitudes. Effect sizes are expressed in standard deviations of the response variable (cube root transformed change in butterfly abundance).</w:t>
      </w:r>
    </w:p>
    <w:tbl>
      <w:tblPr>
        <w:tblStyle w:val="Table"/>
        <w:tblW w:w="0" w:type="auto"/>
        <w:tblLook w:val="0020" w:firstRow="1" w:lastRow="0" w:firstColumn="0" w:lastColumn="0" w:noHBand="0" w:noVBand="0"/>
        <w:tblCaption w:val="Estimated power to detect wind effects of varying magnitudes. Effect sizes are expressed in standard deviations of the response variable (cube root transformed change in butterfly abundance)."/>
      </w:tblPr>
      <w:tblGrid>
        <w:gridCol w:w="670"/>
        <w:gridCol w:w="2354"/>
        <w:gridCol w:w="2155"/>
        <w:gridCol w:w="1255"/>
      </w:tblGrid>
      <w:tr w:rsidR="00992339" w14:paraId="60AFA922"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6730025B" w14:textId="77777777" w:rsidR="00992339" w:rsidRDefault="00992339">
            <w:pPr>
              <w:pStyle w:val="Compact"/>
            </w:pPr>
          </w:p>
        </w:tc>
        <w:tc>
          <w:tcPr>
            <w:tcW w:w="0" w:type="auto"/>
          </w:tcPr>
          <w:p w14:paraId="37D7588B" w14:textId="77777777" w:rsidR="00992339" w:rsidRDefault="00000000">
            <w:pPr>
              <w:pStyle w:val="Compact"/>
              <w:jc w:val="right"/>
            </w:pPr>
            <w:r>
              <w:t>Effect Size (SD units)</w:t>
            </w:r>
          </w:p>
        </w:tc>
        <w:tc>
          <w:tcPr>
            <w:tcW w:w="0" w:type="auto"/>
          </w:tcPr>
          <w:p w14:paraId="5B6C8D28" w14:textId="77777777" w:rsidR="00992339" w:rsidRDefault="00000000">
            <w:pPr>
              <w:pStyle w:val="Compact"/>
              <w:jc w:val="right"/>
            </w:pPr>
            <w:r>
              <w:t>Power (Proportion)</w:t>
            </w:r>
          </w:p>
        </w:tc>
        <w:tc>
          <w:tcPr>
            <w:tcW w:w="0" w:type="auto"/>
          </w:tcPr>
          <w:p w14:paraId="6E702E5D" w14:textId="77777777" w:rsidR="00992339" w:rsidRDefault="00000000">
            <w:pPr>
              <w:pStyle w:val="Compact"/>
            </w:pPr>
            <w:r>
              <w:t>Power (%)</w:t>
            </w:r>
          </w:p>
        </w:tc>
      </w:tr>
      <w:tr w:rsidR="00992339" w14:paraId="543C3DAA" w14:textId="77777777">
        <w:tc>
          <w:tcPr>
            <w:tcW w:w="0" w:type="auto"/>
          </w:tcPr>
          <w:p w14:paraId="4DF8673A" w14:textId="77777777" w:rsidR="00992339" w:rsidRDefault="00000000">
            <w:pPr>
              <w:pStyle w:val="Compact"/>
            </w:pPr>
            <w:r>
              <w:t>0.05</w:t>
            </w:r>
          </w:p>
        </w:tc>
        <w:tc>
          <w:tcPr>
            <w:tcW w:w="0" w:type="auto"/>
          </w:tcPr>
          <w:p w14:paraId="4D9CE8CC" w14:textId="77777777" w:rsidR="00992339" w:rsidRDefault="00000000">
            <w:pPr>
              <w:pStyle w:val="Compact"/>
              <w:jc w:val="right"/>
            </w:pPr>
            <w:r>
              <w:t>0.05</w:t>
            </w:r>
          </w:p>
        </w:tc>
        <w:tc>
          <w:tcPr>
            <w:tcW w:w="0" w:type="auto"/>
          </w:tcPr>
          <w:p w14:paraId="179BB3F4" w14:textId="77777777" w:rsidR="00992339" w:rsidRDefault="00000000">
            <w:pPr>
              <w:pStyle w:val="Compact"/>
              <w:jc w:val="right"/>
            </w:pPr>
            <w:r>
              <w:t>0.165</w:t>
            </w:r>
          </w:p>
        </w:tc>
        <w:tc>
          <w:tcPr>
            <w:tcW w:w="0" w:type="auto"/>
          </w:tcPr>
          <w:p w14:paraId="4B5342F3" w14:textId="77777777" w:rsidR="00992339" w:rsidRDefault="00000000">
            <w:pPr>
              <w:pStyle w:val="Compact"/>
            </w:pPr>
            <w:r>
              <w:t>16.5%</w:t>
            </w:r>
          </w:p>
        </w:tc>
      </w:tr>
      <w:tr w:rsidR="00992339" w14:paraId="3ABDED57" w14:textId="77777777">
        <w:tc>
          <w:tcPr>
            <w:tcW w:w="0" w:type="auto"/>
          </w:tcPr>
          <w:p w14:paraId="26169759" w14:textId="77777777" w:rsidR="00992339" w:rsidRDefault="00000000">
            <w:pPr>
              <w:pStyle w:val="Compact"/>
            </w:pPr>
            <w:r>
              <w:t>0.1</w:t>
            </w:r>
          </w:p>
        </w:tc>
        <w:tc>
          <w:tcPr>
            <w:tcW w:w="0" w:type="auto"/>
          </w:tcPr>
          <w:p w14:paraId="4BB8FD16" w14:textId="77777777" w:rsidR="00992339" w:rsidRDefault="00000000">
            <w:pPr>
              <w:pStyle w:val="Compact"/>
              <w:jc w:val="right"/>
            </w:pPr>
            <w:r>
              <w:t>0.10</w:t>
            </w:r>
          </w:p>
        </w:tc>
        <w:tc>
          <w:tcPr>
            <w:tcW w:w="0" w:type="auto"/>
          </w:tcPr>
          <w:p w14:paraId="12D200F9" w14:textId="77777777" w:rsidR="00992339" w:rsidRDefault="00000000">
            <w:pPr>
              <w:pStyle w:val="Compact"/>
              <w:jc w:val="right"/>
            </w:pPr>
            <w:r>
              <w:t>0.560</w:t>
            </w:r>
          </w:p>
        </w:tc>
        <w:tc>
          <w:tcPr>
            <w:tcW w:w="0" w:type="auto"/>
          </w:tcPr>
          <w:p w14:paraId="1D7C0AFA" w14:textId="77777777" w:rsidR="00992339" w:rsidRDefault="00000000">
            <w:pPr>
              <w:pStyle w:val="Compact"/>
            </w:pPr>
            <w:r>
              <w:t>56%</w:t>
            </w:r>
          </w:p>
        </w:tc>
      </w:tr>
      <w:tr w:rsidR="00992339" w14:paraId="00EE08FB" w14:textId="77777777">
        <w:tc>
          <w:tcPr>
            <w:tcW w:w="0" w:type="auto"/>
          </w:tcPr>
          <w:p w14:paraId="2346F840" w14:textId="77777777" w:rsidR="00992339" w:rsidRDefault="00000000">
            <w:pPr>
              <w:pStyle w:val="Compact"/>
            </w:pPr>
            <w:r>
              <w:t>0.15</w:t>
            </w:r>
          </w:p>
        </w:tc>
        <w:tc>
          <w:tcPr>
            <w:tcW w:w="0" w:type="auto"/>
          </w:tcPr>
          <w:p w14:paraId="74AE7A53" w14:textId="77777777" w:rsidR="00992339" w:rsidRDefault="00000000">
            <w:pPr>
              <w:pStyle w:val="Compact"/>
              <w:jc w:val="right"/>
            </w:pPr>
            <w:r>
              <w:t>0.15</w:t>
            </w:r>
          </w:p>
        </w:tc>
        <w:tc>
          <w:tcPr>
            <w:tcW w:w="0" w:type="auto"/>
          </w:tcPr>
          <w:p w14:paraId="6497C281" w14:textId="77777777" w:rsidR="00992339" w:rsidRDefault="00000000">
            <w:pPr>
              <w:pStyle w:val="Compact"/>
              <w:jc w:val="right"/>
            </w:pPr>
            <w:r>
              <w:t>0.875</w:t>
            </w:r>
          </w:p>
        </w:tc>
        <w:tc>
          <w:tcPr>
            <w:tcW w:w="0" w:type="auto"/>
          </w:tcPr>
          <w:p w14:paraId="2D0DAE8C" w14:textId="77777777" w:rsidR="00992339" w:rsidRDefault="00000000">
            <w:pPr>
              <w:pStyle w:val="Compact"/>
            </w:pPr>
            <w:r>
              <w:t>87.5%</w:t>
            </w:r>
          </w:p>
        </w:tc>
      </w:tr>
      <w:tr w:rsidR="00992339" w14:paraId="29269725" w14:textId="77777777">
        <w:tc>
          <w:tcPr>
            <w:tcW w:w="0" w:type="auto"/>
          </w:tcPr>
          <w:p w14:paraId="46DB29AC" w14:textId="77777777" w:rsidR="00992339" w:rsidRDefault="00000000">
            <w:pPr>
              <w:pStyle w:val="Compact"/>
            </w:pPr>
            <w:r>
              <w:t>0.2</w:t>
            </w:r>
          </w:p>
        </w:tc>
        <w:tc>
          <w:tcPr>
            <w:tcW w:w="0" w:type="auto"/>
          </w:tcPr>
          <w:p w14:paraId="60DA96EE" w14:textId="77777777" w:rsidR="00992339" w:rsidRDefault="00000000">
            <w:pPr>
              <w:pStyle w:val="Compact"/>
              <w:jc w:val="right"/>
            </w:pPr>
            <w:r>
              <w:t>0.20</w:t>
            </w:r>
          </w:p>
        </w:tc>
        <w:tc>
          <w:tcPr>
            <w:tcW w:w="0" w:type="auto"/>
          </w:tcPr>
          <w:p w14:paraId="3CDD1FE6" w14:textId="77777777" w:rsidR="00992339" w:rsidRDefault="00000000">
            <w:pPr>
              <w:pStyle w:val="Compact"/>
              <w:jc w:val="right"/>
            </w:pPr>
            <w:r>
              <w:t>0.985</w:t>
            </w:r>
          </w:p>
        </w:tc>
        <w:tc>
          <w:tcPr>
            <w:tcW w:w="0" w:type="auto"/>
          </w:tcPr>
          <w:p w14:paraId="0A1D8290" w14:textId="77777777" w:rsidR="00992339" w:rsidRDefault="00000000">
            <w:pPr>
              <w:pStyle w:val="Compact"/>
            </w:pPr>
            <w:r>
              <w:t>98.5%</w:t>
            </w:r>
          </w:p>
        </w:tc>
      </w:tr>
    </w:tbl>
    <w:p w14:paraId="48812F32" w14:textId="77777777" w:rsidR="00992339" w:rsidRDefault="00000000">
      <w:pPr>
        <w:pStyle w:val="Heading3"/>
      </w:pPr>
      <w:bookmarkStart w:id="39" w:name="site-fidelity-analysis"/>
      <w:bookmarkEnd w:id="37"/>
      <w:bookmarkEnd w:id="38"/>
      <w:r>
        <w:lastRenderedPageBreak/>
        <w:t>Site Fidelity Analysis</w:t>
      </w:r>
    </w:p>
    <w:p w14:paraId="1EFC7951" w14:textId="77777777" w:rsidR="00992339" w:rsidRDefault="00000000">
      <w:pPr>
        <w:pStyle w:val="FirstParagraph"/>
      </w:pPr>
      <w:r>
        <w:t>The preceding wind disruption analysis examined how monarchs respond to immediate environmental conditions, testing whether strong wind events trigger the rapid cluster departures predicted by the behavioral disruption hypothesis. While our 30-minute analysis revealed no simple relationship between wind speed and cluster changes, it assumed butterflies could respond instantaneously to unfavorable conditions. This assumption may not hold when adverse conditions occur during periods when temperatures fall below the flight threshold, constraining monarchs’ ability to relocate until environmental conditions permit flight. Furthermore, monarchs may make clustering decisions on longer temporal horizons than our 30-minute observation intervals capture. To address these limitations, we conducted a complementary analysis examining day-to-day roost dynamics by tracking clusters from one day’s maximum count through the following day’s sunset, when darkness precludes further aggregation changes. This approach tests whether cumulative weather exposure over extended periods influences site fidelity decisions, with substantial decreases in cluster size indicating reduced site suitability and potential roost abandonment, while stable or increasing counts suggest the site remains suitable despite weather exposure.</w:t>
      </w:r>
    </w:p>
    <w:p w14:paraId="56C6DE55" w14:textId="77777777" w:rsidR="00992339" w:rsidRDefault="00000000">
      <w:pPr>
        <w:pStyle w:val="BodyText"/>
      </w:pPr>
      <w:r>
        <w:t>To implement this day-to-day analysis, we examined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14:paraId="264C4EC7" w14:textId="77777777" w:rsidR="00992339" w:rsidRDefault="00000000">
      <w:pPr>
        <w:pStyle w:val="BodyText"/>
      </w:pPr>
      <w:r>
        <w:t>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p w14:paraId="5876F159" w14:textId="77777777" w:rsidR="00992339" w:rsidRDefault="00000000">
      <w:pPr>
        <w:pStyle w:val="Heading4"/>
      </w:pPr>
      <w:bookmarkStart w:id="40" w:name="model-selection-1"/>
      <w:r>
        <w:t>Model Selection</w:t>
      </w:r>
    </w:p>
    <w:p w14:paraId="6615C0FE" w14:textId="77777777" w:rsidR="00992339" w:rsidRDefault="00000000">
      <w:pPr>
        <w:pStyle w:val="FirstParagraph"/>
      </w:pPr>
      <w:r>
        <w:t>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The best fit Model (M32) as the decisively best-fit model, capturing 84.7% of the total model weight (Table </w:t>
      </w:r>
      <w:hyperlink w:anchor="tab:sunset-model-selection-table">
        <w:r>
          <w:rPr>
            <w:rStyle w:val="Hyperlink"/>
          </w:rPr>
          <w:t>1.6</w:t>
        </w:r>
      </w:hyperlink>
      <w:r>
        <w:t xml:space="preserve">). The next best model (M52) showed substantially weaker support with </w:t>
      </w:r>
      <m:oMath>
        <m:r>
          <m:rPr>
            <m:sty m:val="p"/>
          </m:rPr>
          <w:rPr>
            <w:rFonts w:ascii="Cambria Math" w:hAnsi="Cambria Math"/>
          </w:rPr>
          <m:t>Δ</m:t>
        </m:r>
      </m:oMath>
      <w:r>
        <w:t xml:space="preserve">AICc = 5.6 and only 5.2% model weight. Model M32 incorporated a tensor smooth interaction between maximum wind gust and cumulative direct sun </w:t>
      </w:r>
      <w:r>
        <w:lastRenderedPageBreak/>
        <w:t>exposure, along with baseline controls for previous day’s maximum count and window duration.</w:t>
      </w:r>
    </w:p>
    <w:p w14:paraId="6B99AC0F" w14:textId="77777777" w:rsidR="00992339" w:rsidRDefault="00000000">
      <w:pPr>
        <w:pStyle w:val="TableCaption"/>
      </w:pPr>
      <w:bookmarkStart w:id="41" w:name="tab:sunset-model-selection-table"/>
      <w:r>
        <w:t>Top 5 models ranked by AICc (sunset analysis)</w:t>
      </w:r>
    </w:p>
    <w:tbl>
      <w:tblPr>
        <w:tblStyle w:val="Table"/>
        <w:tblW w:w="0" w:type="auto"/>
        <w:tblLook w:val="0020" w:firstRow="1" w:lastRow="0" w:firstColumn="0" w:lastColumn="0" w:noHBand="0" w:noVBand="0"/>
        <w:tblCaption w:val="Top 5 models ranked by AICc (sunset analysis)"/>
      </w:tblPr>
      <w:tblGrid>
        <w:gridCol w:w="862"/>
        <w:gridCol w:w="5992"/>
        <w:gridCol w:w="926"/>
        <w:gridCol w:w="856"/>
        <w:gridCol w:w="940"/>
      </w:tblGrid>
      <w:tr w:rsidR="00992339" w14:paraId="5B946C42"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016AA8D9" w14:textId="77777777" w:rsidR="00992339" w:rsidRDefault="00000000">
            <w:pPr>
              <w:pStyle w:val="Compact"/>
            </w:pPr>
            <w:r>
              <w:t>Model</w:t>
            </w:r>
          </w:p>
        </w:tc>
        <w:tc>
          <w:tcPr>
            <w:tcW w:w="0" w:type="auto"/>
          </w:tcPr>
          <w:p w14:paraId="73DC47CC" w14:textId="77777777" w:rsidR="00992339" w:rsidRDefault="00000000">
            <w:pPr>
              <w:pStyle w:val="Compact"/>
            </w:pPr>
            <w:r>
              <w:t>Terms</w:t>
            </w:r>
          </w:p>
        </w:tc>
        <w:tc>
          <w:tcPr>
            <w:tcW w:w="0" w:type="auto"/>
          </w:tcPr>
          <w:p w14:paraId="64BB5B70" w14:textId="77777777" w:rsidR="00992339" w:rsidRDefault="00000000">
            <w:pPr>
              <w:pStyle w:val="Compact"/>
              <w:jc w:val="right"/>
            </w:pPr>
            <w:r>
              <w:t>AICc</w:t>
            </w:r>
          </w:p>
        </w:tc>
        <w:tc>
          <w:tcPr>
            <w:tcW w:w="0" w:type="auto"/>
          </w:tcPr>
          <w:p w14:paraId="02AFC683" w14:textId="77777777" w:rsidR="00992339" w:rsidRDefault="00000000">
            <w:pPr>
              <w:pStyle w:val="Compact"/>
              <w:jc w:val="right"/>
            </w:pPr>
            <m:oMath>
              <m:r>
                <m:rPr>
                  <m:sty m:val="p"/>
                </m:rPr>
                <w:rPr>
                  <w:rFonts w:ascii="Cambria Math" w:hAnsi="Cambria Math"/>
                </w:rPr>
                <m:t>Δ</m:t>
              </m:r>
            </m:oMath>
            <w:r>
              <w:t>AICc</w:t>
            </w:r>
          </w:p>
        </w:tc>
        <w:tc>
          <w:tcPr>
            <w:tcW w:w="0" w:type="auto"/>
          </w:tcPr>
          <w:p w14:paraId="2C5F3581" w14:textId="77777777" w:rsidR="00992339" w:rsidRDefault="00000000">
            <w:pPr>
              <w:pStyle w:val="Compact"/>
              <w:jc w:val="right"/>
            </w:pPr>
            <w:r>
              <w:t>Weight</w:t>
            </w:r>
          </w:p>
        </w:tc>
      </w:tr>
      <w:tr w:rsidR="00992339" w14:paraId="657FE5FE" w14:textId="77777777">
        <w:tc>
          <w:tcPr>
            <w:tcW w:w="0" w:type="auto"/>
          </w:tcPr>
          <w:p w14:paraId="6809FB03" w14:textId="77777777" w:rsidR="00992339" w:rsidRDefault="00000000">
            <w:pPr>
              <w:pStyle w:val="Compact"/>
            </w:pPr>
            <w:r>
              <w:t>M32</w:t>
            </w:r>
          </w:p>
        </w:tc>
        <w:tc>
          <w:tcPr>
            <w:tcW w:w="0" w:type="auto"/>
          </w:tcPr>
          <w:p w14:paraId="61EF9687" w14:textId="77777777" w:rsidR="00992339" w:rsidRDefault="00000000">
            <w:pPr>
              <w:pStyle w:val="Compact"/>
            </w:pPr>
            <w:r>
              <w:t>Interaction (tensor): Maximum wind gust, Cumulative butterflies in direct sun</w:t>
            </w:r>
          </w:p>
        </w:tc>
        <w:tc>
          <w:tcPr>
            <w:tcW w:w="0" w:type="auto"/>
          </w:tcPr>
          <w:p w14:paraId="3F6E9D39" w14:textId="77777777" w:rsidR="00992339" w:rsidRDefault="00000000">
            <w:pPr>
              <w:pStyle w:val="Compact"/>
              <w:jc w:val="right"/>
            </w:pPr>
            <w:r>
              <w:t>648.85</w:t>
            </w:r>
          </w:p>
        </w:tc>
        <w:tc>
          <w:tcPr>
            <w:tcW w:w="0" w:type="auto"/>
          </w:tcPr>
          <w:p w14:paraId="119267EE" w14:textId="77777777" w:rsidR="00992339" w:rsidRDefault="00000000">
            <w:pPr>
              <w:pStyle w:val="Compact"/>
              <w:jc w:val="right"/>
            </w:pPr>
            <w:r>
              <w:t>0.00</w:t>
            </w:r>
          </w:p>
        </w:tc>
        <w:tc>
          <w:tcPr>
            <w:tcW w:w="0" w:type="auto"/>
          </w:tcPr>
          <w:p w14:paraId="38A9CF3B" w14:textId="77777777" w:rsidR="00992339" w:rsidRDefault="00000000">
            <w:pPr>
              <w:pStyle w:val="Compact"/>
              <w:jc w:val="right"/>
            </w:pPr>
            <w:r>
              <w:t>0.85</w:t>
            </w:r>
          </w:p>
        </w:tc>
      </w:tr>
      <w:tr w:rsidR="00992339" w14:paraId="6E0476A2" w14:textId="77777777">
        <w:tc>
          <w:tcPr>
            <w:tcW w:w="0" w:type="auto"/>
          </w:tcPr>
          <w:p w14:paraId="76A74020" w14:textId="77777777" w:rsidR="00992339" w:rsidRDefault="00000000">
            <w:pPr>
              <w:pStyle w:val="Compact"/>
            </w:pPr>
            <w:r>
              <w:t>M52</w:t>
            </w:r>
          </w:p>
        </w:tc>
        <w:tc>
          <w:tcPr>
            <w:tcW w:w="0" w:type="auto"/>
          </w:tcPr>
          <w:p w14:paraId="0953F953" w14:textId="77777777" w:rsidR="00992339" w:rsidRDefault="00000000">
            <w:pPr>
              <w:pStyle w:val="Compact"/>
            </w:pPr>
            <w:r>
              <w:t>Maximum wind gust, Cumulative butterflies in direct sun, Interaction (tensor): Maximum wind gust, Cumulative butterflies in direct sun</w:t>
            </w:r>
          </w:p>
        </w:tc>
        <w:tc>
          <w:tcPr>
            <w:tcW w:w="0" w:type="auto"/>
          </w:tcPr>
          <w:p w14:paraId="759095A1" w14:textId="77777777" w:rsidR="00992339" w:rsidRDefault="00000000">
            <w:pPr>
              <w:pStyle w:val="Compact"/>
              <w:jc w:val="right"/>
            </w:pPr>
            <w:r>
              <w:t>654.45</w:t>
            </w:r>
          </w:p>
        </w:tc>
        <w:tc>
          <w:tcPr>
            <w:tcW w:w="0" w:type="auto"/>
          </w:tcPr>
          <w:p w14:paraId="46C92F55" w14:textId="77777777" w:rsidR="00992339" w:rsidRDefault="00000000">
            <w:pPr>
              <w:pStyle w:val="Compact"/>
              <w:jc w:val="right"/>
            </w:pPr>
            <w:r>
              <w:t>5.60</w:t>
            </w:r>
          </w:p>
        </w:tc>
        <w:tc>
          <w:tcPr>
            <w:tcW w:w="0" w:type="auto"/>
          </w:tcPr>
          <w:p w14:paraId="2F29B4A9" w14:textId="77777777" w:rsidR="00992339" w:rsidRDefault="00000000">
            <w:pPr>
              <w:pStyle w:val="Compact"/>
              <w:jc w:val="right"/>
            </w:pPr>
            <w:r>
              <w:t>0.05</w:t>
            </w:r>
          </w:p>
        </w:tc>
      </w:tr>
      <w:tr w:rsidR="00992339" w14:paraId="3D4F3796" w14:textId="77777777">
        <w:tc>
          <w:tcPr>
            <w:tcW w:w="0" w:type="auto"/>
          </w:tcPr>
          <w:p w14:paraId="3C480A61" w14:textId="77777777" w:rsidR="00992339" w:rsidRDefault="00000000">
            <w:pPr>
              <w:pStyle w:val="Compact"/>
            </w:pPr>
            <w:r>
              <w:t>M20</w:t>
            </w:r>
          </w:p>
        </w:tc>
        <w:tc>
          <w:tcPr>
            <w:tcW w:w="0" w:type="auto"/>
          </w:tcPr>
          <w:p w14:paraId="32C309E0" w14:textId="77777777" w:rsidR="00992339" w:rsidRDefault="00000000">
            <w:pPr>
              <w:pStyle w:val="Compact"/>
            </w:pPr>
            <w:r>
              <w:t>Interaction (tensor): Minimum temperature, Cumulative butterflies in direct sun</w:t>
            </w:r>
          </w:p>
        </w:tc>
        <w:tc>
          <w:tcPr>
            <w:tcW w:w="0" w:type="auto"/>
          </w:tcPr>
          <w:p w14:paraId="7F5E99A8" w14:textId="77777777" w:rsidR="00992339" w:rsidRDefault="00000000">
            <w:pPr>
              <w:pStyle w:val="Compact"/>
              <w:jc w:val="right"/>
            </w:pPr>
            <w:r>
              <w:t>656.77</w:t>
            </w:r>
          </w:p>
        </w:tc>
        <w:tc>
          <w:tcPr>
            <w:tcW w:w="0" w:type="auto"/>
          </w:tcPr>
          <w:p w14:paraId="6B39C694" w14:textId="77777777" w:rsidR="00992339" w:rsidRDefault="00000000">
            <w:pPr>
              <w:pStyle w:val="Compact"/>
              <w:jc w:val="right"/>
            </w:pPr>
            <w:r>
              <w:t>7.92</w:t>
            </w:r>
          </w:p>
        </w:tc>
        <w:tc>
          <w:tcPr>
            <w:tcW w:w="0" w:type="auto"/>
          </w:tcPr>
          <w:p w14:paraId="2284020B" w14:textId="77777777" w:rsidR="00992339" w:rsidRDefault="00000000">
            <w:pPr>
              <w:pStyle w:val="Compact"/>
              <w:jc w:val="right"/>
            </w:pPr>
            <w:r>
              <w:t>0.02</w:t>
            </w:r>
          </w:p>
        </w:tc>
      </w:tr>
      <w:tr w:rsidR="00992339" w14:paraId="2F4D0983" w14:textId="77777777">
        <w:tc>
          <w:tcPr>
            <w:tcW w:w="0" w:type="auto"/>
          </w:tcPr>
          <w:p w14:paraId="23145C4C" w14:textId="77777777" w:rsidR="00992339" w:rsidRDefault="00000000">
            <w:pPr>
              <w:pStyle w:val="Compact"/>
            </w:pPr>
            <w:r>
              <w:t>M46</w:t>
            </w:r>
          </w:p>
        </w:tc>
        <w:tc>
          <w:tcPr>
            <w:tcW w:w="0" w:type="auto"/>
          </w:tcPr>
          <w:p w14:paraId="5F258B2D" w14:textId="77777777" w:rsidR="00992339" w:rsidRDefault="00000000">
            <w:pPr>
              <w:pStyle w:val="Compact"/>
            </w:pPr>
            <w:r>
              <w:t>Maximum temperature, Cumulative butterflies in direct sun, Interaction (tensor): Maximum temperature, Cumulative butterflies in direct sun</w:t>
            </w:r>
          </w:p>
        </w:tc>
        <w:tc>
          <w:tcPr>
            <w:tcW w:w="0" w:type="auto"/>
          </w:tcPr>
          <w:p w14:paraId="3E5926B2" w14:textId="77777777" w:rsidR="00992339" w:rsidRDefault="00000000">
            <w:pPr>
              <w:pStyle w:val="Compact"/>
              <w:jc w:val="right"/>
            </w:pPr>
            <w:r>
              <w:t>657.70</w:t>
            </w:r>
          </w:p>
        </w:tc>
        <w:tc>
          <w:tcPr>
            <w:tcW w:w="0" w:type="auto"/>
          </w:tcPr>
          <w:p w14:paraId="7D2E6356" w14:textId="77777777" w:rsidR="00992339" w:rsidRDefault="00000000">
            <w:pPr>
              <w:pStyle w:val="Compact"/>
              <w:jc w:val="right"/>
            </w:pPr>
            <w:r>
              <w:t>8.85</w:t>
            </w:r>
          </w:p>
        </w:tc>
        <w:tc>
          <w:tcPr>
            <w:tcW w:w="0" w:type="auto"/>
          </w:tcPr>
          <w:p w14:paraId="77A5D0ED" w14:textId="77777777" w:rsidR="00992339" w:rsidRDefault="00000000">
            <w:pPr>
              <w:pStyle w:val="Compact"/>
              <w:jc w:val="right"/>
            </w:pPr>
            <w:r>
              <w:t>0.01</w:t>
            </w:r>
          </w:p>
        </w:tc>
      </w:tr>
      <w:tr w:rsidR="00992339" w14:paraId="61BBA7AC" w14:textId="77777777">
        <w:tc>
          <w:tcPr>
            <w:tcW w:w="0" w:type="auto"/>
          </w:tcPr>
          <w:p w14:paraId="3972B258" w14:textId="77777777" w:rsidR="00992339" w:rsidRDefault="00000000">
            <w:pPr>
              <w:pStyle w:val="Compact"/>
            </w:pPr>
            <w:r>
              <w:t>M30</w:t>
            </w:r>
          </w:p>
        </w:tc>
        <w:tc>
          <w:tcPr>
            <w:tcW w:w="0" w:type="auto"/>
          </w:tcPr>
          <w:p w14:paraId="0030A5F3" w14:textId="77777777" w:rsidR="00992339" w:rsidRDefault="00000000">
            <w:pPr>
              <w:pStyle w:val="Compact"/>
            </w:pPr>
            <w:r>
              <w:t>Interaction (tensor): Temperature at previous maximum count, Cumulative butterflies in direct sun</w:t>
            </w:r>
          </w:p>
        </w:tc>
        <w:tc>
          <w:tcPr>
            <w:tcW w:w="0" w:type="auto"/>
          </w:tcPr>
          <w:p w14:paraId="655B15CB" w14:textId="77777777" w:rsidR="00992339" w:rsidRDefault="00000000">
            <w:pPr>
              <w:pStyle w:val="Compact"/>
              <w:jc w:val="right"/>
            </w:pPr>
            <w:r>
              <w:t>657.90</w:t>
            </w:r>
          </w:p>
        </w:tc>
        <w:tc>
          <w:tcPr>
            <w:tcW w:w="0" w:type="auto"/>
          </w:tcPr>
          <w:p w14:paraId="726007A1" w14:textId="77777777" w:rsidR="00992339" w:rsidRDefault="00000000">
            <w:pPr>
              <w:pStyle w:val="Compact"/>
              <w:jc w:val="right"/>
            </w:pPr>
            <w:r>
              <w:t>9.06</w:t>
            </w:r>
          </w:p>
        </w:tc>
        <w:tc>
          <w:tcPr>
            <w:tcW w:w="0" w:type="auto"/>
          </w:tcPr>
          <w:p w14:paraId="69118F84" w14:textId="77777777" w:rsidR="00992339" w:rsidRDefault="00000000">
            <w:pPr>
              <w:pStyle w:val="Compact"/>
              <w:jc w:val="right"/>
            </w:pPr>
            <w:r>
              <w:t>0.01</w:t>
            </w:r>
          </w:p>
        </w:tc>
      </w:tr>
    </w:tbl>
    <w:p w14:paraId="771C60D3" w14:textId="77777777" w:rsidR="00992339" w:rsidRDefault="00000000">
      <w:pPr>
        <w:pStyle w:val="Heading4"/>
      </w:pPr>
      <w:bookmarkStart w:id="42" w:name="analysis-of-best-fit-model-1"/>
      <w:bookmarkEnd w:id="40"/>
      <w:bookmarkEnd w:id="41"/>
      <w:r>
        <w:t>Analysis of Best Fit Model</w:t>
      </w:r>
    </w:p>
    <w:p w14:paraId="16BB7BB6" w14:textId="77777777" w:rsidR="00992339" w:rsidRDefault="00000000">
      <w:pPr>
        <w:pStyle w:val="FirstParagraph"/>
      </w:pPr>
      <w:r>
        <w:t>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14:paraId="3185AEBD" w14:textId="77777777" w:rsidR="00992339" w:rsidRDefault="00000000">
      <w:pPr>
        <w:pStyle w:val="BodyText"/>
      </w:pPr>
      <w:r>
        <w:t>Statistical analysis revealed significant effects for the previous day’s maximum count (F = 24.88, p &lt; 0.001) and the wind-sunlight interaction (F = 4.10, p &lt; 0.001), while window duration showed no significant effect (F = 1.14, p = 0.289) (Table </w:t>
      </w:r>
      <w:hyperlink w:anchor="tab:m32_summary">
        <w:r>
          <w:rPr>
            <w:rStyle w:val="Hyperlink"/>
          </w:rPr>
          <w:t>1.7</w:t>
        </w:r>
      </w:hyperlink>
      <w:r>
        <w:t xml:space="preserve">). The day-to-day site fidelity model explained 39.7% of the variance in cluster size changes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0.397, n = 96), representing substantially greater explanatory power than the 30-minute wind disruption analysis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0.064). This six-fold improvement in explanatory power suggests that cumulative weather exposure over day-long periods is more strongly associated with roosting decisions than immediate short-term conditions, supporting the hypothesis that monarchs integrate environmental conditions over extended time periods when making site fidelity decisions.</w:t>
      </w:r>
    </w:p>
    <w:p w14:paraId="708D5649" w14:textId="77777777" w:rsidR="00992339" w:rsidRDefault="00000000">
      <w:pPr>
        <w:pStyle w:val="TableCaption"/>
      </w:pPr>
      <w:bookmarkStart w:id="43" w:name="tab:m32_summary"/>
      <w:r>
        <w:t>Summary of best-fit model (M32) for predicting site fidelity. The model uses square-root transformed day-to-day changes in butterfly count as the response variable.</w:t>
      </w:r>
    </w:p>
    <w:tbl>
      <w:tblPr>
        <w:tblStyle w:val="Table"/>
        <w:tblW w:w="0" w:type="auto"/>
        <w:tblLook w:val="0020" w:firstRow="1" w:lastRow="0" w:firstColumn="0" w:lastColumn="0" w:noHBand="0" w:noVBand="0"/>
        <w:tblCaption w:val="Summary of best-fit model (M32) for predicting site fidelity. The model uses square-root transformed day-to-day changes in butterfly count as the response variable."/>
      </w:tblPr>
      <w:tblGrid>
        <w:gridCol w:w="3328"/>
        <w:gridCol w:w="670"/>
        <w:gridCol w:w="875"/>
        <w:gridCol w:w="798"/>
        <w:gridCol w:w="1355"/>
      </w:tblGrid>
      <w:tr w:rsidR="00992339" w14:paraId="61E07524"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79340F40" w14:textId="77777777" w:rsidR="00992339" w:rsidRDefault="00000000">
            <w:pPr>
              <w:pStyle w:val="Compact"/>
            </w:pPr>
            <w:r>
              <w:rPr>
                <w:b/>
                <w:bCs/>
              </w:rPr>
              <w:t>Smooth Term</w:t>
            </w:r>
          </w:p>
        </w:tc>
        <w:tc>
          <w:tcPr>
            <w:tcW w:w="0" w:type="auto"/>
          </w:tcPr>
          <w:p w14:paraId="5D39F745" w14:textId="77777777" w:rsidR="00992339" w:rsidRDefault="00000000">
            <w:pPr>
              <w:pStyle w:val="Compact"/>
              <w:jc w:val="center"/>
            </w:pPr>
            <w:r>
              <w:rPr>
                <w:b/>
                <w:bCs/>
              </w:rPr>
              <w:t>edf</w:t>
            </w:r>
          </w:p>
        </w:tc>
        <w:tc>
          <w:tcPr>
            <w:tcW w:w="0" w:type="auto"/>
          </w:tcPr>
          <w:p w14:paraId="13CFF6FF" w14:textId="77777777" w:rsidR="00992339" w:rsidRDefault="00000000">
            <w:pPr>
              <w:pStyle w:val="Compact"/>
              <w:jc w:val="center"/>
            </w:pPr>
            <w:r>
              <w:rPr>
                <w:b/>
                <w:bCs/>
              </w:rPr>
              <w:t>Ref.df</w:t>
            </w:r>
          </w:p>
        </w:tc>
        <w:tc>
          <w:tcPr>
            <w:tcW w:w="0" w:type="auto"/>
          </w:tcPr>
          <w:p w14:paraId="2C4361D0" w14:textId="77777777" w:rsidR="00992339" w:rsidRDefault="00000000">
            <w:pPr>
              <w:pStyle w:val="Compact"/>
              <w:jc w:val="center"/>
            </w:pPr>
            <w:r>
              <w:rPr>
                <w:b/>
                <w:bCs/>
              </w:rPr>
              <w:t>F</w:t>
            </w:r>
          </w:p>
        </w:tc>
        <w:tc>
          <w:tcPr>
            <w:tcW w:w="0" w:type="auto"/>
          </w:tcPr>
          <w:p w14:paraId="300C45D9" w14:textId="77777777" w:rsidR="00992339" w:rsidRDefault="00000000">
            <w:pPr>
              <w:pStyle w:val="Compact"/>
              <w:jc w:val="center"/>
            </w:pPr>
            <w:r>
              <w:rPr>
                <w:b/>
                <w:bCs/>
              </w:rPr>
              <w:t>p-value</w:t>
            </w:r>
          </w:p>
        </w:tc>
      </w:tr>
      <w:tr w:rsidR="00992339" w14:paraId="4479B777" w14:textId="77777777">
        <w:tc>
          <w:tcPr>
            <w:tcW w:w="0" w:type="auto"/>
          </w:tcPr>
          <w:p w14:paraId="7AFAC1B6" w14:textId="77777777" w:rsidR="00992339" w:rsidRDefault="00000000">
            <w:pPr>
              <w:pStyle w:val="Compact"/>
            </w:pPr>
            <w:r>
              <w:t>Previous day maximum count</w:t>
            </w:r>
          </w:p>
        </w:tc>
        <w:tc>
          <w:tcPr>
            <w:tcW w:w="0" w:type="auto"/>
          </w:tcPr>
          <w:p w14:paraId="00E668F1" w14:textId="77777777" w:rsidR="00992339" w:rsidRDefault="00000000">
            <w:pPr>
              <w:pStyle w:val="Compact"/>
              <w:jc w:val="center"/>
            </w:pPr>
            <w:r>
              <w:t>1.00</w:t>
            </w:r>
          </w:p>
        </w:tc>
        <w:tc>
          <w:tcPr>
            <w:tcW w:w="0" w:type="auto"/>
          </w:tcPr>
          <w:p w14:paraId="2254A8C3" w14:textId="77777777" w:rsidR="00992339" w:rsidRDefault="00000000">
            <w:pPr>
              <w:pStyle w:val="Compact"/>
              <w:jc w:val="center"/>
            </w:pPr>
            <w:r>
              <w:t>1.00</w:t>
            </w:r>
          </w:p>
        </w:tc>
        <w:tc>
          <w:tcPr>
            <w:tcW w:w="0" w:type="auto"/>
          </w:tcPr>
          <w:p w14:paraId="24DB180F" w14:textId="77777777" w:rsidR="00992339" w:rsidRDefault="00000000">
            <w:pPr>
              <w:pStyle w:val="Compact"/>
              <w:jc w:val="center"/>
            </w:pPr>
            <w:r>
              <w:t>24.88</w:t>
            </w:r>
          </w:p>
        </w:tc>
        <w:tc>
          <w:tcPr>
            <w:tcW w:w="0" w:type="auto"/>
          </w:tcPr>
          <w:p w14:paraId="0436C6EA" w14:textId="77777777" w:rsidR="00992339" w:rsidRDefault="00000000">
            <w:pPr>
              <w:pStyle w:val="Compact"/>
              <w:jc w:val="center"/>
            </w:pPr>
            <m:oMath>
              <m:r>
                <m:rPr>
                  <m:sty m:val="p"/>
                </m:rPr>
                <w:rPr>
                  <w:rFonts w:ascii="Cambria Math" w:hAnsi="Cambria Math"/>
                </w:rPr>
                <m:t>&lt;</m:t>
              </m:r>
            </m:oMath>
            <w:r>
              <w:t xml:space="preserve"> 0.001***</w:t>
            </w:r>
          </w:p>
        </w:tc>
      </w:tr>
      <w:tr w:rsidR="00992339" w14:paraId="435A8C50" w14:textId="77777777">
        <w:tc>
          <w:tcPr>
            <w:tcW w:w="0" w:type="auto"/>
          </w:tcPr>
          <w:p w14:paraId="0C80381F" w14:textId="77777777" w:rsidR="00992339" w:rsidRDefault="00000000">
            <w:pPr>
              <w:pStyle w:val="Compact"/>
            </w:pPr>
            <w:r>
              <w:t>Window duration</w:t>
            </w:r>
          </w:p>
        </w:tc>
        <w:tc>
          <w:tcPr>
            <w:tcW w:w="0" w:type="auto"/>
          </w:tcPr>
          <w:p w14:paraId="2DF5BE00" w14:textId="77777777" w:rsidR="00992339" w:rsidRDefault="00000000">
            <w:pPr>
              <w:pStyle w:val="Compact"/>
              <w:jc w:val="center"/>
            </w:pPr>
            <w:r>
              <w:t>1.00</w:t>
            </w:r>
          </w:p>
        </w:tc>
        <w:tc>
          <w:tcPr>
            <w:tcW w:w="0" w:type="auto"/>
          </w:tcPr>
          <w:p w14:paraId="4786DD71" w14:textId="77777777" w:rsidR="00992339" w:rsidRDefault="00000000">
            <w:pPr>
              <w:pStyle w:val="Compact"/>
              <w:jc w:val="center"/>
            </w:pPr>
            <w:r>
              <w:t>1.00</w:t>
            </w:r>
          </w:p>
        </w:tc>
        <w:tc>
          <w:tcPr>
            <w:tcW w:w="0" w:type="auto"/>
          </w:tcPr>
          <w:p w14:paraId="1BEA10EB" w14:textId="77777777" w:rsidR="00992339" w:rsidRDefault="00000000">
            <w:pPr>
              <w:pStyle w:val="Compact"/>
              <w:jc w:val="center"/>
            </w:pPr>
            <w:r>
              <w:t>1.14</w:t>
            </w:r>
          </w:p>
        </w:tc>
        <w:tc>
          <w:tcPr>
            <w:tcW w:w="0" w:type="auto"/>
          </w:tcPr>
          <w:p w14:paraId="7D97CB2E" w14:textId="77777777" w:rsidR="00992339" w:rsidRDefault="00000000">
            <w:pPr>
              <w:pStyle w:val="Compact"/>
              <w:jc w:val="center"/>
            </w:pPr>
            <w:r>
              <w:t>0.289</w:t>
            </w:r>
          </w:p>
        </w:tc>
      </w:tr>
      <w:tr w:rsidR="00992339" w14:paraId="12E4B972" w14:textId="77777777">
        <w:tc>
          <w:tcPr>
            <w:tcW w:w="0" w:type="auto"/>
          </w:tcPr>
          <w:p w14:paraId="03C5A26C" w14:textId="77777777" w:rsidR="00992339" w:rsidRDefault="00000000">
            <w:pPr>
              <w:pStyle w:val="Compact"/>
            </w:pPr>
            <w:r>
              <w:t>Wind gust × Sunlight exposure</w:t>
            </w:r>
          </w:p>
        </w:tc>
        <w:tc>
          <w:tcPr>
            <w:tcW w:w="0" w:type="auto"/>
          </w:tcPr>
          <w:p w14:paraId="4FF4B60A" w14:textId="77777777" w:rsidR="00992339" w:rsidRDefault="00000000">
            <w:pPr>
              <w:pStyle w:val="Compact"/>
              <w:jc w:val="center"/>
            </w:pPr>
            <w:r>
              <w:t>6.68</w:t>
            </w:r>
          </w:p>
        </w:tc>
        <w:tc>
          <w:tcPr>
            <w:tcW w:w="0" w:type="auto"/>
          </w:tcPr>
          <w:p w14:paraId="79F88F4C" w14:textId="77777777" w:rsidR="00992339" w:rsidRDefault="00000000">
            <w:pPr>
              <w:pStyle w:val="Compact"/>
              <w:jc w:val="center"/>
            </w:pPr>
            <w:r>
              <w:t>6.68</w:t>
            </w:r>
          </w:p>
        </w:tc>
        <w:tc>
          <w:tcPr>
            <w:tcW w:w="0" w:type="auto"/>
          </w:tcPr>
          <w:p w14:paraId="4F9E4581" w14:textId="77777777" w:rsidR="00992339" w:rsidRDefault="00000000">
            <w:pPr>
              <w:pStyle w:val="Compact"/>
              <w:jc w:val="center"/>
            </w:pPr>
            <w:r>
              <w:t>4.10</w:t>
            </w:r>
          </w:p>
        </w:tc>
        <w:tc>
          <w:tcPr>
            <w:tcW w:w="0" w:type="auto"/>
          </w:tcPr>
          <w:p w14:paraId="05DD391D" w14:textId="77777777" w:rsidR="00992339" w:rsidRDefault="00000000">
            <w:pPr>
              <w:pStyle w:val="Compact"/>
              <w:jc w:val="center"/>
            </w:pPr>
            <m:oMath>
              <m:r>
                <m:rPr>
                  <m:sty m:val="p"/>
                </m:rPr>
                <w:rPr>
                  <w:rFonts w:ascii="Cambria Math" w:hAnsi="Cambria Math"/>
                </w:rPr>
                <m:t>&lt;</m:t>
              </m:r>
            </m:oMath>
            <w:r>
              <w:t xml:space="preserve"> 0.001***</w:t>
            </w:r>
          </w:p>
        </w:tc>
      </w:tr>
      <w:tr w:rsidR="00992339" w14:paraId="1C648846" w14:textId="77777777">
        <w:tc>
          <w:tcPr>
            <w:tcW w:w="0" w:type="auto"/>
            <w:gridSpan w:val="5"/>
          </w:tcPr>
          <w:p w14:paraId="6BAB0ED2" w14:textId="77777777" w:rsidR="00992339" w:rsidRDefault="00000000">
            <w:pPr>
              <w:pStyle w:val="Compact"/>
            </w:pPr>
            <w:r>
              <w:rPr>
                <w:i/>
                <w:iCs/>
              </w:rPr>
              <w:lastRenderedPageBreak/>
              <w:t>Model performance:</w:t>
            </w:r>
            <w:r>
              <w:t xml:space="preserve"> Adj.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0.397, Scale est. = 41.06, n = 96</w:t>
            </w:r>
          </w:p>
        </w:tc>
      </w:tr>
    </w:tbl>
    <w:bookmarkEnd w:id="43"/>
    <w:p w14:paraId="57CCB42E" w14:textId="77777777" w:rsidR="00992339" w:rsidRDefault="00000000">
      <w:pPr>
        <w:pStyle w:val="BodyText"/>
      </w:pPr>
      <w:r>
        <w:t>The previous day’s maximum count showed a significant negative linear relationship (coefficient = -0.030, SE = 0.006), indicating that larger clusters experienced proportionally greater losses between days. This pattern aligns with the 30-minute wind disruption analysis findings. Window duration showed no significant relationship with cluster size changes. Partial effects for these linear predictors are shown in Figure </w:t>
      </w:r>
      <w:hyperlink w:anchor="fig:partial_effects_sunset">
        <w:r>
          <w:rPr>
            <w:rStyle w:val="Hyperlink"/>
          </w:rPr>
          <w:t>1.8</w:t>
        </w:r>
      </w:hyperlink>
      <w:r>
        <w:t>.</w:t>
      </w:r>
    </w:p>
    <w:p w14:paraId="63291EE0" w14:textId="77777777" w:rsidR="00992339" w:rsidRDefault="00000000">
      <w:pPr>
        <w:pStyle w:val="CaptionedFigure"/>
      </w:pPr>
      <w:bookmarkStart w:id="44" w:name="fig:partial_effects_sunset"/>
      <w:r>
        <w:rPr>
          <w:noProof/>
        </w:rPr>
        <w:drawing>
          <wp:inline distT="0" distB="0" distL="0" distR="0" wp14:anchorId="28E4BD55" wp14:editId="6A404051">
            <wp:extent cx="5334000" cy="245363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supplemental/results/sunset/figures/partial_effects_best_1x2.png"/>
                    <pic:cNvPicPr>
                      <a:picLocks noChangeAspect="1" noChangeArrowheads="1"/>
                    </pic:cNvPicPr>
                  </pic:nvPicPr>
                  <pic:blipFill>
                    <a:blip r:embed="rId13"/>
                    <a:stretch>
                      <a:fillRect/>
                    </a:stretch>
                  </pic:blipFill>
                  <pic:spPr bwMode="auto">
                    <a:xfrm>
                      <a:off x="0" y="0"/>
                      <a:ext cx="5334000" cy="2453639"/>
                    </a:xfrm>
                    <a:prstGeom prst="rect">
                      <a:avLst/>
                    </a:prstGeom>
                    <a:noFill/>
                    <a:ln w="9525">
                      <a:noFill/>
                      <a:headEnd/>
                      <a:tailEnd/>
                    </a:ln>
                  </pic:spPr>
                </pic:pic>
              </a:graphicData>
            </a:graphic>
          </wp:inline>
        </w:drawing>
      </w:r>
    </w:p>
    <w:p w14:paraId="3B92733B" w14:textId="77777777" w:rsidR="00992339" w:rsidRDefault="00000000">
      <w:pPr>
        <w:pStyle w:val="ImageCaption"/>
      </w:pPr>
      <w:r>
        <w:t>Partial effects of control variables on day-to-day monarch butterfly cluster size changes from the best-fit GAMM model (M32). Partial effects isolate how each variable influences cluster size changes while holding other factors constant at their average values. Left panel shows the strong negative effect of previous day maximum count. Right panel shows window duration had no significant effect on cluster size changes. Shaded regions represent 95% confidence intervals.</w:t>
      </w:r>
    </w:p>
    <w:bookmarkEnd w:id="44"/>
    <w:p w14:paraId="7C5B81EF" w14:textId="77777777" w:rsidR="00992339" w:rsidRDefault="00000000">
      <w:pPr>
        <w:pStyle w:val="BodyText"/>
      </w:pPr>
      <w:r>
        <w:t>In the day-to-day site fidelity analysis, 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1.9</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These patterns suggest monarchs redistribute within the grove, moving from deployments experiencing unfavorable conditions (blue regions showing cluster decreases) to deployments with more favorable conditions (red regions showing cluster increases), though movements may also occur between monitored and unmonitored areas of the grove or involve butterflies entering or </w:t>
      </w:r>
      <w:r>
        <w:lastRenderedPageBreak/>
        <w:t>leaving the site. Interpretation requires caution at interpolation boundaries and regions with single observations.</w:t>
      </w:r>
    </w:p>
    <w:p w14:paraId="5D94B66B" w14:textId="77777777" w:rsidR="00992339" w:rsidRDefault="00000000">
      <w:pPr>
        <w:pStyle w:val="CaptionedFigure"/>
      </w:pPr>
      <w:bookmarkStart w:id="45" w:name="fig:interaction_wind_sun_sunset"/>
      <w:r>
        <w:rPr>
          <w:noProof/>
        </w:rPr>
        <w:drawing>
          <wp:inline distT="0" distB="0" distL="0" distR="0" wp14:anchorId="3DF0467B" wp14:editId="45CCBB78">
            <wp:extent cx="4267200" cy="36576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supplemental/results/sunset/figures/interaction_wind_x_sun_binned.png"/>
                    <pic:cNvPicPr>
                      <a:picLocks noChangeAspect="1" noChangeArrowheads="1"/>
                    </pic:cNvPicPr>
                  </pic:nvPicPr>
                  <pic:blipFill>
                    <a:blip r:embed="rId14"/>
                    <a:stretch>
                      <a:fillRect/>
                    </a:stretch>
                  </pic:blipFill>
                  <pic:spPr bwMode="auto">
                    <a:xfrm>
                      <a:off x="0" y="0"/>
                      <a:ext cx="4267200" cy="3657600"/>
                    </a:xfrm>
                    <a:prstGeom prst="rect">
                      <a:avLst/>
                    </a:prstGeom>
                    <a:noFill/>
                    <a:ln w="9525">
                      <a:noFill/>
                      <a:headEnd/>
                      <a:tailEnd/>
                    </a:ln>
                  </pic:spPr>
                </pic:pic>
              </a:graphicData>
            </a:graphic>
          </wp:inline>
        </w:drawing>
      </w:r>
    </w:p>
    <w:p w14:paraId="2D2705CF" w14:textId="77777777" w:rsidR="00992339" w:rsidRDefault="00000000">
      <w:pPr>
        <w:pStyle w:val="ImageCaption"/>
      </w:pPr>
      <w:r>
        <w:t>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p w14:paraId="4D168EFF" w14:textId="77777777" w:rsidR="00992339" w:rsidRDefault="00000000">
      <w:pPr>
        <w:pStyle w:val="Heading4"/>
      </w:pPr>
      <w:bookmarkStart w:id="46" w:name="model-diagnostics-1"/>
      <w:bookmarkEnd w:id="42"/>
      <w:bookmarkEnd w:id="45"/>
      <w:r>
        <w:t>Model Diagnostics</w:t>
      </w:r>
    </w:p>
    <w:p w14:paraId="75789A56" w14:textId="77777777" w:rsidR="00992339" w:rsidRDefault="00000000">
      <w:pPr>
        <w:pStyle w:val="FirstParagraph"/>
      </w:pPr>
      <w:r>
        <w:t>Model diagnostic plots confirmed the adequacy of the GAMM specification (Figure </w:t>
      </w:r>
      <w:hyperlink w:anchor="fig:model_diagnostics_sunset">
        <w:r>
          <w:rPr>
            <w:rStyle w:val="Hyperlink"/>
          </w:rPr>
          <w:t>1.10</w:t>
        </w:r>
      </w:hyperlink>
      <w:r>
        <w:t>). Residual versus fitted value plots showed no systematic patterns or heteroscedasticity, indicating appropriate model structure. The quantile-quantile plot revealed approximately normal residual distribution with minor deviations in the tails.</w:t>
      </w:r>
    </w:p>
    <w:p w14:paraId="2EC5BCF2" w14:textId="77777777" w:rsidR="00992339" w:rsidRDefault="00000000">
      <w:pPr>
        <w:pStyle w:val="CaptionedFigure"/>
      </w:pPr>
      <w:bookmarkStart w:id="47" w:name="fig:model_diagnostics_sunset"/>
      <w:r>
        <w:rPr>
          <w:noProof/>
        </w:rPr>
        <w:lastRenderedPageBreak/>
        <w:drawing>
          <wp:inline distT="0" distB="0" distL="0" distR="0" wp14:anchorId="5A40BBD1" wp14:editId="007216DF">
            <wp:extent cx="4800600" cy="200025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supplemental/results/sunset/figures/diag_qq_and_residuals_1x2.png"/>
                    <pic:cNvPicPr>
                      <a:picLocks noChangeAspect="1" noChangeArrowheads="1"/>
                    </pic:cNvPicPr>
                  </pic:nvPicPr>
                  <pic:blipFill>
                    <a:blip r:embed="rId15"/>
                    <a:stretch>
                      <a:fillRect/>
                    </a:stretch>
                  </pic:blipFill>
                  <pic:spPr bwMode="auto">
                    <a:xfrm>
                      <a:off x="0" y="0"/>
                      <a:ext cx="4800600" cy="2000250"/>
                    </a:xfrm>
                    <a:prstGeom prst="rect">
                      <a:avLst/>
                    </a:prstGeom>
                    <a:noFill/>
                    <a:ln w="9525">
                      <a:noFill/>
                      <a:headEnd/>
                      <a:tailEnd/>
                    </a:ln>
                  </pic:spPr>
                </pic:pic>
              </a:graphicData>
            </a:graphic>
          </wp:inline>
        </w:drawing>
      </w:r>
    </w:p>
    <w:p w14:paraId="72EE525F" w14:textId="77777777" w:rsidR="00992339" w:rsidRDefault="00000000">
      <w:pPr>
        <w:pStyle w:val="ImageCaption"/>
      </w:pPr>
      <w:r>
        <w:t>Diagnostic plots for the best-fit GAMM model (M32). Left panel shows quantile-quantile plot comparing model residuals to theoretical normal distribution. Right panel displays residuals versus fitted values to assess homoscedasticity and model adequacy.</w:t>
      </w:r>
    </w:p>
    <w:bookmarkEnd w:id="47"/>
    <w:p w14:paraId="3BDB0B23" w14:textId="77777777" w:rsidR="00992339" w:rsidRDefault="00000000">
      <w:pPr>
        <w:pStyle w:val="BodyText"/>
      </w:pPr>
      <w:r>
        <w:t>Basis dimension checks confirmed adequate smoothing parameter selection for the tensor smooth interaction term. The wind-sunlight interaction showed a k-index value of 1.06 (p = 0.72), indicating sufficient basis dimensions to capture the underlying functional form without evidence of undersmoothing. This confirms that the chosen basis dimensions adequately represent the complexity of the smooth relationship without overfitting.</w:t>
      </w:r>
    </w:p>
    <w:p w14:paraId="5D470485" w14:textId="77777777" w:rsidR="00992339" w:rsidRDefault="00000000">
      <w:pPr>
        <w:pStyle w:val="BodyText"/>
      </w:pPr>
      <w:r>
        <w:t>Temporal autocorrelation analysis revealed minimal residual correlation structure after accounting for the AR(1) correlation within deployment days (Figure </w:t>
      </w:r>
      <w:hyperlink w:anchor="fig:acf_diagnostics_sunset">
        <w:r>
          <w:rPr>
            <w:rStyle w:val="Hyperlink"/>
          </w:rPr>
          <w:t>1.11</w:t>
        </w:r>
      </w:hyperlink>
      <w:r>
        <w:t>). The autocorrelation function showed rapid decay with all lags beyond lag 1 falling within the significance bounds, confirming that the model adequately captured temporal dependencies in the data.</w:t>
      </w:r>
    </w:p>
    <w:p w14:paraId="0885551C" w14:textId="77777777" w:rsidR="00992339" w:rsidRDefault="00000000">
      <w:pPr>
        <w:pStyle w:val="CaptionedFigure"/>
      </w:pPr>
      <w:bookmarkStart w:id="48" w:name="fig:acf_diagnostics_sunset"/>
      <w:r>
        <w:rPr>
          <w:noProof/>
        </w:rPr>
        <w:lastRenderedPageBreak/>
        <w:drawing>
          <wp:inline distT="0" distB="0" distL="0" distR="0" wp14:anchorId="33E4299A" wp14:editId="531CC273">
            <wp:extent cx="4267200" cy="28448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supplemental/results/sunset/figures/diag_acf.png"/>
                    <pic:cNvPicPr>
                      <a:picLocks noChangeAspect="1" noChangeArrowheads="1"/>
                    </pic:cNvPicPr>
                  </pic:nvPicPr>
                  <pic:blipFill>
                    <a:blip r:embed="rId16"/>
                    <a:stretch>
                      <a:fillRect/>
                    </a:stretch>
                  </pic:blipFill>
                  <pic:spPr bwMode="auto">
                    <a:xfrm>
                      <a:off x="0" y="0"/>
                      <a:ext cx="4267200" cy="2844800"/>
                    </a:xfrm>
                    <a:prstGeom prst="rect">
                      <a:avLst/>
                    </a:prstGeom>
                    <a:noFill/>
                    <a:ln w="9525">
                      <a:noFill/>
                      <a:headEnd/>
                      <a:tailEnd/>
                    </a:ln>
                  </pic:spPr>
                </pic:pic>
              </a:graphicData>
            </a:graphic>
          </wp:inline>
        </w:drawing>
      </w:r>
    </w:p>
    <w:p w14:paraId="7E1ED122" w14:textId="77777777" w:rsidR="00992339" w:rsidRDefault="00000000">
      <w:pPr>
        <w:pStyle w:val="ImageCaption"/>
      </w:pPr>
      <w:r>
        <w:t>Autocorrelation function of model residuals showing minimal temporal correlation after accounting for AR(1) structure within deployment days. Blue dashed lines indicate 95% confidence bounds for white noise.</w:t>
      </w:r>
    </w:p>
    <w:p w14:paraId="7F4A0DDE" w14:textId="77777777" w:rsidR="00992339" w:rsidRDefault="00000000">
      <w:pPr>
        <w:pStyle w:val="Heading3"/>
      </w:pPr>
      <w:bookmarkStart w:id="49" w:name="X8ee9df558ea264a00b3b8f66d095453bfda6e75"/>
      <w:bookmarkEnd w:id="39"/>
      <w:bookmarkEnd w:id="46"/>
      <w:bookmarkEnd w:id="48"/>
      <w:r>
        <w:t>Robustness Analysis: 24-Hour Butterfly Change</w:t>
      </w:r>
    </w:p>
    <w:p w14:paraId="5702FBE7" w14:textId="77777777" w:rsidR="00992339" w:rsidRDefault="00000000">
      <w:pPr>
        <w:pStyle w:val="FirstParagraph"/>
      </w:pPr>
      <w:r>
        <w:t>To assess the robustness of our day-to-day site fidelity findings, we conducted an analysis examining butterfly cluster changes over 24-hour periods rather than sunset-specific intervals. This analysis evaluated the same 72 candidate models using identical GAMM specifications with deployment random intercepts and AR(1) temporal correlation. Notably, model selection converged on the same structural form as the primary day-to-day site fidelity analysis. Model M31, incorporating a tensor smooth interaction between maximum wind gust and cumulative direct sun exposure, emerged as the decisively best-fit model with 50.7% of the total model weight (Table </w:t>
      </w:r>
      <w:hyperlink w:anchor="tab:24hr-model-selection-table">
        <w:r>
          <w:rPr>
            <w:rStyle w:val="Hyperlink"/>
          </w:rPr>
          <w:t>1.8</w:t>
        </w:r>
      </w:hyperlink>
      <w:r>
        <w:t xml:space="preserve">). Alternative models showed substantially weaker support, with the next best model achieving only 8.4% weight and </w:t>
      </w:r>
      <m:oMath>
        <m:r>
          <m:rPr>
            <m:sty m:val="p"/>
          </m:rPr>
          <w:rPr>
            <w:rFonts w:ascii="Cambria Math" w:hAnsi="Cambria Math"/>
          </w:rPr>
          <m:t>Δ</m:t>
        </m:r>
      </m:oMath>
      <w:r>
        <w:t>AICc = 3.6.</w:t>
      </w:r>
    </w:p>
    <w:p w14:paraId="2886A94E" w14:textId="77777777" w:rsidR="00992339" w:rsidRDefault="00000000">
      <w:pPr>
        <w:pStyle w:val="TableCaption"/>
      </w:pPr>
      <w:bookmarkStart w:id="50" w:name="tab:24hr-model-selection-table"/>
      <w:r>
        <w:t>Top five models from 24-hour robustness analysis ranked by AICc. The best-fit model (M31) included a tensor smooth interaction between maximum wind gust and cumulative butterflies in direct sun, matching the structure identified in the sunset-specific analysis but applied to 24-hour periods.</w:t>
      </w:r>
    </w:p>
    <w:tbl>
      <w:tblPr>
        <w:tblStyle w:val="Table"/>
        <w:tblW w:w="0" w:type="auto"/>
        <w:tblLook w:val="0020" w:firstRow="1" w:lastRow="0" w:firstColumn="0" w:lastColumn="0" w:noHBand="0" w:noVBand="0"/>
        <w:tblCaption w:val="Top five models from 24-hour robustness analysis ranked by AICc. The best-fit model (M31) included a tensor smooth interaction between maximum wind gust and cumulative butterflies in direct sun, matching the structure identified in the sunset-specific analysis but applied to 24-hour periods."/>
      </w:tblPr>
      <w:tblGrid>
        <w:gridCol w:w="862"/>
        <w:gridCol w:w="4193"/>
        <w:gridCol w:w="798"/>
        <w:gridCol w:w="856"/>
        <w:gridCol w:w="940"/>
        <w:gridCol w:w="921"/>
      </w:tblGrid>
      <w:tr w:rsidR="00992339" w14:paraId="2586B0C8" w14:textId="77777777" w:rsidTr="00992339">
        <w:trPr>
          <w:cnfStyle w:val="100000000000" w:firstRow="1" w:lastRow="0" w:firstColumn="0" w:lastColumn="0" w:oddVBand="0" w:evenVBand="0" w:oddHBand="0" w:evenHBand="0" w:firstRowFirstColumn="0" w:firstRowLastColumn="0" w:lastRowFirstColumn="0" w:lastRowLastColumn="0"/>
          <w:tblHeader/>
        </w:trPr>
        <w:tc>
          <w:tcPr>
            <w:tcW w:w="0" w:type="auto"/>
          </w:tcPr>
          <w:p w14:paraId="5119EDC0" w14:textId="77777777" w:rsidR="00992339" w:rsidRDefault="00000000">
            <w:pPr>
              <w:pStyle w:val="Compact"/>
            </w:pPr>
            <w:r>
              <w:t>Model</w:t>
            </w:r>
          </w:p>
        </w:tc>
        <w:tc>
          <w:tcPr>
            <w:tcW w:w="0" w:type="auto"/>
          </w:tcPr>
          <w:p w14:paraId="6AC2C579" w14:textId="77777777" w:rsidR="00992339" w:rsidRDefault="00000000">
            <w:pPr>
              <w:pStyle w:val="Compact"/>
            </w:pPr>
            <w:r>
              <w:t>Description</w:t>
            </w:r>
          </w:p>
        </w:tc>
        <w:tc>
          <w:tcPr>
            <w:tcW w:w="0" w:type="auto"/>
          </w:tcPr>
          <w:p w14:paraId="4D1EB448" w14:textId="77777777" w:rsidR="00992339" w:rsidRDefault="00000000">
            <w:pPr>
              <w:pStyle w:val="Compact"/>
              <w:jc w:val="center"/>
            </w:pPr>
            <w:r>
              <w:t>AICc</w:t>
            </w:r>
          </w:p>
        </w:tc>
        <w:tc>
          <w:tcPr>
            <w:tcW w:w="0" w:type="auto"/>
          </w:tcPr>
          <w:p w14:paraId="2DF71BA1" w14:textId="77777777" w:rsidR="00992339" w:rsidRDefault="00000000">
            <w:pPr>
              <w:pStyle w:val="Compact"/>
              <w:jc w:val="center"/>
            </w:pPr>
            <m:oMath>
              <m:r>
                <m:rPr>
                  <m:sty m:val="p"/>
                </m:rPr>
                <w:rPr>
                  <w:rFonts w:ascii="Cambria Math" w:hAnsi="Cambria Math"/>
                </w:rPr>
                <m:t>Δ</m:t>
              </m:r>
            </m:oMath>
            <w:r>
              <w:t>AICc</w:t>
            </w:r>
          </w:p>
        </w:tc>
        <w:tc>
          <w:tcPr>
            <w:tcW w:w="0" w:type="auto"/>
          </w:tcPr>
          <w:p w14:paraId="7BEBB16C" w14:textId="77777777" w:rsidR="00992339" w:rsidRDefault="00000000">
            <w:pPr>
              <w:pStyle w:val="Compact"/>
              <w:jc w:val="center"/>
            </w:pPr>
            <w:r>
              <w:t>Weight</w:t>
            </w:r>
          </w:p>
        </w:tc>
        <w:tc>
          <w:tcPr>
            <w:tcW w:w="0" w:type="auto"/>
          </w:tcPr>
          <w:p w14:paraId="1C027672" w14:textId="77777777" w:rsidR="00992339" w:rsidRDefault="00000000">
            <w:pPr>
              <w:pStyle w:val="Compact"/>
              <w:jc w:val="center"/>
            </w:pPr>
            <w:r>
              <w:t xml:space="preserve">adj. </w:t>
            </w:r>
            <m:oMath>
              <m:sSup>
                <m:sSupPr>
                  <m:ctrlPr>
                    <w:rPr>
                      <w:rFonts w:ascii="Cambria Math" w:hAnsi="Cambria Math"/>
                    </w:rPr>
                  </m:ctrlPr>
                </m:sSupPr>
                <m:e>
                  <m:r>
                    <w:rPr>
                      <w:rFonts w:ascii="Cambria Math" w:hAnsi="Cambria Math"/>
                    </w:rPr>
                    <m:t>R</m:t>
                  </m:r>
                </m:e>
                <m:sup>
                  <m:r>
                    <w:rPr>
                      <w:rFonts w:ascii="Cambria Math" w:hAnsi="Cambria Math"/>
                    </w:rPr>
                    <m:t>2</m:t>
                  </m:r>
                </m:sup>
              </m:sSup>
            </m:oMath>
          </w:p>
        </w:tc>
      </w:tr>
      <w:tr w:rsidR="00992339" w14:paraId="259163F6" w14:textId="77777777">
        <w:tc>
          <w:tcPr>
            <w:tcW w:w="0" w:type="auto"/>
          </w:tcPr>
          <w:p w14:paraId="3B38B96E" w14:textId="77777777" w:rsidR="00992339" w:rsidRDefault="00000000">
            <w:pPr>
              <w:pStyle w:val="Compact"/>
            </w:pPr>
            <w:r>
              <w:t>M31</w:t>
            </w:r>
          </w:p>
        </w:tc>
        <w:tc>
          <w:tcPr>
            <w:tcW w:w="0" w:type="auto"/>
          </w:tcPr>
          <w:p w14:paraId="0A2E8376" w14:textId="77777777" w:rsidR="00992339" w:rsidRDefault="00000000">
            <w:pPr>
              <w:pStyle w:val="Compact"/>
            </w:pPr>
            <w:r>
              <w:t xml:space="preserve">Wind </w:t>
            </w:r>
            <m:oMath>
              <m:r>
                <m:rPr>
                  <m:sty m:val="p"/>
                </m:rPr>
                <w:rPr>
                  <w:rFonts w:ascii="Cambria Math" w:hAnsi="Cambria Math"/>
                </w:rPr>
                <m:t>×</m:t>
              </m:r>
            </m:oMath>
            <w:r>
              <w:t xml:space="preserve"> sun exposure (smooth)</w:t>
            </w:r>
          </w:p>
        </w:tc>
        <w:tc>
          <w:tcPr>
            <w:tcW w:w="0" w:type="auto"/>
          </w:tcPr>
          <w:p w14:paraId="3575F8D2" w14:textId="77777777" w:rsidR="00992339" w:rsidRDefault="00000000">
            <w:pPr>
              <w:pStyle w:val="Compact"/>
              <w:jc w:val="center"/>
            </w:pPr>
            <w:r>
              <w:t>636.3</w:t>
            </w:r>
          </w:p>
        </w:tc>
        <w:tc>
          <w:tcPr>
            <w:tcW w:w="0" w:type="auto"/>
          </w:tcPr>
          <w:p w14:paraId="09D7578D" w14:textId="77777777" w:rsidR="00992339" w:rsidRDefault="00000000">
            <w:pPr>
              <w:pStyle w:val="Compact"/>
              <w:jc w:val="center"/>
            </w:pPr>
            <w:r>
              <w:t>0.0</w:t>
            </w:r>
          </w:p>
        </w:tc>
        <w:tc>
          <w:tcPr>
            <w:tcW w:w="0" w:type="auto"/>
          </w:tcPr>
          <w:p w14:paraId="254665BC" w14:textId="77777777" w:rsidR="00992339" w:rsidRDefault="00000000">
            <w:pPr>
              <w:pStyle w:val="Compact"/>
              <w:jc w:val="center"/>
            </w:pPr>
            <w:r>
              <w:t>0.507</w:t>
            </w:r>
          </w:p>
        </w:tc>
        <w:tc>
          <w:tcPr>
            <w:tcW w:w="0" w:type="auto"/>
          </w:tcPr>
          <w:p w14:paraId="18B9A8E7" w14:textId="77777777" w:rsidR="00992339" w:rsidRDefault="00000000">
            <w:pPr>
              <w:pStyle w:val="Compact"/>
              <w:jc w:val="center"/>
            </w:pPr>
            <w:r>
              <w:t>0.235</w:t>
            </w:r>
          </w:p>
        </w:tc>
      </w:tr>
      <w:tr w:rsidR="00992339" w14:paraId="0094EBDA" w14:textId="77777777">
        <w:tc>
          <w:tcPr>
            <w:tcW w:w="0" w:type="auto"/>
          </w:tcPr>
          <w:p w14:paraId="55B49721" w14:textId="77777777" w:rsidR="00992339" w:rsidRDefault="00000000">
            <w:pPr>
              <w:pStyle w:val="Compact"/>
            </w:pPr>
            <w:r>
              <w:t>M23</w:t>
            </w:r>
          </w:p>
        </w:tc>
        <w:tc>
          <w:tcPr>
            <w:tcW w:w="0" w:type="auto"/>
          </w:tcPr>
          <w:p w14:paraId="0C16A0C3" w14:textId="77777777" w:rsidR="00992339" w:rsidRDefault="00000000">
            <w:pPr>
              <w:pStyle w:val="Compact"/>
            </w:pPr>
            <w:r>
              <w:t xml:space="preserve">Temperature </w:t>
            </w:r>
            <m:oMath>
              <m:r>
                <m:rPr>
                  <m:sty m:val="p"/>
                </m:rPr>
                <w:rPr>
                  <w:rFonts w:ascii="Cambria Math" w:hAnsi="Cambria Math"/>
                </w:rPr>
                <m:t>×</m:t>
              </m:r>
            </m:oMath>
            <w:r>
              <w:t xml:space="preserve"> wind (smooth)</w:t>
            </w:r>
          </w:p>
        </w:tc>
        <w:tc>
          <w:tcPr>
            <w:tcW w:w="0" w:type="auto"/>
          </w:tcPr>
          <w:p w14:paraId="5B220F29" w14:textId="77777777" w:rsidR="00992339" w:rsidRDefault="00000000">
            <w:pPr>
              <w:pStyle w:val="Compact"/>
              <w:jc w:val="center"/>
            </w:pPr>
            <w:r>
              <w:t>639.9</w:t>
            </w:r>
          </w:p>
        </w:tc>
        <w:tc>
          <w:tcPr>
            <w:tcW w:w="0" w:type="auto"/>
          </w:tcPr>
          <w:p w14:paraId="44AC8C2F" w14:textId="77777777" w:rsidR="00992339" w:rsidRDefault="00000000">
            <w:pPr>
              <w:pStyle w:val="Compact"/>
              <w:jc w:val="center"/>
            </w:pPr>
            <w:r>
              <w:t>3.6</w:t>
            </w:r>
          </w:p>
        </w:tc>
        <w:tc>
          <w:tcPr>
            <w:tcW w:w="0" w:type="auto"/>
          </w:tcPr>
          <w:p w14:paraId="2A8ABD51" w14:textId="77777777" w:rsidR="00992339" w:rsidRDefault="00000000">
            <w:pPr>
              <w:pStyle w:val="Compact"/>
              <w:jc w:val="center"/>
            </w:pPr>
            <w:r>
              <w:t>0.084</w:t>
            </w:r>
          </w:p>
        </w:tc>
        <w:tc>
          <w:tcPr>
            <w:tcW w:w="0" w:type="auto"/>
          </w:tcPr>
          <w:p w14:paraId="278DA8E4" w14:textId="77777777" w:rsidR="00992339" w:rsidRDefault="00000000">
            <w:pPr>
              <w:pStyle w:val="Compact"/>
              <w:jc w:val="center"/>
            </w:pPr>
            <w:r>
              <w:t>–</w:t>
            </w:r>
          </w:p>
        </w:tc>
      </w:tr>
      <w:tr w:rsidR="00992339" w14:paraId="2A2E27DA" w14:textId="77777777">
        <w:tc>
          <w:tcPr>
            <w:tcW w:w="0" w:type="auto"/>
          </w:tcPr>
          <w:p w14:paraId="6C28C66F" w14:textId="77777777" w:rsidR="00992339" w:rsidRDefault="00000000">
            <w:pPr>
              <w:pStyle w:val="Compact"/>
            </w:pPr>
            <w:r>
              <w:t>M29</w:t>
            </w:r>
          </w:p>
        </w:tc>
        <w:tc>
          <w:tcPr>
            <w:tcW w:w="0" w:type="auto"/>
          </w:tcPr>
          <w:p w14:paraId="73519206" w14:textId="77777777" w:rsidR="00992339" w:rsidRDefault="00000000">
            <w:pPr>
              <w:pStyle w:val="Compact"/>
            </w:pPr>
            <w:r>
              <w:t xml:space="preserve">Temperature </w:t>
            </w:r>
            <m:oMath>
              <m:r>
                <m:rPr>
                  <m:sty m:val="p"/>
                </m:rPr>
                <w:rPr>
                  <w:rFonts w:ascii="Cambria Math" w:hAnsi="Cambria Math"/>
                </w:rPr>
                <m:t>×</m:t>
              </m:r>
            </m:oMath>
            <w:r>
              <w:t xml:space="preserve"> sun exposure (smooth)</w:t>
            </w:r>
          </w:p>
        </w:tc>
        <w:tc>
          <w:tcPr>
            <w:tcW w:w="0" w:type="auto"/>
          </w:tcPr>
          <w:p w14:paraId="1B5BE598" w14:textId="77777777" w:rsidR="00992339" w:rsidRDefault="00000000">
            <w:pPr>
              <w:pStyle w:val="Compact"/>
              <w:jc w:val="center"/>
            </w:pPr>
            <w:r>
              <w:t>640.8</w:t>
            </w:r>
          </w:p>
        </w:tc>
        <w:tc>
          <w:tcPr>
            <w:tcW w:w="0" w:type="auto"/>
          </w:tcPr>
          <w:p w14:paraId="2F83C3F9" w14:textId="77777777" w:rsidR="00992339" w:rsidRDefault="00000000">
            <w:pPr>
              <w:pStyle w:val="Compact"/>
              <w:jc w:val="center"/>
            </w:pPr>
            <w:r>
              <w:t>4.4</w:t>
            </w:r>
          </w:p>
        </w:tc>
        <w:tc>
          <w:tcPr>
            <w:tcW w:w="0" w:type="auto"/>
          </w:tcPr>
          <w:p w14:paraId="6D01F36F" w14:textId="77777777" w:rsidR="00992339" w:rsidRDefault="00000000">
            <w:pPr>
              <w:pStyle w:val="Compact"/>
              <w:jc w:val="center"/>
            </w:pPr>
            <w:r>
              <w:t>0.056</w:t>
            </w:r>
          </w:p>
        </w:tc>
        <w:tc>
          <w:tcPr>
            <w:tcW w:w="0" w:type="auto"/>
          </w:tcPr>
          <w:p w14:paraId="7EE4CA34" w14:textId="77777777" w:rsidR="00992339" w:rsidRDefault="00000000">
            <w:pPr>
              <w:pStyle w:val="Compact"/>
              <w:jc w:val="center"/>
            </w:pPr>
            <w:r>
              <w:t>–</w:t>
            </w:r>
          </w:p>
        </w:tc>
      </w:tr>
      <w:tr w:rsidR="00992339" w14:paraId="07A9AE11" w14:textId="77777777">
        <w:tc>
          <w:tcPr>
            <w:tcW w:w="0" w:type="auto"/>
          </w:tcPr>
          <w:p w14:paraId="47BB8C85" w14:textId="77777777" w:rsidR="00992339" w:rsidRDefault="00000000">
            <w:pPr>
              <w:pStyle w:val="Compact"/>
            </w:pPr>
            <w:r>
              <w:t>M19</w:t>
            </w:r>
          </w:p>
        </w:tc>
        <w:tc>
          <w:tcPr>
            <w:tcW w:w="0" w:type="auto"/>
          </w:tcPr>
          <w:p w14:paraId="010A983F" w14:textId="77777777" w:rsidR="00992339" w:rsidRDefault="00000000">
            <w:pPr>
              <w:pStyle w:val="Compact"/>
            </w:pPr>
            <w:r>
              <w:t xml:space="preserve">Min. temp. </w:t>
            </w:r>
            <m:oMath>
              <m:r>
                <m:rPr>
                  <m:sty m:val="p"/>
                </m:rPr>
                <w:rPr>
                  <w:rFonts w:ascii="Cambria Math" w:hAnsi="Cambria Math"/>
                </w:rPr>
                <m:t>×</m:t>
              </m:r>
            </m:oMath>
            <w:r>
              <w:t xml:space="preserve"> sun exposure (smooth)</w:t>
            </w:r>
          </w:p>
        </w:tc>
        <w:tc>
          <w:tcPr>
            <w:tcW w:w="0" w:type="auto"/>
          </w:tcPr>
          <w:p w14:paraId="0E7F58C5" w14:textId="77777777" w:rsidR="00992339" w:rsidRDefault="00000000">
            <w:pPr>
              <w:pStyle w:val="Compact"/>
              <w:jc w:val="center"/>
            </w:pPr>
            <w:r>
              <w:t>641.1</w:t>
            </w:r>
          </w:p>
        </w:tc>
        <w:tc>
          <w:tcPr>
            <w:tcW w:w="0" w:type="auto"/>
          </w:tcPr>
          <w:p w14:paraId="467D33AA" w14:textId="77777777" w:rsidR="00992339" w:rsidRDefault="00000000">
            <w:pPr>
              <w:pStyle w:val="Compact"/>
              <w:jc w:val="center"/>
            </w:pPr>
            <w:r>
              <w:t>4.8</w:t>
            </w:r>
          </w:p>
        </w:tc>
        <w:tc>
          <w:tcPr>
            <w:tcW w:w="0" w:type="auto"/>
          </w:tcPr>
          <w:p w14:paraId="4C33EBA5" w14:textId="77777777" w:rsidR="00992339" w:rsidRDefault="00000000">
            <w:pPr>
              <w:pStyle w:val="Compact"/>
              <w:jc w:val="center"/>
            </w:pPr>
            <w:r>
              <w:t>0.047</w:t>
            </w:r>
          </w:p>
        </w:tc>
        <w:tc>
          <w:tcPr>
            <w:tcW w:w="0" w:type="auto"/>
          </w:tcPr>
          <w:p w14:paraId="7EE3E3DE" w14:textId="77777777" w:rsidR="00992339" w:rsidRDefault="00000000">
            <w:pPr>
              <w:pStyle w:val="Compact"/>
              <w:jc w:val="center"/>
            </w:pPr>
            <w:r>
              <w:t>–</w:t>
            </w:r>
          </w:p>
        </w:tc>
      </w:tr>
      <w:tr w:rsidR="00992339" w14:paraId="3AA55298" w14:textId="77777777">
        <w:tc>
          <w:tcPr>
            <w:tcW w:w="0" w:type="auto"/>
          </w:tcPr>
          <w:p w14:paraId="138783BE" w14:textId="77777777" w:rsidR="00992339" w:rsidRDefault="00000000">
            <w:pPr>
              <w:pStyle w:val="Compact"/>
            </w:pPr>
            <w:r>
              <w:t>M51</w:t>
            </w:r>
          </w:p>
        </w:tc>
        <w:tc>
          <w:tcPr>
            <w:tcW w:w="0" w:type="auto"/>
          </w:tcPr>
          <w:p w14:paraId="50D5C107" w14:textId="77777777" w:rsidR="00992339" w:rsidRDefault="00000000">
            <w:pPr>
              <w:pStyle w:val="Compact"/>
            </w:pPr>
            <w:r>
              <w:t>Wind + sun + wind</w:t>
            </w:r>
            <m:oMath>
              <m:r>
                <m:rPr>
                  <m:sty m:val="p"/>
                </m:rPr>
                <w:rPr>
                  <w:rFonts w:ascii="Cambria Math" w:hAnsi="Cambria Math"/>
                </w:rPr>
                <m:t>×</m:t>
              </m:r>
            </m:oMath>
            <w:r>
              <w:t>sun (smooth)</w:t>
            </w:r>
          </w:p>
        </w:tc>
        <w:tc>
          <w:tcPr>
            <w:tcW w:w="0" w:type="auto"/>
          </w:tcPr>
          <w:p w14:paraId="335AFB71" w14:textId="77777777" w:rsidR="00992339" w:rsidRDefault="00000000">
            <w:pPr>
              <w:pStyle w:val="Compact"/>
              <w:jc w:val="center"/>
            </w:pPr>
            <w:r>
              <w:t>641.7</w:t>
            </w:r>
          </w:p>
        </w:tc>
        <w:tc>
          <w:tcPr>
            <w:tcW w:w="0" w:type="auto"/>
          </w:tcPr>
          <w:p w14:paraId="446CE5FB" w14:textId="77777777" w:rsidR="00992339" w:rsidRDefault="00000000">
            <w:pPr>
              <w:pStyle w:val="Compact"/>
              <w:jc w:val="center"/>
            </w:pPr>
            <w:r>
              <w:t>5.4</w:t>
            </w:r>
          </w:p>
        </w:tc>
        <w:tc>
          <w:tcPr>
            <w:tcW w:w="0" w:type="auto"/>
          </w:tcPr>
          <w:p w14:paraId="20BFB669" w14:textId="77777777" w:rsidR="00992339" w:rsidRDefault="00000000">
            <w:pPr>
              <w:pStyle w:val="Compact"/>
              <w:jc w:val="center"/>
            </w:pPr>
            <w:r>
              <w:t>0.034</w:t>
            </w:r>
          </w:p>
        </w:tc>
        <w:tc>
          <w:tcPr>
            <w:tcW w:w="0" w:type="auto"/>
          </w:tcPr>
          <w:p w14:paraId="75C5A705" w14:textId="77777777" w:rsidR="00992339" w:rsidRDefault="00000000">
            <w:pPr>
              <w:pStyle w:val="Compact"/>
              <w:jc w:val="center"/>
            </w:pPr>
            <w:r>
              <w:t>–</w:t>
            </w:r>
          </w:p>
        </w:tc>
      </w:tr>
    </w:tbl>
    <w:bookmarkEnd w:id="50"/>
    <w:p w14:paraId="735E5AB8" w14:textId="77777777" w:rsidR="00992339" w:rsidRDefault="00000000">
      <w:pPr>
        <w:pStyle w:val="BodyText"/>
      </w:pPr>
      <w:r>
        <w:lastRenderedPageBreak/>
        <w:t>The 24-hour robustness analysis revealed qualitatively similar interaction patterns to the day-to-day site fidelity analysis, though with attenuated effect magnitudes reflecting the longer temporal window (Figure </w:t>
      </w:r>
      <w:hyperlink w:anchor="fig:interaction_wind_sun_24hr">
        <w:r>
          <w:rPr>
            <w:rStyle w:val="Hyperlink"/>
          </w:rPr>
          <w:t>1.12</w:t>
        </w:r>
      </w:hyperlink>
      <w:r>
        <w:t>). Under low wind conditions (approximately 2 m/s) with minimal butterflies in direct sun, clusters increased over the subsequent 24 hours. This effect reversed sharply as butterfly counts in direct sun increased under low winds, resulting in rapid cluster size decreases. When no butterflies occupied direct sun positions, cluster sizes remained relatively stable across wind speed values. Intermediate values for both wind speed and sun exposure produced cluster size increases. The convergent model selection and consistent interaction patterns across temporal scales strengthen confidence in the identified environmental relationships, while interpretation requires similar caution near data boundaries and regions with sparse observations.</w:t>
      </w:r>
    </w:p>
    <w:p w14:paraId="05CB4C51" w14:textId="77777777" w:rsidR="00992339" w:rsidRDefault="00000000">
      <w:pPr>
        <w:pStyle w:val="CaptionedFigure"/>
      </w:pPr>
      <w:bookmarkStart w:id="51" w:name="fig:interaction_wind_sun_24hr"/>
      <w:r>
        <w:rPr>
          <w:noProof/>
        </w:rPr>
        <w:drawing>
          <wp:inline distT="0" distB="0" distL="0" distR="0" wp14:anchorId="115CA264" wp14:editId="29CE81B7">
            <wp:extent cx="4267200" cy="36576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supplemental/results/24hr/figures/interaction_wind_x_sun_binned.png"/>
                    <pic:cNvPicPr>
                      <a:picLocks noChangeAspect="1" noChangeArrowheads="1"/>
                    </pic:cNvPicPr>
                  </pic:nvPicPr>
                  <pic:blipFill>
                    <a:blip r:embed="rId17"/>
                    <a:stretch>
                      <a:fillRect/>
                    </a:stretch>
                  </pic:blipFill>
                  <pic:spPr bwMode="auto">
                    <a:xfrm>
                      <a:off x="0" y="0"/>
                      <a:ext cx="4267200" cy="3657600"/>
                    </a:xfrm>
                    <a:prstGeom prst="rect">
                      <a:avLst/>
                    </a:prstGeom>
                    <a:noFill/>
                    <a:ln w="9525">
                      <a:noFill/>
                      <a:headEnd/>
                      <a:tailEnd/>
                    </a:ln>
                  </pic:spPr>
                </pic:pic>
              </a:graphicData>
            </a:graphic>
          </wp:inline>
        </w:drawing>
      </w:r>
    </w:p>
    <w:p w14:paraId="633B827C" w14:textId="77777777" w:rsidR="00992339" w:rsidRDefault="00000000">
      <w:pPr>
        <w:pStyle w:val="ImageCaption"/>
      </w:pPr>
      <w:r>
        <w:t>Tensor smooth interaction between maximum wind gust (m/s) and cumulative butterflies in direct sun on 24-hour cluster size changes. Color gradient indicates partial effect magnitude on square-root transformed scale (red = positive, blue = negative). Black points show observed data distribution. Gray regions indicate areas beyond reliable interpolation range. The interaction pattern mirrors that observed in the sunset-specific analysis, supporting the robustness of identified environmental relationships.</w:t>
      </w:r>
    </w:p>
    <w:p w14:paraId="7D09BEB0" w14:textId="77777777" w:rsidR="00992339" w:rsidRDefault="00000000">
      <w:pPr>
        <w:pStyle w:val="Heading2"/>
      </w:pPr>
      <w:bookmarkStart w:id="52" w:name="discussion"/>
      <w:bookmarkEnd w:id="18"/>
      <w:bookmarkEnd w:id="49"/>
      <w:bookmarkEnd w:id="51"/>
      <w:r>
        <w:t>Discussion</w:t>
      </w:r>
    </w:p>
    <w:p w14:paraId="79E55880" w14:textId="77777777" w:rsidR="00992339" w:rsidRDefault="00000000">
      <w:pPr>
        <w:pStyle w:val="FirstParagraph"/>
      </w:pPr>
      <w:r>
        <w:t xml:space="preserve">Our study provides the first direct empirical test of the long-standing hypothesis that wind disrupts overwintering monarch butterfly clusters. For over three decades, conservation practice has operated under the assumption that wind speeds exceeding 2 m/s force </w:t>
      </w:r>
      <w:r>
        <w:lastRenderedPageBreak/>
        <w:t>butterflies to abandon their roosts, either by physically dislodging them or triggering behavioral departures (Kingston L. H. Leong 2016). Our findings challenge this fundamental assumption. Though there does appear to be a ’wind effect,’ it is not at 2 m/s nor the only effect, and instead, our results suggest a more complex relationship between monarchs and their overwintering environment.</w:t>
      </w:r>
    </w:p>
    <w:p w14:paraId="6E811C5C" w14:textId="77777777" w:rsidR="00992339" w:rsidRDefault="00000000">
      <w:pPr>
        <w:pStyle w:val="Heading3"/>
      </w:pPr>
      <w:bookmarkStart w:id="53" w:name="evidence-against-wind-disruption"/>
      <w:r>
        <w:t>Evidence Against Wind Disruption</w:t>
      </w:r>
    </w:p>
    <w:p w14:paraId="6A29EAFB" w14:textId="77777777" w:rsidR="00992339" w:rsidRDefault="00000000">
      <w:pPr>
        <w:pStyle w:val="FirstParagraph"/>
      </w:pPr>
      <w:r>
        <w:t>The evidence against the wind disruption hypothesis emerges from multiple, independent lines of analysis. Most strikingly, every single observation period in our sunset analysis experienced maximum wind speeds exceeding the proposed 2 m/s threshold (range: 2.0–12.8 m/s), yet monarch clusters persisted throughout the 78-day study period. If the hypothesis were correct, we should have observed either mass departures when temperatures permitted flight or butterflies physically dislodged and littering the ground when too cold to fly, as described in the literature (K. L. H. Leong 1999). We observed neither.</w:t>
      </w:r>
    </w:p>
    <w:p w14:paraId="65289F3C" w14:textId="77777777" w:rsidR="00992339" w:rsidRDefault="00000000">
      <w:pPr>
        <w:pStyle w:val="BodyText"/>
      </w:pPr>
      <w:r>
        <w:t xml:space="preserve">When we examined the simple relationship between wind speed and cluster size changes, we found essentially no correlation at either temporal scale (30-minute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0.002, n = 1,894; sunset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0.013, n = 96). These analyses tested the most basic prediction of the hypothesis that increasing wind speed should produce decreasing cluster sizes. The absence of this relationship across wind speeds ranging from calm conditions to six times the proposed threshold suggests that wind alone does not drive clustering decisions.</w:t>
      </w:r>
    </w:p>
    <w:p w14:paraId="6271AAE5" w14:textId="77777777" w:rsidR="00992339" w:rsidRDefault="00000000">
      <w:pPr>
        <w:pStyle w:val="BodyText"/>
      </w:pPr>
      <w:r>
        <w:t>While wind alone showed no disruptive effect, our models revealed that monarchs respond to environmental conditions through complex interactions, particularly between wind and solar exposure. The wind-sunlight interaction achieved statistical significance in both temporal analyses (30-minute: F = 4.67, p &lt; 0.001; sunset: F = 4.10, p &lt; 0.001), emerging as the only environmental interaction significant across both timescales. Critically, this interaction demonstrates that wind effects depend entirely on light conditions: when butterflies remained in shade, wind speed had no effect on cluster dynamics across the full range of observed speeds (0 to 12.4 m/s), while the relationship became complex and conditional only when butterflies occupied sunlit positions. This pattern indicates that wind does not act as an independent disruptive force but rather modulates butterfly responses to solar exposure, fundamentally challenging the notion of wind as a primary limiting factor.</w:t>
      </w:r>
    </w:p>
    <w:p w14:paraId="3DB5F4D3" w14:textId="77777777" w:rsidR="00992339" w:rsidRDefault="00000000">
      <w:pPr>
        <w:pStyle w:val="BodyText"/>
      </w:pPr>
      <w:r>
        <w:t>Statistical power was not a limitation. Our analysis achieved 87.5% power to detect moderate effects and 98.5% power for large effects. The wind disruption hypothesis predicts substantial, observable impacts, not subtle statistical signals. Our failure to detect these effects, despite adequate power and validated methodology that successfully identified other environmental signals, provides strong evidence against the hypothesis rather than merely absence of evidence.</w:t>
      </w:r>
    </w:p>
    <w:p w14:paraId="087E1022" w14:textId="77777777" w:rsidR="00992339" w:rsidRDefault="00000000">
      <w:pPr>
        <w:pStyle w:val="Heading3"/>
      </w:pPr>
      <w:bookmarkStart w:id="54" w:name="X5e474d4f5f2269e0b3db1229fb789e6c77fbc2d"/>
      <w:bookmarkEnd w:id="53"/>
      <w:r>
        <w:lastRenderedPageBreak/>
        <w:t>Thermoregulation as an Alternative Explanation</w:t>
      </w:r>
    </w:p>
    <w:p w14:paraId="673D94C8" w14:textId="77777777" w:rsidR="00992339" w:rsidRDefault="00000000">
      <w:pPr>
        <w:pStyle w:val="FirstParagraph"/>
      </w:pPr>
      <w:r>
        <w:t>The nature of these wind-light interactions requires careful consideration. During our study, butterflies rarely experienced direct sunlight, with most observations recording few or no butterflies in sun. This natural behavioral pattern meant that our models extrapolated interaction effects into data-sparse regions, particularly at high sun exposure values where fewer than 3% of observations occurred. The patterns we describe therefore reflect a combination of robust findings in data-rich conditions (primarily shaded butterflies) and model predictions in less-observed states (that reflected a different dynamic).</w:t>
      </w:r>
    </w:p>
    <w:p w14:paraId="4081B1D8" w14:textId="77777777" w:rsidR="00992339" w:rsidRDefault="00000000">
      <w:pPr>
        <w:pStyle w:val="BodyText"/>
      </w:pPr>
      <w:r>
        <w:t>The clearest finding emerges from our most common condition: when butterflies remained in shade, wind speed had no effect on cluster dynamics across the entire observed range (0 to 12.4 m/s). This pattern was consistent across both our 30-minute and sunset analyses. Only isolated observations at the highest wind speeds (&gt;10 m/s) showed any deviation, where single data points in otherwise unsampled regions produced unreliable model predictions, yet even these outliers directly contradicted the wind disruption hypothesis. The interaction patterns at higher sun exposure, while statistically significant, derive largely from model interpolation beyond our data-rich conditions, as fewer than 3% of observations occurred at high sun exposure values. Notably, our sunset analysis revealed that butterflies tended to depart from areas experiencing high light with low wind, yet showed increased abundance in areas with similar light levels when accompanied by higher wind speeds. The 30-minute and sunset analyses showed contrasting patterns under these wind-sun combinations: at moderate wind speeds with high butterfly sun exposure, the 30-minute analysis predicted cluster growth while the sunset analysis predicted cluster decline, potentially reflecting distinct behavioral responses operating at immediate versus overnight temporal scales. These results suggest that light exposure may influence butterfly movement decisions, with wind conditions potentially modifying the response rather than acting as an independent disruptive force.</w:t>
      </w:r>
    </w:p>
    <w:p w14:paraId="4A90889B" w14:textId="77777777" w:rsidR="00992339" w:rsidRDefault="00000000">
      <w:pPr>
        <w:pStyle w:val="BodyText"/>
      </w:pPr>
      <w:r>
        <w:t>The pattern of butterflies responding differently to sunlit locations depending on wind conditions, combined with the complete absence of wind effects in shade, suggests that thermal considerations may underlie these behaviors. These patterns suggest thermoregulation as a plausible mechanism. Monarchs appear to both seek and avoid sunny locations depending on their thermal state. Masters, Malcolm, and Brower (1988) demonstrated that cold monarchs actively seek sun. The seeking allows warming from below flight threshold (12.7°C) to well above it within one minute through solar basking at ambient temperatures as low as 9°C. This represents an energetic advantage over the alternative warming mechanism, as Kammer (1970) showed that shivering requires 25 to 31 times more energy than resting. However, Masters, Malcolm, and Brower (1988) also found that monarchs avoid sun when thoracic temperatures approach 30°C. Monarchs depart sunny clusters to avoid overheating and excessive lipid depletion.</w:t>
      </w:r>
    </w:p>
    <w:p w14:paraId="25D573AF" w14:textId="77777777" w:rsidR="00992339" w:rsidRDefault="00000000">
      <w:pPr>
        <w:pStyle w:val="BodyText"/>
      </w:pPr>
      <w:r>
        <w:t xml:space="preserve">The model-predicted increases in cluster size at intermediate wind and sun levels could reflect a thermoregulatory balance where wind moderates the heating effects of solar exposure. Masters, Malcolm, and Brower (1988) observed that monarchs dissipate heat </w:t>
      </w:r>
      <w:r>
        <w:lastRenderedPageBreak/>
        <w:t>while gliding through airflow across their bodies. Similarly, environmental wind could provide passive convective cooling, as described by Riddell and Porter (2025), who found that wind-driven convective cooling interacts strongly with solar radiation effects in terrestrial organisms. This cooling mechanism might allow butterflies to remain in sunny locations longer than they otherwise would, with wind offsetting some of the solar heat gain that would typically trigger departure. In contrast, shaded butterflies experience no solar heat gain, making wind-driven cooling unnecessary and potentially explaining the absence of wind effects in shade. However, the contrasting patterns between our immediate (30-minute) and sunset temporal scales suggest that multiple behavioral mechanisms may operate simultaneously, while other explanations could also produce these statistical patterns. Rather than attempting to definitively resolve these mechanisms with limited data from specific conditions, our findings point toward the importance of light exposure as a driver of butterfly behavior, warranting focused investigation of how canopy structure and resulting light regimes influence cluster dynamics.</w:t>
      </w:r>
    </w:p>
    <w:p w14:paraId="08C3BE18" w14:textId="77777777" w:rsidR="00992339" w:rsidRDefault="00000000">
      <w:pPr>
        <w:pStyle w:val="BodyText"/>
      </w:pPr>
      <w:r>
        <w:t>Additional observations align with thermal management. Time since sunrise revealed strong diurnal patterns (30-minute F = 9.85, p &lt; 0.001), with butterflies departing clusters in late morning and early afternoon, then reforming aggregations later in the day. This pattern persisted after controlling for temperature and sunlight, potentially reflecting endogenous circadian rhythms, though it also aligns with predictable daily thermal cycles. The midday dispersal may reflect routine activities such as patrolling flights or nectaring. Monarchs have been observed gliding during these dispersal periods, which could facilitate thermoregulatory cooling while accomplishing other essential behaviors. Our study could not follow individual butterflies once they departed cluster locations, so these activities remain speculative. Similar temporal patterns have been consistently documented at California overwintering sites (Tuskes and Brower 1978; Chaplin and Wells 1982), and the Xerces Society’s standardized monitoring protocols explicitly restrict counting to specific time windows to account for these diurnal movements (Xerces Society 2017).</w:t>
      </w:r>
    </w:p>
    <w:p w14:paraId="58605710" w14:textId="77777777" w:rsidR="00992339" w:rsidRDefault="00000000">
      <w:pPr>
        <w:pStyle w:val="BodyText"/>
      </w:pPr>
      <w:r>
        <w:t>Our models explained 6.4% of variance in 30-minute cluster changes and 39.7% of variance in sunset roost fidelity. The environmental factors that did explain variance were predominantly thermal in nature: the wind-light interaction, direct sunlight exposure, and diurnal patterns of dispersal and aggregation. While substantial variation remains unexplained, the environmental signals we detected suggest thermal factors may play a more important role than wind avoidance in organizing clustering behavior. Without direct body temperature measurements under varying environmental conditions, thermoregulation remains one plausible interpretation among potentially others, and further research is needed to confirm the underlying mechanisms.</w:t>
      </w:r>
    </w:p>
    <w:p w14:paraId="02F8F16F" w14:textId="77777777" w:rsidR="00992339" w:rsidRDefault="00000000">
      <w:pPr>
        <w:pStyle w:val="Heading3"/>
      </w:pPr>
      <w:bookmarkStart w:id="55" w:name="limitations-and-context"/>
      <w:bookmarkEnd w:id="54"/>
      <w:r>
        <w:t>Limitations and Context</w:t>
      </w:r>
    </w:p>
    <w:p w14:paraId="2352E307" w14:textId="77777777" w:rsidR="00992339" w:rsidRDefault="00000000">
      <w:pPr>
        <w:pStyle w:val="FirstParagraph"/>
      </w:pPr>
      <w:r>
        <w:t xml:space="preserve">Several factors shape the interpretation of our findings. First, our data come from a single overwintering season (2023–2024) when monarch populations were relatively typical (Xerces Society 2025a). The following season saw near-complete absence of monarchs at </w:t>
      </w:r>
      <w:r>
        <w:lastRenderedPageBreak/>
        <w:t>our study sites, coinciding with the second-lowest overwintering population on record (Xerces Society 2025b). This dramatic population crash prevented temporal replication but underscores the urgency of understanding overwintering ecology with the data we have.</w:t>
      </w:r>
    </w:p>
    <w:p w14:paraId="3DDC43C2" w14:textId="77777777" w:rsidR="00992339" w:rsidRDefault="00000000">
      <w:pPr>
        <w:pStyle w:val="BodyText"/>
      </w:pPr>
      <w:r>
        <w:t>Second, our study observed relatively small clusters where butterflies maintained direct contact with eucalyptus substrates. The wind disruption hypothesis was developed during an era of massive aggregations containing hundreds of thousands of individuals, where many butterflies attached only to other butterflies in multi-layered formations (Kingston L. H. Leong 1990; L. P. Brower et al. 2008). If substrate attachment provides greater wind resistance than butterfly-to-butterfly attachment, wind might affect these different clustering configurations differently. The hypothesis may have been accurate for the extreme densities of past decades but less relevant to today’s smaller populations.</w:t>
      </w:r>
    </w:p>
    <w:p w14:paraId="46204D81" w14:textId="77777777" w:rsidR="00992339" w:rsidRDefault="00000000">
      <w:pPr>
        <w:pStyle w:val="BodyText"/>
      </w:pPr>
      <w:r>
        <w:t>Finally, our models explained relatively little variance overall (30-minute 6.4%; sunset 39.7%), reflecting both the complexity of butterfly behavior and our focus on testing specific hypotheses rather than comprehensively explaining movement patterns. However, the strong signals we did detect and our adequate statistical power give confidence in our main conclusion that wind alone does not disrupt monarch clusters as previously believed.</w:t>
      </w:r>
    </w:p>
    <w:p w14:paraId="604A3A82" w14:textId="77777777" w:rsidR="00992339" w:rsidRDefault="00000000">
      <w:pPr>
        <w:pStyle w:val="Heading3"/>
      </w:pPr>
      <w:bookmarkStart w:id="56" w:name="implications-for-conservation"/>
      <w:bookmarkEnd w:id="55"/>
      <w:r>
        <w:t>Implications for Conservation</w:t>
      </w:r>
    </w:p>
    <w:p w14:paraId="1AB3759B" w14:textId="77777777" w:rsidR="00992339" w:rsidRDefault="00000000">
      <w:pPr>
        <w:pStyle w:val="FirstParagraph"/>
      </w:pPr>
      <w:r>
        <w:t>Our findings suggest that wind protection, long considered a limiting environmental factor in overwintering monarch conservation, may constrain habitat suitability far less than previously believed. This realization carries important implications for how we understand, manage, and restore overwintering sites.</w:t>
      </w:r>
    </w:p>
    <w:p w14:paraId="71B36FC1" w14:textId="77777777" w:rsidR="00992339" w:rsidRDefault="00000000">
      <w:pPr>
        <w:pStyle w:val="Heading4"/>
      </w:pPr>
      <w:bookmarkStart w:id="57" w:name="X779991813e6d29fd4b23ab6962c819f64e77611"/>
      <w:r>
        <w:t>Expanded Habitat Availability and Population Limitations</w:t>
      </w:r>
    </w:p>
    <w:p w14:paraId="0BD34503" w14:textId="77777777" w:rsidR="00992339" w:rsidRDefault="00000000">
      <w:pPr>
        <w:pStyle w:val="FirstParagraph"/>
      </w:pPr>
      <w:r>
        <w:t>The absence of wind disruption despite frequent threshold exceedances indicates that suitable habitat within existing groves may be more extensive than currently recognized. Areas previously dismissed due to wind exposure might support clusters if they provide appropriate thermal and light conditions. With western monarch populations at historically low levels, this raises an important question: are we observing limited suitable habitat, or limited butterflies to occupy potentially suitable space? At historical abundances, monarchs may have utilized far more locations within groves than currently expressed. The small clusters we documented may represent only a fraction of available habitat, with suitable but unoccupied areas going unrecognized simply because too few butterflies exist to reveal these possibilities.</w:t>
      </w:r>
    </w:p>
    <w:p w14:paraId="430B4E58" w14:textId="77777777" w:rsidR="00992339" w:rsidRDefault="00000000">
      <w:pPr>
        <w:pStyle w:val="Heading4"/>
      </w:pPr>
      <w:bookmarkStart w:id="58" w:name="simplified-management-requirements"/>
      <w:bookmarkEnd w:id="57"/>
      <w:r>
        <w:t>Simplified Management Requirements</w:t>
      </w:r>
    </w:p>
    <w:p w14:paraId="23C96009" w14:textId="77777777" w:rsidR="00992339" w:rsidRDefault="00000000">
      <w:pPr>
        <w:pStyle w:val="FirstParagraph"/>
      </w:pPr>
      <w:r>
        <w:t xml:space="preserve">Previous management frameworks required protecting extensive buffer zones around clustering sites. For example, Althouse &amp; Meade, Inc. and Creekside Science (2023) recommended maintaining trees up to six tree heights from clustering locations to ensure adequate wind protection. For mature eucalyptus reaching 40 meters, this translates to protecting all trees within approximately 240 meters, creating substantial complexity in </w:t>
      </w:r>
      <w:r>
        <w:lastRenderedPageBreak/>
        <w:t>coastal California where overwintering sites often involve diverse stakeholders and contentious land use decisions.</w:t>
      </w:r>
    </w:p>
    <w:p w14:paraId="7F75F97B" w14:textId="77777777" w:rsidR="00992339" w:rsidRDefault="00000000">
      <w:pPr>
        <w:pStyle w:val="BodyText"/>
      </w:pPr>
      <w:r>
        <w:t>If wind protection plays a less critical role than assumed, these extensive buffer requirements may no longer be necessary. Trees distant from core groves, previously considered essential for wind breaks, may contribute far less than previously thought. This simplification focuses conservation efforts more precisely on immediate grove structure rather than attempting to control wind patterns across vast surrounding areas.</w:t>
      </w:r>
    </w:p>
    <w:p w14:paraId="6BF0D712" w14:textId="77777777" w:rsidR="00992339" w:rsidRDefault="00000000">
      <w:pPr>
        <w:pStyle w:val="BodyText"/>
      </w:pPr>
      <w:r>
        <w:t>However, a precautionary approach remains warranted. Where buffer trees exist as healthy, mature specimens, maintaining them represents prudent hedging against incomplete understanding. This temporal asymmetry, where removing trees or modifying canopy structure is always possible while accelerating large tree growth is not, argues for maintaining existing trees wherever possible. Previous recommendations to plant trees, maintain them for longevity, and develop succession plans remain entirely valid, even if the mechanistic understanding of why these practices work requires updating.</w:t>
      </w:r>
    </w:p>
    <w:p w14:paraId="1177C341" w14:textId="77777777" w:rsidR="00992339" w:rsidRDefault="00000000">
      <w:pPr>
        <w:pStyle w:val="Heading4"/>
      </w:pPr>
      <w:bookmarkStart w:id="59" w:name="X01928d3ee782e4efd9074380e21e7e191f9fcdf"/>
      <w:bookmarkEnd w:id="58"/>
      <w:r>
        <w:t>Proactive Habitat Creation Through Canopy Management</w:t>
      </w:r>
    </w:p>
    <w:p w14:paraId="3A8A55E0" w14:textId="77777777" w:rsidR="00992339" w:rsidRDefault="00000000">
      <w:pPr>
        <w:pStyle w:val="FirstParagraph"/>
      </w:pPr>
      <w:r>
        <w:t>If monarchs respond primarily to light and thermal patterns rather than strict wind thresholds, strategic canopy modification may create new overwintering habitat. The wind protection framework offered little beyond planting trees and waiting decades for maturation. Light-based management might enable shorter-timeframe interventions.</w:t>
      </w:r>
    </w:p>
    <w:p w14:paraId="680D543B" w14:textId="77777777" w:rsidR="00992339" w:rsidRDefault="00000000">
      <w:pPr>
        <w:pStyle w:val="BodyText"/>
      </w:pPr>
      <w:r>
        <w:t>Real-world examples support this possibility. At Monarch Lane in Los Osos, strategic canopy opening resulted in monarchs appearing and persisting (K. L. H. Leong 1999; Xerces Society 2025a). At Andrew Molera State Park in Big Sur, clearing an overgrown grove increased butterfly counts from zero to over one thousand (E. Pelton, personal communication). Conversely, tree planting at Pacific Grove required approximately 15 years of canopy maturation before monarchs returned (S. Weiss, personal communication). These patterns suggest that appropriate canopy structure, including carefully designed openings creating dappled light, can attract butterflies far more quickly than waiting for tree growth alone.</w:t>
      </w:r>
    </w:p>
    <w:p w14:paraId="62653DD0" w14:textId="77777777" w:rsidR="00992339" w:rsidRDefault="00000000">
      <w:pPr>
        <w:pStyle w:val="BodyText"/>
      </w:pPr>
      <w:r>
        <w:t>Unidentified eucalyptus stands or overly dense groves might thus be converted to functional habitat through selective thinning. However, additional research is needed before implementing large-scale canopy modifications, particularly at established overwintering sites. Rather than passive waiting, managers might proactively create suitable conditions by strategically opening existing canopies at appropriate locations, representing a significant departure from previous approaches focused almost entirely on wind protection and tree growth.</w:t>
      </w:r>
    </w:p>
    <w:p w14:paraId="6101415B" w14:textId="77777777" w:rsidR="00992339" w:rsidRDefault="00000000">
      <w:pPr>
        <w:pStyle w:val="Heading4"/>
      </w:pPr>
      <w:bookmarkStart w:id="60" w:name="X6f5880cae6620efb75cfe0ff90375409810e607"/>
      <w:bookmarkEnd w:id="59"/>
      <w:r>
        <w:t>Long-term Optimism Despite Current Uncertainty</w:t>
      </w:r>
    </w:p>
    <w:p w14:paraId="08353660" w14:textId="77777777" w:rsidR="00992339" w:rsidRDefault="00000000">
      <w:pPr>
        <w:pStyle w:val="FirstParagraph"/>
      </w:pPr>
      <w:r>
        <w:t xml:space="preserve">While this study reduces certainty regarding some aspects of overwintering ecology, the long-term trajectory points toward management practices that may be simpler to implement, are grounded in empirical evidence, and potentially are outright effective </w:t>
      </w:r>
      <w:r>
        <w:lastRenderedPageBreak/>
        <w:t>instead of simply more effective. The strict 2 m/s threshold created an overly constraining understanding of habitat requirements, suggesting suitable sites were overly limited. Our results indicate monarchs may be more resilient to environmental variation than previously believed, potentially revealing more opportunities for habitat creation and maintenance.</w:t>
      </w:r>
    </w:p>
    <w:p w14:paraId="7C73AD14" w14:textId="77777777" w:rsidR="00992339" w:rsidRDefault="00000000">
      <w:pPr>
        <w:pStyle w:val="BodyText"/>
      </w:pPr>
      <w:r>
        <w:t>The fundamental conservation tools remain unchanged: maintaining existing groves, planting and managing trees for longevity, and developing succession plans for aging forests. But we may now recognize more locations where habitat might be suitable and fewer absolute constraints on where sites can be maintained or created. As Saniee and Villablanca (2022) suggest, managing canopy structure to create appropriate light patterns and temperature gradients may prove more important than achieving specific wind speed thresholds. This perspective aligns with our finding that interactions between environmental factors, rather than single variables in isolation, shape clustering behavior.</w:t>
      </w:r>
    </w:p>
    <w:p w14:paraId="7CC3DEE9" w14:textId="77777777" w:rsidR="00992339" w:rsidRDefault="00000000">
      <w:pPr>
        <w:pStyle w:val="BodyText"/>
      </w:pPr>
      <w:r>
        <w:t>Conservation efforts should continue protecting forest structure at overwintering sites while research clarifies the specific environmental factors, particularly light patterns and thermal regimes, that monarchs select for when choosing roost locations.</w:t>
      </w:r>
    </w:p>
    <w:p w14:paraId="014B7A39" w14:textId="77777777" w:rsidR="00992339" w:rsidRDefault="00000000">
      <w:pPr>
        <w:pStyle w:val="Heading3"/>
      </w:pPr>
      <w:bookmarkStart w:id="61" w:name="future-research-directions"/>
      <w:bookmarkEnd w:id="56"/>
      <w:bookmarkEnd w:id="60"/>
      <w:r>
        <w:t>Future Research Directions</w:t>
      </w:r>
    </w:p>
    <w:p w14:paraId="479C8DA3" w14:textId="77777777" w:rsidR="00992339" w:rsidRDefault="00000000">
      <w:pPr>
        <w:pStyle w:val="FirstParagraph"/>
      </w:pPr>
      <w:r>
        <w:t>Our findings open several important avenues for future research. While the wind-light interaction we observed suggests complex relationships between environmental factors and clustering behavior, the strong effect of light exposure itself points toward canopy structure as a potentially primary driver of habitat selection. This conclusion finds support in Saniee and Villablanca (2022), who found that while temperature and humidity failed to support the microclimate hypothesis at aggregation locations, solar radiation was one of the few environmental factors that distinguished occupied sites from other grove locations. Similarly, Stuart B. Weiss et al. (1991) found that successful overwintering sites maintain consistent canopy openness around 20%, while unsuccessful sites show greater variability. Combined with our findings, this suggests that predictable light patterns created by canopy structure may provide a stable, reliable environmental cue that monarchs can consistently locate and respond to year after year. Unlike weather conditions that fluctuate unpredictably, the spatial pattern of light created by canopy architecture remains relatively constant across seasons, offering a dependable signal for site selection. Monarchs possess sophisticated visual systems that enable sun compass navigation during migration (Nguyen et al. 2021; Mouritsen and Frost 2002), capabilities that would allow them to detect and respond to consistent light patterns within groves. Future research should prioritize characterizing canopy structure and the resulting light regimes at both occupied and unoccupied sites to determine whether specific light patterns predict roost site selection and fidelity.</w:t>
      </w:r>
    </w:p>
    <w:p w14:paraId="5BF27125" w14:textId="77777777" w:rsidR="00992339" w:rsidRDefault="00000000">
      <w:pPr>
        <w:pStyle w:val="BodyText"/>
      </w:pPr>
      <w:r>
        <w:t xml:space="preserve">Beyond environmental factors, social dynamics may explain additional variation in our models. The strong effect of previous butterfly count on subsequent changes suggests that monarchs do not distribute randomly within groves but rather exhibit overdispersed </w:t>
      </w:r>
      <w:r>
        <w:lastRenderedPageBreak/>
        <w:t>clustering patterns where the presence of butterflies attracts others. This positive feedback mechanism, where initial settlement increases the probability of others joining, could create self-reinforcing aggregation patterns independent of immediate environmental conditions (Berdahl et al. 2013).</w:t>
      </w:r>
    </w:p>
    <w:p w14:paraId="7EEB6FF4" w14:textId="77777777" w:rsidR="00992339" w:rsidRDefault="00000000">
      <w:pPr>
        <w:pStyle w:val="BodyText"/>
      </w:pPr>
      <w:r>
        <w:t>Finally, testing these patterns across the broader overwintering range would establish their generality. Sites with different tree species, latitudes, and especially population densities could reveal whether wind responses vary with clustering configuration or if our findings represent fundamental aspects of monarch overwintering behavior.</w:t>
      </w:r>
    </w:p>
    <w:p w14:paraId="2932E9D7" w14:textId="77777777" w:rsidR="00992339" w:rsidRDefault="00000000">
      <w:pPr>
        <w:pStyle w:val="Heading3"/>
      </w:pPr>
      <w:bookmarkStart w:id="62" w:name="conclusions"/>
      <w:bookmarkEnd w:id="61"/>
      <w:r>
        <w:t>Conclusions</w:t>
      </w:r>
    </w:p>
    <w:p w14:paraId="21419CDF" w14:textId="77777777" w:rsidR="00992339" w:rsidRDefault="00000000">
      <w:pPr>
        <w:pStyle w:val="FirstParagraph"/>
      </w:pPr>
      <w:r>
        <w:t>Our direct test of the wind disruption hypothesis found no evidence that wind speeds above 2 m/s force monarchs to abandon their clusters. Every observation in our sunset analysis exceeded this threshold, yet clusters persisted. Linear regression analyses showed no relationship between wind and cluster changes. Model selection consistently identified other factors as more important. These multiple lines of evidence converge on a clear conclusion. Wind alone does not disrupt overwintering monarch butterflies as has been assumed for over three decades.</w:t>
      </w:r>
    </w:p>
    <w:p w14:paraId="6D2BE097" w14:textId="77777777" w:rsidR="00992339" w:rsidRDefault="00000000">
      <w:pPr>
        <w:pStyle w:val="BodyText"/>
      </w:pPr>
      <w:r>
        <w:t>Instead, our results suggest that thermal factors may play a more important role in clustering dynamics than previously recognized. Monarchs responded strongly to direct sunlight and diurnal patterns, both factors that could influence body temperature. The unexpected wind-light interaction, where moderate wind combined with sun exposure sometimes increased cluster sizes, suggests that environmental conditions interact in complex ways that simple threshold-based management approaches cannot capture.</w:t>
      </w:r>
    </w:p>
    <w:p w14:paraId="4753E8EE" w14:textId="77777777" w:rsidR="00992339" w:rsidRDefault="00000000">
      <w:pPr>
        <w:pStyle w:val="BodyText"/>
      </w:pPr>
      <w:r>
        <w:t>These findings arrive at a critical moment for monarch conservation. With western populations at historic lows, every assumption about habitat requirements deserves scrutiny. While questions remain about the precise mechanisms, our findings demonstrate that current management guidelines based on wind speed thresholds are not supported by empirical evidence. Moving forward, conservation efforts should prioritize maintaining existing overwintering groves while additional research clarifies what environmental factors monarchs select for when choosing roost sites. As we face the challenge of preserving overwintering habitat for a declining population, evidence-based understanding of monarch ecology becomes not just scientifically important, but essential for preserving the remarkable phenomenon of monarch migration in western North America.</w:t>
      </w:r>
    </w:p>
    <w:p w14:paraId="791BD7D6" w14:textId="77777777" w:rsidR="00992339" w:rsidRDefault="00000000">
      <w:pPr>
        <w:pStyle w:val="Bibliography"/>
      </w:pPr>
      <w:bookmarkStart w:id="63" w:name="Xffa57fe2d4179832de4aae7f55825d81419881f"/>
      <w:bookmarkStart w:id="64" w:name="refs"/>
      <w:r>
        <w:t xml:space="preserve">Alonso-Mejia, Alfonso, and Alfredo Arellano-Guillermo. 1992. “Influence of Temperature, Surface Body Moisture and Height Aboveground on Survival of Monarch Butterflies Overwintering in Mexico.” </w:t>
      </w:r>
      <w:r>
        <w:rPr>
          <w:i/>
          <w:iCs/>
        </w:rPr>
        <w:t>Biotropica</w:t>
      </w:r>
      <w:r>
        <w:t xml:space="preserve"> 24 (3): 415–19. </w:t>
      </w:r>
      <w:hyperlink r:id="rId18">
        <w:r>
          <w:rPr>
            <w:rStyle w:val="Hyperlink"/>
          </w:rPr>
          <w:t>https://doi.org/10.2307/2388612</w:t>
        </w:r>
      </w:hyperlink>
      <w:r>
        <w:t>.</w:t>
      </w:r>
    </w:p>
    <w:p w14:paraId="3C3423BB" w14:textId="77777777" w:rsidR="00992339" w:rsidRDefault="00000000">
      <w:pPr>
        <w:pStyle w:val="Bibliography"/>
      </w:pPr>
      <w:bookmarkStart w:id="65" w:name="X63568f551c17312e6e30ca2d78871f819f2e018"/>
      <w:bookmarkEnd w:id="63"/>
      <w:r>
        <w:t>Althouse &amp; Meade, Inc., and Creekside Science. 2023. “Ellwood Mesa/Sperling Preserve Open Space Monarch Butterfly Overwintering Habitat Analysis and Recommendations For Restoration.” Goleta, CA: City of Goleta - Public Works Department.</w:t>
      </w:r>
    </w:p>
    <w:p w14:paraId="374B817E" w14:textId="77777777" w:rsidR="00992339" w:rsidRDefault="00000000">
      <w:pPr>
        <w:pStyle w:val="Bibliography"/>
      </w:pPr>
      <w:bookmarkStart w:id="66" w:name="Xf48f463a7940173e81863489e6f683e9c9260eb"/>
      <w:bookmarkEnd w:id="65"/>
      <w:r>
        <w:lastRenderedPageBreak/>
        <w:t xml:space="preserve">Barker, John F., and William S. Herman. 1976. “Effect of Photoperiod and Temperature on Reproduction of the Monarch Butterfly, </w:t>
      </w:r>
      <w:r>
        <w:rPr>
          <w:i/>
          <w:iCs/>
        </w:rPr>
        <w:t>Danaus Plexippus</w:t>
      </w:r>
      <w:r>
        <w:t xml:space="preserve">.” </w:t>
      </w:r>
      <w:r>
        <w:rPr>
          <w:i/>
          <w:iCs/>
        </w:rPr>
        <w:t>Journal of Insect Physiology</w:t>
      </w:r>
      <w:r>
        <w:t xml:space="preserve"> 22 (12): 1565–68. </w:t>
      </w:r>
      <w:hyperlink r:id="rId19">
        <w:r>
          <w:rPr>
            <w:rStyle w:val="Hyperlink"/>
          </w:rPr>
          <w:t>https://doi.org/10.1016/0022-1910(76)90046-9</w:t>
        </w:r>
      </w:hyperlink>
      <w:r>
        <w:t>.</w:t>
      </w:r>
    </w:p>
    <w:p w14:paraId="66B3A054" w14:textId="77777777" w:rsidR="00992339" w:rsidRDefault="00000000">
      <w:pPr>
        <w:pStyle w:val="Bibliography"/>
      </w:pPr>
      <w:bookmarkStart w:id="67" w:name="ref-baudierExtremeInsolationClimatic2018"/>
      <w:bookmarkEnd w:id="66"/>
      <w:r>
        <w:t xml:space="preserve">Baudier, Kaitlin M., Catherine L. D’Amelio, Rumaan Malhotra, Michael P. O’Connor, and Sean O’Donnell. 2018. “Extreme Insolation: Climatic Variation Shapes the Evolution of Thermal Tolerance at Multiple Scales.” </w:t>
      </w:r>
      <w:r>
        <w:rPr>
          <w:i/>
          <w:iCs/>
        </w:rPr>
        <w:t>The American Naturalist</w:t>
      </w:r>
      <w:r>
        <w:t xml:space="preserve"> 192 (3): 347–59. </w:t>
      </w:r>
      <w:hyperlink r:id="rId20">
        <w:r>
          <w:rPr>
            <w:rStyle w:val="Hyperlink"/>
          </w:rPr>
          <w:t>https://doi.org/10.1086/698656</w:t>
        </w:r>
      </w:hyperlink>
      <w:r>
        <w:t>.</w:t>
      </w:r>
    </w:p>
    <w:p w14:paraId="141AA364" w14:textId="77777777" w:rsidR="00992339" w:rsidRDefault="00000000">
      <w:pPr>
        <w:pStyle w:val="Bibliography"/>
      </w:pPr>
      <w:bookmarkStart w:id="68" w:name="ref-bellSearchAnemotacticOrientation1979"/>
      <w:bookmarkEnd w:id="67"/>
      <w:r>
        <w:t xml:space="preserve">Bell, William J., and Ernst Kramer. 1979. “Search and Anemotactic Orientation of Cockroaches.” </w:t>
      </w:r>
      <w:r>
        <w:rPr>
          <w:i/>
          <w:iCs/>
        </w:rPr>
        <w:t>Journal of Insect Physiology</w:t>
      </w:r>
      <w:r>
        <w:t xml:space="preserve"> 25 (8): 631–40. </w:t>
      </w:r>
      <w:hyperlink r:id="rId21">
        <w:r>
          <w:rPr>
            <w:rStyle w:val="Hyperlink"/>
          </w:rPr>
          <w:t>https://doi.org/10.1016/0022-1910(79)90112-4</w:t>
        </w:r>
      </w:hyperlink>
      <w:r>
        <w:t>.</w:t>
      </w:r>
    </w:p>
    <w:p w14:paraId="5CFAE3E1" w14:textId="77777777" w:rsidR="00992339" w:rsidRDefault="00000000">
      <w:pPr>
        <w:pStyle w:val="Bibliography"/>
      </w:pPr>
      <w:bookmarkStart w:id="69" w:name="ref-berdahlEmergentSensingComplex2013"/>
      <w:bookmarkEnd w:id="68"/>
      <w:r>
        <w:t xml:space="preserve">Berdahl, Andrew, Colin J. Torney, Christos C. Ioannou, Jolyon J. Faria, and Iain D. Couzin. 2013. “Emergent Sensing of Complex Environments by Mobile Animal Groups.” </w:t>
      </w:r>
      <w:r>
        <w:rPr>
          <w:i/>
          <w:iCs/>
        </w:rPr>
        <w:t>Science</w:t>
      </w:r>
      <w:r>
        <w:t xml:space="preserve"> 339 (6119): 574–76. </w:t>
      </w:r>
      <w:hyperlink r:id="rId22">
        <w:r>
          <w:rPr>
            <w:rStyle w:val="Hyperlink"/>
          </w:rPr>
          <w:t>https://doi.org/10.1126/science.1225883</w:t>
        </w:r>
      </w:hyperlink>
      <w:r>
        <w:t>.</w:t>
      </w:r>
    </w:p>
    <w:p w14:paraId="2005238E" w14:textId="77777777" w:rsidR="00992339" w:rsidRDefault="00000000">
      <w:pPr>
        <w:pStyle w:val="Bibliography"/>
      </w:pPr>
      <w:bookmarkStart w:id="70" w:name="ref-bidlingmayerEffectWindVelocity1995"/>
      <w:bookmarkEnd w:id="69"/>
      <w:r>
        <w:t xml:space="preserve">Bidlingmayer, W. L., J. F. Day, and D. G. Evans. 1995. “Effect of Wind Velocity on Suction Trap Catches of Some Florida Mosquitoes.” </w:t>
      </w:r>
      <w:r>
        <w:rPr>
          <w:i/>
          <w:iCs/>
        </w:rPr>
        <w:t>Journal of the American Mosquito Control Association</w:t>
      </w:r>
      <w:r>
        <w:t xml:space="preserve"> 11 (3): 295–301. </w:t>
      </w:r>
      <w:hyperlink r:id="rId23">
        <w:r>
          <w:rPr>
            <w:rStyle w:val="Hyperlink"/>
          </w:rPr>
          <w:t>https://www.ncbi.nlm.nih.gov/pubmed/8551296</w:t>
        </w:r>
      </w:hyperlink>
      <w:r>
        <w:t>.</w:t>
      </w:r>
    </w:p>
    <w:p w14:paraId="0031B8E2" w14:textId="77777777" w:rsidR="00992339" w:rsidRDefault="00000000">
      <w:pPr>
        <w:pStyle w:val="Bibliography"/>
      </w:pPr>
      <w:bookmarkStart w:id="71" w:name="Xb2c4490c437bc0a265b6972677987c9b614919b"/>
      <w:bookmarkEnd w:id="70"/>
      <w:r>
        <w:t xml:space="preserve">Blois-Heulin, Catherine, Philip H. Crowley, Margarett Arrington, and Dan M. Johnson. 1990. “Direct and Indirect Effects of Predators on the Dominant Invertebrates of Two Freshwater Littoral Communities.” </w:t>
      </w:r>
      <w:r>
        <w:rPr>
          <w:i/>
          <w:iCs/>
        </w:rPr>
        <w:t>Oecologia</w:t>
      </w:r>
      <w:r>
        <w:t xml:space="preserve"> 84 (3): 295–306. </w:t>
      </w:r>
      <w:hyperlink r:id="rId24">
        <w:r>
          <w:rPr>
            <w:rStyle w:val="Hyperlink"/>
          </w:rPr>
          <w:t>https://doi.org/10.1007/BF00329753</w:t>
        </w:r>
      </w:hyperlink>
      <w:r>
        <w:t>.</w:t>
      </w:r>
    </w:p>
    <w:p w14:paraId="0E8E75B8" w14:textId="77777777" w:rsidR="00992339" w:rsidRDefault="00000000">
      <w:pPr>
        <w:pStyle w:val="Bibliography"/>
      </w:pPr>
      <w:bookmarkStart w:id="72" w:name="Xfaceca4560909836181741b7257b18f38b02a99"/>
      <w:bookmarkEnd w:id="71"/>
      <w:r>
        <w:t xml:space="preserve">Bonte, D., and L. Lens. 2007. “Heritability of Spider Ballooning Motivation Under Different Wind Velocities.” </w:t>
      </w:r>
      <w:r>
        <w:rPr>
          <w:i/>
          <w:iCs/>
        </w:rPr>
        <w:t>Evolutionary Ecology Research</w:t>
      </w:r>
      <w:r>
        <w:t xml:space="preserve">. </w:t>
      </w:r>
      <w:hyperlink r:id="rId25">
        <w:r>
          <w:rPr>
            <w:rStyle w:val="Hyperlink"/>
          </w:rPr>
          <w:t>https://www.semanticscholar.org/paper/Heritability-of-spider-ballooning-motivation-under-Bonte-Lens/d6118c2cd143572bc4f098b5916186ec63c0f12a</w:t>
        </w:r>
      </w:hyperlink>
      <w:r>
        <w:t>.</w:t>
      </w:r>
    </w:p>
    <w:p w14:paraId="0A46CF7E" w14:textId="77777777" w:rsidR="00992339" w:rsidRDefault="00000000">
      <w:pPr>
        <w:pStyle w:val="Bibliography"/>
      </w:pPr>
      <w:bookmarkStart w:id="73" w:name="X1f3dbbfaa7b2ad76256cee892ba2f445cd68f9d"/>
      <w:bookmarkEnd w:id="72"/>
      <w:r>
        <w:t xml:space="preserve">Brower, L. 1995. “Understanding and Misunderstanding the Migration of the Monarch Butterfly (Nymphalidae) in North America: 1857-1995.” </w:t>
      </w:r>
      <w:r>
        <w:rPr>
          <w:i/>
          <w:iCs/>
        </w:rPr>
        <w:t>Journal of The Lepidopterists Society</w:t>
      </w:r>
      <w:r>
        <w:t xml:space="preserve">, March. </w:t>
      </w:r>
      <w:hyperlink r:id="rId26">
        <w:r>
          <w:rPr>
            <w:rStyle w:val="Hyperlink"/>
          </w:rPr>
          <w:t>https://www.semanticscholar.org/paper/Understanding-and-misunderstanding-the-migration-of-Brower/79380ddbf559e310fef9bb8919c03c63ccddecb7</w:t>
        </w:r>
      </w:hyperlink>
      <w:r>
        <w:t>.</w:t>
      </w:r>
    </w:p>
    <w:p w14:paraId="5992C6BB" w14:textId="77777777" w:rsidR="00992339" w:rsidRDefault="00000000">
      <w:pPr>
        <w:pStyle w:val="Bibliography"/>
      </w:pPr>
      <w:bookmarkStart w:id="74" w:name="ref-browerMonarchButterflyClusters2008"/>
      <w:bookmarkEnd w:id="73"/>
      <w:r>
        <w:t xml:space="preserve">Brower, Lincoln P., Ernest Williams, Linda Fink, Raúl Zubieta, and M. Ramírez. 2008. “Monarch Butterfly Clusters Provide Microclimatic Advantages During the Overwintering Season in Mexico.” </w:t>
      </w:r>
      <w:r>
        <w:rPr>
          <w:i/>
          <w:iCs/>
        </w:rPr>
        <w:t>Journal of the Lepidopterists’ Society</w:t>
      </w:r>
      <w:r>
        <w:t xml:space="preserve"> 62 (December): 177–88.</w:t>
      </w:r>
    </w:p>
    <w:p w14:paraId="6EDEDB8A" w14:textId="77777777" w:rsidR="00992339" w:rsidRDefault="00000000">
      <w:pPr>
        <w:pStyle w:val="Bibliography"/>
      </w:pPr>
      <w:bookmarkStart w:id="75" w:name="ref-calvertEffectRainSnow1983"/>
      <w:bookmarkEnd w:id="74"/>
      <w:r>
        <w:t xml:space="preserve">Calvert, William H., Willow Zuchowski, and Lincoln P. Brower. 1983. “The Effect of Rain, Snow and Freezing Temperatures on Overwintering Monarch Butterflies in Mexico.” </w:t>
      </w:r>
      <w:r>
        <w:rPr>
          <w:i/>
          <w:iCs/>
        </w:rPr>
        <w:t>Biotropica</w:t>
      </w:r>
      <w:r>
        <w:t xml:space="preserve"> 15 (1): 42–47. </w:t>
      </w:r>
      <w:hyperlink r:id="rId27">
        <w:r>
          <w:rPr>
            <w:rStyle w:val="Hyperlink"/>
          </w:rPr>
          <w:t>https://doi.org/10.2307/2387997</w:t>
        </w:r>
      </w:hyperlink>
      <w:r>
        <w:t>.</w:t>
      </w:r>
    </w:p>
    <w:p w14:paraId="769926DB" w14:textId="77777777" w:rsidR="00992339" w:rsidRDefault="00000000">
      <w:pPr>
        <w:pStyle w:val="Bibliography"/>
      </w:pPr>
      <w:bookmarkStart w:id="76" w:name="ref-chaplinEnergyReservesMetabolic1982"/>
      <w:bookmarkEnd w:id="75"/>
      <w:r>
        <w:t xml:space="preserve">Chaplin, Susan B., and Patrick H. Wells. 1982. “Energy Reserves and Metabolic Expenditures of Monarch Butterflies Overwintering in Southern California.” </w:t>
      </w:r>
      <w:r>
        <w:rPr>
          <w:i/>
          <w:iCs/>
        </w:rPr>
        <w:t>Ecological Entomology</w:t>
      </w:r>
      <w:r>
        <w:t xml:space="preserve"> 7 (3): 249–56. </w:t>
      </w:r>
      <w:hyperlink r:id="rId28">
        <w:r>
          <w:rPr>
            <w:rStyle w:val="Hyperlink"/>
          </w:rPr>
          <w:t>https://doi.org/10.1111/j.1365-2311.1982.tb00664.x</w:t>
        </w:r>
      </w:hyperlink>
      <w:r>
        <w:t>.</w:t>
      </w:r>
    </w:p>
    <w:p w14:paraId="6C7484C9" w14:textId="77777777" w:rsidR="00992339" w:rsidRDefault="00000000">
      <w:pPr>
        <w:pStyle w:val="Bibliography"/>
      </w:pPr>
      <w:bookmarkStart w:id="77" w:name="ref-chownWaterLossInsects2011"/>
      <w:bookmarkEnd w:id="76"/>
      <w:r>
        <w:lastRenderedPageBreak/>
        <w:t xml:space="preserve">Chown, Steven L., Jesper G. Sørensen, and John S. Terblanche. 2011. “Water Loss in Insects: An Environmental Change Perspective.” </w:t>
      </w:r>
      <w:r>
        <w:rPr>
          <w:i/>
          <w:iCs/>
        </w:rPr>
        <w:t>Journal of Insect Physiology</w:t>
      </w:r>
      <w:r>
        <w:t xml:space="preserve">, "Cold and Desiccation Tolerance" honoring Karl Erik Zachariassen, 57 (8): 1070–84. </w:t>
      </w:r>
      <w:hyperlink r:id="rId29">
        <w:r>
          <w:rPr>
            <w:rStyle w:val="Hyperlink"/>
          </w:rPr>
          <w:t>https://doi.org/10.1016/j.jinsphys.2011.05.004</w:t>
        </w:r>
      </w:hyperlink>
      <w:r>
        <w:t>.</w:t>
      </w:r>
    </w:p>
    <w:p w14:paraId="4D16FC25" w14:textId="77777777" w:rsidR="00992339" w:rsidRDefault="00000000">
      <w:pPr>
        <w:pStyle w:val="Bibliography"/>
      </w:pPr>
      <w:bookmarkStart w:id="78" w:name="Xcbe322ded35c2e013b9752956f63bc636b3d1ec"/>
      <w:bookmarkEnd w:id="77"/>
      <w:r>
        <w:t xml:space="preserve">Cockrell, Barbara J., Stephen B. Malcolm, and Lincoln P. Brower. 1993. “Time, Temperature, and Latitudinal Constraints on the Annual Recolonization of Eastern North America by the Monarch Butterfly.” </w:t>
      </w:r>
      <w:r>
        <w:rPr>
          <w:i/>
          <w:iCs/>
        </w:rPr>
        <w:t>Biology and Conservation of the Monarch Butterfly</w:t>
      </w:r>
      <w:r>
        <w:t xml:space="preserve"> 38: 233–51. </w:t>
      </w:r>
      <w:hyperlink r:id="rId30">
        <w:r>
          <w:rPr>
            <w:rStyle w:val="Hyperlink"/>
          </w:rPr>
          <w:t>https://hero.epa.gov/hero/index.cfm/reference/details/reference_id/52731</w:t>
        </w:r>
      </w:hyperlink>
      <w:r>
        <w:t>.</w:t>
      </w:r>
    </w:p>
    <w:p w14:paraId="05D3EB4A" w14:textId="77777777" w:rsidR="00992339" w:rsidRDefault="00000000">
      <w:pPr>
        <w:pStyle w:val="Bibliography"/>
      </w:pPr>
      <w:bookmarkStart w:id="79" w:name="ref-croneWhyAreMonarch2019"/>
      <w:bookmarkEnd w:id="78"/>
      <w:r>
        <w:t xml:space="preserve">Crone, Elizabeth E., Emma M. Pelton, Leone M. Brown, Cameron C. Thomas, and Cheryl B. Schultz. 2019. “Why Are Monarch Butterflies Declining in the West? Understanding the Importance of Multiple Correlated Drivers.” </w:t>
      </w:r>
      <w:r>
        <w:rPr>
          <w:i/>
          <w:iCs/>
        </w:rPr>
        <w:t>Ecological Applications</w:t>
      </w:r>
      <w:r>
        <w:t xml:space="preserve"> 29 (7). </w:t>
      </w:r>
      <w:hyperlink r:id="rId31">
        <w:r>
          <w:rPr>
            <w:rStyle w:val="Hyperlink"/>
          </w:rPr>
          <w:t>https://doi.org/10.1002/eap.1975</w:t>
        </w:r>
      </w:hyperlink>
      <w:r>
        <w:t>.</w:t>
      </w:r>
    </w:p>
    <w:p w14:paraId="2DF6332D" w14:textId="77777777" w:rsidR="00992339" w:rsidRDefault="00000000">
      <w:pPr>
        <w:pStyle w:val="Bibliography"/>
      </w:pPr>
      <w:bookmarkStart w:id="80" w:name="X8ecab82d278731efba79f9c8857a587af02eab6"/>
      <w:bookmarkEnd w:id="79"/>
      <w:r>
        <w:t xml:space="preserve">Everatt, Matthew J., Pete Convey, Jeffrey S. Bale, M. Roger Worland, and Scott A. L. Hayward. 2015. “Responses of Invertebrates to Temperature and Water Stress: A Polar Perspective.” </w:t>
      </w:r>
      <w:r>
        <w:rPr>
          <w:i/>
          <w:iCs/>
        </w:rPr>
        <w:t>Journal of Thermal Biology</w:t>
      </w:r>
      <w:r>
        <w:t xml:space="preserve">, What sets the limit? How thermal limits, performance and preference in ectotherms are influenced by water or energy balance, 54 (December): 118–32. </w:t>
      </w:r>
      <w:hyperlink r:id="rId32">
        <w:r>
          <w:rPr>
            <w:rStyle w:val="Hyperlink"/>
          </w:rPr>
          <w:t>https://doi.org/10.1016/j.jtherbio.2014.05.004</w:t>
        </w:r>
      </w:hyperlink>
      <w:r>
        <w:t>.</w:t>
      </w:r>
    </w:p>
    <w:p w14:paraId="59160F27" w14:textId="77777777" w:rsidR="00992339" w:rsidRDefault="00000000">
      <w:pPr>
        <w:pStyle w:val="Bibliography"/>
      </w:pPr>
      <w:bookmarkStart w:id="81" w:name="ref-fisherClimaticNicheModel2018"/>
      <w:bookmarkEnd w:id="80"/>
      <w:r>
        <w:t xml:space="preserve">Fisher, Ashley, Kiana Saniee, Charis Van der Heide, Jessica Griffiths, Daniel Meade, and Francis Villablanca. 2018. “Climatic Niche Model for Overwintering Monarch Butterflies in a Topographically Complex Region of California.” </w:t>
      </w:r>
      <w:r>
        <w:rPr>
          <w:i/>
          <w:iCs/>
        </w:rPr>
        <w:t>Insects</w:t>
      </w:r>
      <w:r>
        <w:t xml:space="preserve"> 9 (4): 167. </w:t>
      </w:r>
      <w:hyperlink r:id="rId33">
        <w:r>
          <w:rPr>
            <w:rStyle w:val="Hyperlink"/>
          </w:rPr>
          <w:t>https://doi.org/10.3390/insects9040167</w:t>
        </w:r>
      </w:hyperlink>
      <w:r>
        <w:t>.</w:t>
      </w:r>
    </w:p>
    <w:p w14:paraId="3E5021C9" w14:textId="77777777" w:rsidR="00992339" w:rsidRDefault="00000000">
      <w:pPr>
        <w:pStyle w:val="Bibliography"/>
      </w:pPr>
      <w:bookmarkStart w:id="82" w:name="ref-freedmanAreEasternWestern2021"/>
      <w:bookmarkEnd w:id="81"/>
      <w:r>
        <w:t xml:space="preserve">Freedman, Micah G., Jacobus C. de Roode, Matthew L. Forister, Marcus R. Kronforst, Amanda A. Pierce, Cheryl B. Schultz, Orley R. Taylor, and Elizabeth E. Crone. 2021. “Are Eastern and Western Monarch Butterflies Distinct Populations? A Review of Evidence for Ecological, Phenotypic, and Genetic Differentiation and Implications for Conservation.” </w:t>
      </w:r>
      <w:r>
        <w:rPr>
          <w:i/>
          <w:iCs/>
        </w:rPr>
        <w:t>Conservation Science and Practice</w:t>
      </w:r>
      <w:r>
        <w:t xml:space="preserve"> 3 (7): e432. </w:t>
      </w:r>
      <w:hyperlink r:id="rId34">
        <w:r>
          <w:rPr>
            <w:rStyle w:val="Hyperlink"/>
          </w:rPr>
          <w:t>https://doi.org/10.1111/csp2.432</w:t>
        </w:r>
      </w:hyperlink>
      <w:r>
        <w:t>.</w:t>
      </w:r>
    </w:p>
    <w:p w14:paraId="232CF4F6" w14:textId="77777777" w:rsidR="00992339" w:rsidRDefault="00000000">
      <w:pPr>
        <w:pStyle w:val="Bibliography"/>
      </w:pPr>
      <w:bookmarkStart w:id="83" w:name="X013b2c057f214905504f1c57b189fce57010325"/>
      <w:bookmarkEnd w:id="82"/>
      <w:r>
        <w:t xml:space="preserve">Goehring, Liz, and Karen S. Oberhauser. 2002. “Effects of Photoperiod, Temperature, and Host Plant Age on Induction of Reproductive Diapause and Development Time in Danaus Plexippus.” </w:t>
      </w:r>
      <w:r>
        <w:rPr>
          <w:i/>
          <w:iCs/>
        </w:rPr>
        <w:t>Ecological Entomology</w:t>
      </w:r>
      <w:r>
        <w:t xml:space="preserve"> 27 (6): 674–85. </w:t>
      </w:r>
      <w:hyperlink r:id="rId35">
        <w:r>
          <w:rPr>
            <w:rStyle w:val="Hyperlink"/>
          </w:rPr>
          <w:t>https://doi.org/10.1046/j.1365-2311.2002.00454.x</w:t>
        </w:r>
      </w:hyperlink>
      <w:r>
        <w:t>.</w:t>
      </w:r>
    </w:p>
    <w:p w14:paraId="0EBE4C26" w14:textId="77777777" w:rsidR="00992339" w:rsidRDefault="00000000">
      <w:pPr>
        <w:pStyle w:val="Bibliography"/>
      </w:pPr>
      <w:bookmarkStart w:id="84" w:name="ref-hanrahanEffectWindForaging1997"/>
      <w:bookmarkEnd w:id="83"/>
      <w:r>
        <w:t xml:space="preserve">Hanrahan, Shirley A., and Wolfgang H. and Kirchner. 1997. “The Effect of Wind on Foraging Activity of the Tenebrionid Beetle Lepidochora Discoidalis in the Sand Dunes of the Namib Desert.” </w:t>
      </w:r>
      <w:r>
        <w:rPr>
          <w:i/>
          <w:iCs/>
        </w:rPr>
        <w:t>South African Journal of Zoology</w:t>
      </w:r>
      <w:r>
        <w:t xml:space="preserve"> 32 (4): 136–39. </w:t>
      </w:r>
      <w:hyperlink r:id="rId36">
        <w:r>
          <w:rPr>
            <w:rStyle w:val="Hyperlink"/>
          </w:rPr>
          <w:t>https://doi.org/10.1080/02541858.1997.11448445</w:t>
        </w:r>
      </w:hyperlink>
      <w:r>
        <w:t>.</w:t>
      </w:r>
    </w:p>
    <w:p w14:paraId="357C0BEC" w14:textId="77777777" w:rsidR="00992339" w:rsidRDefault="00000000">
      <w:pPr>
        <w:pStyle w:val="Bibliography"/>
      </w:pPr>
      <w:bookmarkStart w:id="85" w:name="ref-hermanJuvenileHormoneRegulation2001"/>
      <w:bookmarkEnd w:id="84"/>
      <w:r>
        <w:t xml:space="preserve">Herman, W. S., and M. Tatar. 2001. “Juvenile Hormone Regulation of Longevity in the Migratory Monarch Butterfly.” </w:t>
      </w:r>
      <w:r>
        <w:rPr>
          <w:i/>
          <w:iCs/>
        </w:rPr>
        <w:t>Proceedings of the Royal Society B: Biological Sciences</w:t>
      </w:r>
      <w:r>
        <w:t xml:space="preserve"> 268 (1485): 2509–14. </w:t>
      </w:r>
      <w:hyperlink r:id="rId37">
        <w:r>
          <w:rPr>
            <w:rStyle w:val="Hyperlink"/>
          </w:rPr>
          <w:t>https://doi.org/10.1098/rspb.2001.1765</w:t>
        </w:r>
      </w:hyperlink>
      <w:r>
        <w:t>.</w:t>
      </w:r>
    </w:p>
    <w:p w14:paraId="72E22676" w14:textId="77777777" w:rsidR="00992339" w:rsidRDefault="00000000">
      <w:pPr>
        <w:pStyle w:val="Bibliography"/>
      </w:pPr>
      <w:bookmarkStart w:id="86" w:name="X3ce32df873ae1f48bad3701e176990c99a21576"/>
      <w:bookmarkEnd w:id="85"/>
      <w:r>
        <w:lastRenderedPageBreak/>
        <w:t xml:space="preserve">Hristov, Nickolay I., Dionysios Nikolaidis, Tatjana Y. Hubel, and Louise C. Allen. 2019. “Estimating Overwintering Monarch Butterfly Populations Using Terrestrial LiDAR Scanning.” </w:t>
      </w:r>
      <w:r>
        <w:rPr>
          <w:i/>
          <w:iCs/>
        </w:rPr>
        <w:t>Frontiers in Ecology and Evolution</w:t>
      </w:r>
      <w:r>
        <w:t xml:space="preserve"> 7. </w:t>
      </w:r>
      <w:hyperlink r:id="rId38">
        <w:r>
          <w:rPr>
            <w:rStyle w:val="Hyperlink"/>
          </w:rPr>
          <w:t>https://www.frontiersin.org/articles/10.3389/fevo.2019.00266</w:t>
        </w:r>
      </w:hyperlink>
      <w:r>
        <w:t>.</w:t>
      </w:r>
    </w:p>
    <w:p w14:paraId="68EA72E1" w14:textId="77777777" w:rsidR="00992339" w:rsidRDefault="00000000">
      <w:pPr>
        <w:pStyle w:val="Bibliography"/>
      </w:pPr>
      <w:bookmarkStart w:id="87" w:name="Xbbdc2d72e4eac6566a65a68aaa1c89bd3254cbb"/>
      <w:bookmarkEnd w:id="86"/>
      <w:r>
        <w:t xml:space="preserve">Jepsen, Sarina J., and Scott Hoffman Black. 2015. “Understanding and Conserving the Western North American Monarch Population.” In </w:t>
      </w:r>
      <w:r>
        <w:rPr>
          <w:i/>
          <w:iCs/>
        </w:rPr>
        <w:t>Monarchs in a Changing World: Biology and Conservation of an Iconic Butterfly</w:t>
      </w:r>
      <w:r>
        <w:t>, edited by Karen S. Oberhauser, Kelly R. Nail, and Sonia Altizer, 147–56. Cornell University Press.</w:t>
      </w:r>
    </w:p>
    <w:p w14:paraId="0545FEE1" w14:textId="77777777" w:rsidR="00992339" w:rsidRDefault="00000000">
      <w:pPr>
        <w:pStyle w:val="Bibliography"/>
      </w:pPr>
      <w:bookmarkStart w:id="88" w:name="X9b5035f75c92c8d8354333584e44314b69b36ad"/>
      <w:bookmarkEnd w:id="87"/>
      <w:r>
        <w:t xml:space="preserve">Jepsen, Sarina, Emma Pelton, Scott Hoffman Black, Candace Fallon, Carly Voight, and Stuart B. Weiss. 2017. “Protecting California’s Butterfly Groves: Management Guidelines for Monarch Butterfly Overwintering Habitat.” Portland, OR: The Xerces Society for Invertebrate Conservation. </w:t>
      </w:r>
      <w:hyperlink r:id="rId39">
        <w:r>
          <w:rPr>
            <w:rStyle w:val="Hyperlink"/>
          </w:rPr>
          <w:t>https://xerces.org/protecting-californias-butterfly-groves</w:t>
        </w:r>
      </w:hyperlink>
      <w:r>
        <w:t>.</w:t>
      </w:r>
    </w:p>
    <w:p w14:paraId="694FA8BF" w14:textId="77777777" w:rsidR="00992339" w:rsidRDefault="00000000">
      <w:pPr>
        <w:pStyle w:val="Bibliography"/>
      </w:pPr>
      <w:bookmarkStart w:id="89" w:name="ref-jepsenConservationStatusEcology2015"/>
      <w:bookmarkEnd w:id="88"/>
      <w:r>
        <w:t xml:space="preserve">Jepsen, Sarina, Dale F Schweitzer, Bruce Young, Nicole Sears, Margaret Ormes, and Scott Hoffman Black. 2015. “Conservation Status and Ecology of the Monarch Butterfly in the United States.” 15-016_01. Arlington, VA; Portland, OR. </w:t>
      </w:r>
      <w:hyperlink r:id="rId40">
        <w:r>
          <w:rPr>
            <w:rStyle w:val="Hyperlink"/>
          </w:rPr>
          <w:t>https://www.xerces.org</w:t>
        </w:r>
      </w:hyperlink>
      <w:r>
        <w:t>.</w:t>
      </w:r>
    </w:p>
    <w:p w14:paraId="30098B44" w14:textId="77777777" w:rsidR="00992339" w:rsidRDefault="00000000">
      <w:pPr>
        <w:pStyle w:val="Bibliography"/>
      </w:pPr>
      <w:bookmarkStart w:id="90" w:name="X72b251cc870f2078b0e3501110397c1b6027b2f"/>
      <w:bookmarkEnd w:id="89"/>
      <w:r>
        <w:t xml:space="preserve">Kammer, Ann E. 1970. “Thoracic Temperature, Shivering, and Flight in the Monarch Butterfly, Danaus Plexippus (L.).” </w:t>
      </w:r>
      <w:r>
        <w:rPr>
          <w:i/>
          <w:iCs/>
        </w:rPr>
        <w:t>Zeitschrift Für Vergleichende Physiologie</w:t>
      </w:r>
      <w:r>
        <w:t xml:space="preserve"> 68 (3): 334–44. </w:t>
      </w:r>
      <w:hyperlink r:id="rId41">
        <w:r>
          <w:rPr>
            <w:rStyle w:val="Hyperlink"/>
          </w:rPr>
          <w:t>https://doi.org/10.1007/BF00298260</w:t>
        </w:r>
      </w:hyperlink>
      <w:r>
        <w:t>.</w:t>
      </w:r>
    </w:p>
    <w:p w14:paraId="79308E69" w14:textId="77777777" w:rsidR="00992339" w:rsidRDefault="00000000">
      <w:pPr>
        <w:pStyle w:val="Bibliography"/>
      </w:pPr>
      <w:bookmarkStart w:id="91" w:name="ref-laffertyComparingMechanismsHost2013"/>
      <w:bookmarkEnd w:id="90"/>
      <w:r>
        <w:t xml:space="preserve">Lafferty, Kevin D., and Jenny C. Shaw. 2013. “Comparing Mechanisms of Host Manipulation Across Host and Parasite Taxa.” </w:t>
      </w:r>
      <w:r>
        <w:rPr>
          <w:i/>
          <w:iCs/>
        </w:rPr>
        <w:t>Journal of Experimental Biology</w:t>
      </w:r>
      <w:r>
        <w:t xml:space="preserve"> 216 (1): 56–66. </w:t>
      </w:r>
      <w:hyperlink r:id="rId42">
        <w:r>
          <w:rPr>
            <w:rStyle w:val="Hyperlink"/>
          </w:rPr>
          <w:t>https://doi.org/10.1242/jeb.073668</w:t>
        </w:r>
      </w:hyperlink>
      <w:r>
        <w:t>.</w:t>
      </w:r>
    </w:p>
    <w:p w14:paraId="56D442C3" w14:textId="77777777" w:rsidR="00992339" w:rsidRDefault="00000000">
      <w:pPr>
        <w:pStyle w:val="Bibliography"/>
      </w:pPr>
      <w:bookmarkStart w:id="92" w:name="ref-leonardExposureWindAlters2016"/>
      <w:bookmarkEnd w:id="91"/>
      <w:r>
        <w:t xml:space="preserve">Leonard, Ryan J, Clare McArthur, and Dieter F Hochuli. 2016. “Exposure to Wind Alters Insect Herbivore Behaviour in Larvae of Uraba Lugens (Lepidoptera: Nolidae).” </w:t>
      </w:r>
      <w:r>
        <w:rPr>
          <w:i/>
          <w:iCs/>
        </w:rPr>
        <w:t>Austral Entomology</w:t>
      </w:r>
      <w:r>
        <w:t xml:space="preserve"> 55 (3): 242–46. </w:t>
      </w:r>
      <w:hyperlink r:id="rId43">
        <w:r>
          <w:rPr>
            <w:rStyle w:val="Hyperlink"/>
          </w:rPr>
          <w:t>https://doi.org/10.1111/aen.12175</w:t>
        </w:r>
      </w:hyperlink>
      <w:r>
        <w:t>.</w:t>
      </w:r>
    </w:p>
    <w:p w14:paraId="28120CFB" w14:textId="77777777" w:rsidR="00992339" w:rsidRDefault="00000000">
      <w:pPr>
        <w:pStyle w:val="Bibliography"/>
      </w:pPr>
      <w:bookmarkStart w:id="93" w:name="Xf1ef243cb1da9314ec8f56baaddca270b25ea50"/>
      <w:bookmarkEnd w:id="92"/>
      <w:r>
        <w:t xml:space="preserve">Leong, K. L. H. 1999. “Restoration of an Overwintering Grove in Los Osos, San Luis Obispo County, California.” In </w:t>
      </w:r>
      <w:r>
        <w:rPr>
          <w:i/>
          <w:iCs/>
        </w:rPr>
        <w:t>1997 North American Conference on the Monarch Butterfly. Eds. J. Hoth, L. Merino, K. Oberhauser, I. Pisanty, S. Price, and T. Wilkinson</w:t>
      </w:r>
      <w:r>
        <w:t>, 221–18.</w:t>
      </w:r>
    </w:p>
    <w:p w14:paraId="5788C05D" w14:textId="77777777" w:rsidR="00992339" w:rsidRDefault="00000000">
      <w:pPr>
        <w:pStyle w:val="Bibliography"/>
      </w:pPr>
      <w:bookmarkStart w:id="94" w:name="X02fdcfa2478680f8cfd4503b63a8fd1122fffd4"/>
      <w:bookmarkEnd w:id="93"/>
      <w:r>
        <w:t>Leong, Kingston L H. 2016. “Evaluation and Management of California Monarch Winter Sites.”</w:t>
      </w:r>
    </w:p>
    <w:p w14:paraId="34489F0E" w14:textId="77777777" w:rsidR="00992339" w:rsidRDefault="00000000">
      <w:pPr>
        <w:pStyle w:val="Bibliography"/>
      </w:pPr>
      <w:bookmarkStart w:id="95" w:name="X30d658292c164d3bce7e540f086edd6f7c4eae1"/>
      <w:bookmarkEnd w:id="94"/>
      <w:r>
        <w:t xml:space="preserve">Leong, Kingston L. H. 1990. “Microenvironmental Factors Associated with the Winter Habitat of the Monarch Butterfly (Lepidoptera: Danaidae) in Central California.” </w:t>
      </w:r>
      <w:r>
        <w:rPr>
          <w:i/>
          <w:iCs/>
        </w:rPr>
        <w:t>Annals of the Entomological Society of America</w:t>
      </w:r>
      <w:r>
        <w:t xml:space="preserve"> 83 (5): 906–10. </w:t>
      </w:r>
      <w:hyperlink r:id="rId44">
        <w:r>
          <w:rPr>
            <w:rStyle w:val="Hyperlink"/>
          </w:rPr>
          <w:t>https://doi.org/10.1093/aesa/83.5.906</w:t>
        </w:r>
      </w:hyperlink>
      <w:r>
        <w:t>.</w:t>
      </w:r>
    </w:p>
    <w:p w14:paraId="610AABCF" w14:textId="77777777" w:rsidR="00992339" w:rsidRDefault="00000000">
      <w:pPr>
        <w:pStyle w:val="Bibliography"/>
      </w:pPr>
      <w:bookmarkStart w:id="96" w:name="ref-leongUseMultivariateAnalyses1991"/>
      <w:bookmarkEnd w:id="95"/>
      <w:r>
        <w:t xml:space="preserve">Leong, Kingston L. H., D. Frey, G. Brenner, S. Baker, and D. Fox. 1991. “Use of Multivariate Analyses to Characterize the Monarch Butterfly (Lepidoptera: Danaidae) Winter Habitat.” </w:t>
      </w:r>
      <w:r>
        <w:rPr>
          <w:i/>
          <w:iCs/>
        </w:rPr>
        <w:t>Annals of the Entomological Society of America</w:t>
      </w:r>
      <w:r>
        <w:t xml:space="preserve"> 84 (3): 263–67. </w:t>
      </w:r>
      <w:hyperlink r:id="rId45">
        <w:r>
          <w:rPr>
            <w:rStyle w:val="Hyperlink"/>
          </w:rPr>
          <w:t>https://doi.org/10.1093/aesa/84.3.263</w:t>
        </w:r>
      </w:hyperlink>
      <w:r>
        <w:t>.</w:t>
      </w:r>
    </w:p>
    <w:p w14:paraId="716E083A" w14:textId="77777777" w:rsidR="00992339" w:rsidRDefault="00000000">
      <w:pPr>
        <w:pStyle w:val="Bibliography"/>
      </w:pPr>
      <w:bookmarkStart w:id="97" w:name="X90be9b641f8b8d65e6ff46ad3ba4a0e4197a200"/>
      <w:bookmarkEnd w:id="96"/>
      <w:r>
        <w:lastRenderedPageBreak/>
        <w:t xml:space="preserve">Marini, Lorenzo, and Myron P Zalucki. 2017. “Density-Dependence in the Declining Population of the Monarch Butterfly.” </w:t>
      </w:r>
      <w:r>
        <w:rPr>
          <w:i/>
          <w:iCs/>
        </w:rPr>
        <w:t>Scientific Reports</w:t>
      </w:r>
      <w:r>
        <w:t xml:space="preserve"> 7. </w:t>
      </w:r>
      <w:hyperlink r:id="rId46">
        <w:r>
          <w:rPr>
            <w:rStyle w:val="Hyperlink"/>
          </w:rPr>
          <w:t>https://doi.org/10.1038/s41598-017-14510-w</w:t>
        </w:r>
      </w:hyperlink>
      <w:r>
        <w:t>.</w:t>
      </w:r>
    </w:p>
    <w:p w14:paraId="253E85B8" w14:textId="77777777" w:rsidR="00992339" w:rsidRDefault="00000000">
      <w:pPr>
        <w:pStyle w:val="Bibliography"/>
      </w:pPr>
      <w:bookmarkStart w:id="98" w:name="ref-mastersMonarchButterflyDanaus1988"/>
      <w:bookmarkEnd w:id="97"/>
      <w:r>
        <w:t xml:space="preserve">Masters, Alan R., Stephen B. Malcolm, and Lincoln P. Brower. 1988. “Monarch Butterfly (Danaus Plexippus) Thermoregulatory Behavior and Adaptations for Overwintering in Mexico.” </w:t>
      </w:r>
      <w:r>
        <w:rPr>
          <w:i/>
          <w:iCs/>
        </w:rPr>
        <w:t>Ecology</w:t>
      </w:r>
      <w:r>
        <w:t xml:space="preserve"> 69 (2): 458–67. </w:t>
      </w:r>
      <w:hyperlink r:id="rId47">
        <w:r>
          <w:rPr>
            <w:rStyle w:val="Hyperlink"/>
          </w:rPr>
          <w:t>https://doi.org/10.2307/1940444</w:t>
        </w:r>
      </w:hyperlink>
      <w:r>
        <w:t>.</w:t>
      </w:r>
    </w:p>
    <w:p w14:paraId="6A9CA5DA" w14:textId="77777777" w:rsidR="00992339" w:rsidRDefault="00000000">
      <w:pPr>
        <w:pStyle w:val="Bibliography"/>
      </w:pPr>
      <w:bookmarkStart w:id="99" w:name="X38aec815059cc4739f25523e51c756a23186f52"/>
      <w:bookmarkEnd w:id="98"/>
      <w:r>
        <w:t xml:space="preserve">Miller-ter Kuile, Ana, Austen Apigo, An Bui, Bartholomew DiFiore, Elizabeth S. Forbes, Michelle Lee, Devyn Orr, et al. 2022. “Predator–Prey Interactions of Terrestrial Invertebrates Are Determined by Predator Body Size and Species Identity.” </w:t>
      </w:r>
      <w:r>
        <w:rPr>
          <w:i/>
          <w:iCs/>
        </w:rPr>
        <w:t>Ecology</w:t>
      </w:r>
      <w:r>
        <w:t xml:space="preserve"> 103 (5): e3634. </w:t>
      </w:r>
      <w:hyperlink r:id="rId48">
        <w:r>
          <w:rPr>
            <w:rStyle w:val="Hyperlink"/>
          </w:rPr>
          <w:t>https://doi.org/10.1002/ecy.3634</w:t>
        </w:r>
      </w:hyperlink>
      <w:r>
        <w:t>.</w:t>
      </w:r>
    </w:p>
    <w:p w14:paraId="16939D60" w14:textId="77777777" w:rsidR="00992339" w:rsidRDefault="00000000">
      <w:pPr>
        <w:pStyle w:val="Bibliography"/>
      </w:pPr>
      <w:bookmarkStart w:id="100" w:name="Xa3c1b4d22cf555735f3af6df57617ee0ad52730"/>
      <w:bookmarkEnd w:id="99"/>
      <w:r>
        <w:t xml:space="preserve">Mouritsen, Henrik, and Barrie J. Frost. 2002. “Virtual Migration in Tethered Flying Monarch Butterflies Reveals Their Orientation Mechanisms.” </w:t>
      </w:r>
      <w:r>
        <w:rPr>
          <w:i/>
          <w:iCs/>
        </w:rPr>
        <w:t>Proceedings of the National Academy of Sciences of the United States of America</w:t>
      </w:r>
      <w:r>
        <w:t xml:space="preserve"> 99 (15): 10162–66. </w:t>
      </w:r>
      <w:hyperlink r:id="rId49">
        <w:r>
          <w:rPr>
            <w:rStyle w:val="Hyperlink"/>
          </w:rPr>
          <w:t>https://doi.org/10.1073/pnas.152137299</w:t>
        </w:r>
      </w:hyperlink>
      <w:r>
        <w:t>.</w:t>
      </w:r>
    </w:p>
    <w:p w14:paraId="3809250C" w14:textId="77777777" w:rsidR="00992339" w:rsidRDefault="00000000">
      <w:pPr>
        <w:pStyle w:val="Bibliography"/>
      </w:pPr>
      <w:bookmarkStart w:id="101" w:name="X94a05d6c1796941a22489b3a2d4fa9c498a5ca2"/>
      <w:bookmarkEnd w:id="100"/>
      <w:r>
        <w:t xml:space="preserve">Nathan, Ran, Nir Sapir, Ana Trakhtenbrot, Gabriel G. Katul, Gil Bohrer, Martin Otte, Roni Avissar, et al. 2005. “Long-Distance Biological Transport Processes Through the Air: Can Nature’s Complexity Be Unfolded in Silico?” </w:t>
      </w:r>
      <w:r>
        <w:rPr>
          <w:i/>
          <w:iCs/>
        </w:rPr>
        <w:t>Diversity and Distributions</w:t>
      </w:r>
      <w:r>
        <w:t xml:space="preserve"> 11 (2): 131–37. </w:t>
      </w:r>
      <w:hyperlink r:id="rId50">
        <w:r>
          <w:rPr>
            <w:rStyle w:val="Hyperlink"/>
          </w:rPr>
          <w:t>https://doi.org/10.1111/j.1366-9516.2005.00146.x</w:t>
        </w:r>
      </w:hyperlink>
      <w:r>
        <w:t>.</w:t>
      </w:r>
    </w:p>
    <w:p w14:paraId="51DF078A" w14:textId="77777777" w:rsidR="00992339" w:rsidRDefault="00000000">
      <w:pPr>
        <w:pStyle w:val="Bibliography"/>
      </w:pPr>
      <w:bookmarkStart w:id="102" w:name="ref-nguyenSunCompassNeurons2021"/>
      <w:bookmarkEnd w:id="101"/>
      <w:r>
        <w:t xml:space="preserve">Nguyen, Tu Anh Thi, M. Jerome Beetz, Christine Merlin, and Basil el Jundi. 2021. “Sun Compass Neurons Are Tuned to Migratory Orientation in Monarch Butterflies.” </w:t>
      </w:r>
      <w:r>
        <w:rPr>
          <w:i/>
          <w:iCs/>
        </w:rPr>
        <w:t>Proceedings of the Royal Society B: Biological Sciences</w:t>
      </w:r>
      <w:r>
        <w:t xml:space="preserve"> 288 (1945): 20202988. </w:t>
      </w:r>
      <w:hyperlink r:id="rId51">
        <w:r>
          <w:rPr>
            <w:rStyle w:val="Hyperlink"/>
          </w:rPr>
          <w:t>https://doi.org/10.1098/rspb.2020.2988</w:t>
        </w:r>
      </w:hyperlink>
      <w:r>
        <w:t>.</w:t>
      </w:r>
    </w:p>
    <w:p w14:paraId="74310C3A" w14:textId="77777777" w:rsidR="00992339" w:rsidRDefault="00000000">
      <w:pPr>
        <w:pStyle w:val="Bibliography"/>
      </w:pPr>
      <w:bookmarkStart w:id="103" w:name="X1c7eb8e691f75425cf3cf58ce9a8454df87c465"/>
      <w:bookmarkEnd w:id="102"/>
      <w:r>
        <w:t>Pelton, Emma. 2020. “Monarch Butterfly Overwintering Site Management Plan for Pismo State Beach: North Beach Campground Site.” Pismo State Beach, California: The Xerces Society for Invertebrate Conservation.</w:t>
      </w:r>
    </w:p>
    <w:p w14:paraId="18AEF7C5" w14:textId="77777777" w:rsidR="00992339" w:rsidRDefault="00000000">
      <w:pPr>
        <w:pStyle w:val="Bibliography"/>
      </w:pPr>
      <w:bookmarkStart w:id="104" w:name="ref-peltonWesternMonarchPopulation2019"/>
      <w:bookmarkEnd w:id="103"/>
      <w:r>
        <w:t xml:space="preserve">Pelton, Emma M., Cheryl B. Schultz, Sarina J. Jepsen, Scott Hoffman Black, and Elizabeth E. Crone. 2019. “Western Monarch Population Plummets: Status, Probable Causes, and Recommended Conservation Actions.” </w:t>
      </w:r>
      <w:r>
        <w:rPr>
          <w:i/>
          <w:iCs/>
        </w:rPr>
        <w:t>Frontiers in Ecology and Evolution</w:t>
      </w:r>
      <w:r>
        <w:t xml:space="preserve"> 7. </w:t>
      </w:r>
      <w:hyperlink r:id="rId52">
        <w:r>
          <w:rPr>
            <w:rStyle w:val="Hyperlink"/>
          </w:rPr>
          <w:t>https://www.frontiersin.org/articles/10.3389/fevo.2019.00258</w:t>
        </w:r>
      </w:hyperlink>
      <w:r>
        <w:t>.</w:t>
      </w:r>
    </w:p>
    <w:p w14:paraId="0B640D39" w14:textId="77777777" w:rsidR="00992339" w:rsidRDefault="00000000">
      <w:pPr>
        <w:pStyle w:val="Bibliography"/>
      </w:pPr>
      <w:bookmarkStart w:id="105" w:name="X4f9fcd08a29276e76a41ed172f465032bf17885"/>
      <w:bookmarkEnd w:id="104"/>
      <w:r>
        <w:t xml:space="preserve">Reppert, Steven M., and Jacobus C. de Roode. 2018. “Demystifying Monarch Butterfly Migration.” </w:t>
      </w:r>
      <w:r>
        <w:rPr>
          <w:i/>
          <w:iCs/>
        </w:rPr>
        <w:t>Current Biology</w:t>
      </w:r>
      <w:r>
        <w:t xml:space="preserve"> 28 (17): R1009–22. </w:t>
      </w:r>
      <w:hyperlink r:id="rId53">
        <w:r>
          <w:rPr>
            <w:rStyle w:val="Hyperlink"/>
          </w:rPr>
          <w:t>https://doi.org/10.1016/j.cub.2018.02.067</w:t>
        </w:r>
      </w:hyperlink>
      <w:r>
        <w:t>.</w:t>
      </w:r>
    </w:p>
    <w:p w14:paraId="185BF038" w14:textId="77777777" w:rsidR="00992339" w:rsidRDefault="00000000">
      <w:pPr>
        <w:pStyle w:val="Bibliography"/>
      </w:pPr>
      <w:bookmarkStart w:id="106" w:name="ref-riddellWindNicheThermal2025"/>
      <w:bookmarkEnd w:id="105"/>
      <w:r>
        <w:t xml:space="preserve">Riddell, E A, and C K Porter. 2025. “The Wind Niche: The Thermal and Hydric Effects of Wind Speed on Terrestrial Organisms.” </w:t>
      </w:r>
      <w:r>
        <w:rPr>
          <w:i/>
          <w:iCs/>
        </w:rPr>
        <w:t>Integrative and Comparative Biology</w:t>
      </w:r>
      <w:r>
        <w:t xml:space="preserve">, May, icaf025. </w:t>
      </w:r>
      <w:hyperlink r:id="rId54">
        <w:r>
          <w:rPr>
            <w:rStyle w:val="Hyperlink"/>
          </w:rPr>
          <w:t>https://doi.org/10.1093/icb/icaf025</w:t>
        </w:r>
      </w:hyperlink>
      <w:r>
        <w:t>.</w:t>
      </w:r>
    </w:p>
    <w:p w14:paraId="1A1B43C7" w14:textId="77777777" w:rsidR="00992339" w:rsidRDefault="00000000">
      <w:pPr>
        <w:pStyle w:val="Bibliography"/>
      </w:pPr>
      <w:bookmarkStart w:id="107" w:name="ref-sanieeHierarchyScaleInfluence2022"/>
      <w:bookmarkEnd w:id="106"/>
      <w:r>
        <w:t xml:space="preserve">Saniee, Kiana, and Francis Villablanca. 2022. “Hierarchy and Scale Influence the Western Monarch Butterfly Overwintering Microclimate.” </w:t>
      </w:r>
      <w:r>
        <w:rPr>
          <w:i/>
          <w:iCs/>
        </w:rPr>
        <w:t>Frontiers in Conservation Science</w:t>
      </w:r>
      <w:r>
        <w:t xml:space="preserve"> 3. </w:t>
      </w:r>
      <w:hyperlink r:id="rId55">
        <w:r>
          <w:rPr>
            <w:rStyle w:val="Hyperlink"/>
          </w:rPr>
          <w:t>https://www.frontiersin.org/articles/10.3389/fcosc.2022.844299</w:t>
        </w:r>
      </w:hyperlink>
      <w:r>
        <w:t>.</w:t>
      </w:r>
    </w:p>
    <w:p w14:paraId="2303DBF2" w14:textId="77777777" w:rsidR="00992339" w:rsidRDefault="00000000">
      <w:pPr>
        <w:pStyle w:val="Bibliography"/>
      </w:pPr>
      <w:bookmarkStart w:id="108" w:name="ref-schultzCitizenScienceMonitoring2017"/>
      <w:bookmarkEnd w:id="107"/>
      <w:r>
        <w:lastRenderedPageBreak/>
        <w:t xml:space="preserve">Schultz, Cheryl B., Leone M. Brown, Emma Pelton, and Elizabeth E. Crone. 2017. “Citizen Science Monitoring Demonstrates Dramatic Declines of Monarch Butterflies in Western North America.” </w:t>
      </w:r>
      <w:r>
        <w:rPr>
          <w:i/>
          <w:iCs/>
        </w:rPr>
        <w:t>Biological Conservation</w:t>
      </w:r>
      <w:r>
        <w:t xml:space="preserve"> 214 (October): 343–46. </w:t>
      </w:r>
      <w:hyperlink r:id="rId56">
        <w:r>
          <w:rPr>
            <w:rStyle w:val="Hyperlink"/>
          </w:rPr>
          <w:t>https://doi.org/10.1016/j.biocon.2017.08.019</w:t>
        </w:r>
      </w:hyperlink>
      <w:r>
        <w:t>.</w:t>
      </w:r>
    </w:p>
    <w:p w14:paraId="6619A4A9" w14:textId="77777777" w:rsidR="00992339" w:rsidRDefault="00000000">
      <w:pPr>
        <w:pStyle w:val="Bibliography"/>
      </w:pPr>
      <w:bookmarkStart w:id="109" w:name="ref-schweizerSnailsSunStrategies2019"/>
      <w:bookmarkEnd w:id="108"/>
      <w:r>
        <w:t xml:space="preserve">Schweizer, Mona, Rita Triebskorn, and Heinz-R. Köhler. 2019. “Snails in the Sun: Strategies of Terrestrial Gastropods to Cope with Hot and Dry Conditions.” </w:t>
      </w:r>
      <w:r>
        <w:rPr>
          <w:i/>
          <w:iCs/>
        </w:rPr>
        <w:t>Ecology and Evolution</w:t>
      </w:r>
      <w:r>
        <w:t xml:space="preserve"> 9 (22): 12940–60. </w:t>
      </w:r>
      <w:hyperlink r:id="rId57">
        <w:r>
          <w:rPr>
            <w:rStyle w:val="Hyperlink"/>
          </w:rPr>
          <w:t>https://doi.org/10.1002/ece3.5607</w:t>
        </w:r>
      </w:hyperlink>
      <w:r>
        <w:t>.</w:t>
      </w:r>
    </w:p>
    <w:p w14:paraId="00CEC7C2" w14:textId="77777777" w:rsidR="00992339" w:rsidRDefault="00000000">
      <w:pPr>
        <w:pStyle w:val="Bibliography"/>
      </w:pPr>
      <w:bookmarkStart w:id="110" w:name="ref-solenskyOverviewMonarchMigration2004"/>
      <w:bookmarkEnd w:id="109"/>
      <w:r>
        <w:t xml:space="preserve">Solensky, Michelle J. 2004. “Overview of Monarch Migration.” </w:t>
      </w:r>
      <w:r>
        <w:rPr>
          <w:i/>
          <w:iCs/>
        </w:rPr>
        <w:t>The Monarch Butterfly: Biology and Conservation</w:t>
      </w:r>
      <w:r>
        <w:t xml:space="preserve"> 546: 79–83. </w:t>
      </w:r>
      <w:hyperlink r:id="rId58">
        <w:r>
          <w:rPr>
            <w:rStyle w:val="Hyperlink"/>
          </w:rPr>
          <w: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w:t>
      </w:r>
    </w:p>
    <w:p w14:paraId="17D20138" w14:textId="77777777" w:rsidR="00992339" w:rsidRDefault="00000000">
      <w:pPr>
        <w:pStyle w:val="Bibliography"/>
      </w:pPr>
      <w:bookmarkStart w:id="111" w:name="ref-themonarchpressCityAwarded392019"/>
      <w:bookmarkEnd w:id="110"/>
      <w:r>
        <w:t xml:space="preserve">The Monarch Press. 2019. “City Awarded $3.9 Million in Funding for the Monarch Butterfly Habitat Management Plan.” June 2019. </w:t>
      </w:r>
      <w:hyperlink r:id="rId59">
        <w:r>
          <w:rPr>
            <w:rStyle w:val="Hyperlink"/>
          </w:rPr>
          <w:t>https://www.goletamonarchpress.com/2019/06/city-awarded-3-9-million-in-funding-for-the-monarch-butterfly-habitat-management-plan/</w:t>
        </w:r>
      </w:hyperlink>
      <w:r>
        <w:t>.</w:t>
      </w:r>
    </w:p>
    <w:p w14:paraId="6E858D78" w14:textId="77777777" w:rsidR="00992339" w:rsidRDefault="00000000">
      <w:pPr>
        <w:pStyle w:val="Bibliography"/>
      </w:pPr>
      <w:bookmarkStart w:id="112" w:name="X1046fd071f1f4ee466ab0602a852035520c9ac1"/>
      <w:bookmarkEnd w:id="111"/>
      <w:r>
        <w:t xml:space="preserve">Tuskes, P. M., and L. P. Brower. 1978. “Overwintering Ecology of the Monarch Butterfly, Danaus Plexippus L., in California.” </w:t>
      </w:r>
      <w:r>
        <w:rPr>
          <w:i/>
          <w:iCs/>
        </w:rPr>
        <w:t>Ecological Entomology</w:t>
      </w:r>
      <w:r>
        <w:t xml:space="preserve"> 3 (2): 141–53. </w:t>
      </w:r>
      <w:hyperlink r:id="rId60">
        <w:r>
          <w:rPr>
            <w:rStyle w:val="Hyperlink"/>
          </w:rPr>
          <w:t>https://doi.org/10.1111/j.1365-2311.1978.tb00912.x</w:t>
        </w:r>
      </w:hyperlink>
      <w:r>
        <w:t>.</w:t>
      </w:r>
    </w:p>
    <w:p w14:paraId="14912EEB" w14:textId="77777777" w:rsidR="00992339" w:rsidRDefault="00000000">
      <w:pPr>
        <w:pStyle w:val="Bibliography"/>
      </w:pPr>
      <w:bookmarkStart w:id="113" w:name="ref-Urquhart1978Autumnal"/>
      <w:bookmarkEnd w:id="112"/>
      <w:r>
        <w:t>Urquhart, F. A., and N. R. Urquhart. 1978. “Autumnal Migration Routes of the Eastern Population of the Monarch Butterfly (</w:t>
      </w:r>
      <w:r>
        <w:rPr>
          <w:i/>
          <w:iCs/>
        </w:rPr>
        <w:t>Danaus p</w:t>
      </w:r>
      <w:r>
        <w:t xml:space="preserve">. </w:t>
      </w:r>
      <w:r>
        <w:rPr>
          <w:i/>
          <w:iCs/>
        </w:rPr>
        <w:t>Plexippus</w:t>
      </w:r>
      <w:r>
        <w:t xml:space="preserve"> L.; Danaidae; Lepidoptera) in North America to the Overwintering Site in the Neovolcanic Plateau of Mexico.” </w:t>
      </w:r>
      <w:r>
        <w:rPr>
          <w:i/>
          <w:iCs/>
        </w:rPr>
        <w:t>Canadian Journal of Zoology</w:t>
      </w:r>
      <w:r>
        <w:t xml:space="preserve"> 56 (8): 1759–64.</w:t>
      </w:r>
    </w:p>
    <w:p w14:paraId="20C1A1E6" w14:textId="77777777" w:rsidR="00992339" w:rsidRDefault="00000000">
      <w:pPr>
        <w:pStyle w:val="Bibliography"/>
      </w:pPr>
      <w:bookmarkStart w:id="114" w:name="Xd783142e221c1f498e1a166269e53da562bf4b0"/>
      <w:bookmarkEnd w:id="113"/>
      <w:r>
        <w:t>U.S. Fish and Wildlife Service. 2024. “Monarch (Danaus Plexippus) Species Status Assessment Report.” version 2.3.</w:t>
      </w:r>
    </w:p>
    <w:p w14:paraId="3F6CB4B2" w14:textId="77777777" w:rsidR="00992339" w:rsidRDefault="00000000">
      <w:pPr>
        <w:pStyle w:val="Bibliography"/>
      </w:pPr>
      <w:bookmarkStart w:id="115" w:name="ref-velillaGoneWindSignal2020"/>
      <w:bookmarkEnd w:id="114"/>
      <w:r>
        <w:t xml:space="preserve">Velilla, Estefania, Matías Muñoz, Nicol Quiroga, Laurel Symes, Hannah M. ter Hofstede, Rachel A. Page, Ralph Simon, Jacintha Ellers, and Wouter Halfwerk. 2020. “Gone with the Wind: Is Signal Timing in a Neotropical Katydid an Adaptive Response to Variation in Wind-Induced Vibratory Noise?” </w:t>
      </w:r>
      <w:r>
        <w:rPr>
          <w:i/>
          <w:iCs/>
        </w:rPr>
        <w:t>Behavioral Ecology and Sociobiology</w:t>
      </w:r>
      <w:r>
        <w:t xml:space="preserve"> 74 (5): 59. </w:t>
      </w:r>
      <w:hyperlink r:id="rId61">
        <w:r>
          <w:rPr>
            <w:rStyle w:val="Hyperlink"/>
          </w:rPr>
          <w:t>https://doi.org/10.1007/s00265-020-02842-z</w:t>
        </w:r>
      </w:hyperlink>
      <w:r>
        <w:t>.</w:t>
      </w:r>
    </w:p>
    <w:p w14:paraId="485CD6B9" w14:textId="77777777" w:rsidR="00992339" w:rsidRDefault="00000000">
      <w:pPr>
        <w:pStyle w:val="Bibliography"/>
      </w:pPr>
      <w:bookmarkStart w:id="116" w:name="ref-vidalDynamicsTrendsOverwintering2014"/>
      <w:bookmarkEnd w:id="115"/>
      <w:r>
        <w:t xml:space="preserve">Vidal, Omar, and Eduardo Rendón-Salinas. 2014. “Dynamics and Trends of Overwintering Colonies of the Monarch Butterfly in Mexico.” </w:t>
      </w:r>
      <w:r>
        <w:rPr>
          <w:i/>
          <w:iCs/>
        </w:rPr>
        <w:t>Biological Conservation</w:t>
      </w:r>
      <w:r>
        <w:t xml:space="preserve"> 180 (December): 165–75. </w:t>
      </w:r>
      <w:hyperlink r:id="rId62">
        <w:r>
          <w:rPr>
            <w:rStyle w:val="Hyperlink"/>
          </w:rPr>
          <w:t>https://doi.org/10.1016/j.biocon.2014.09.041</w:t>
        </w:r>
      </w:hyperlink>
      <w:r>
        <w:t>.</w:t>
      </w:r>
    </w:p>
    <w:p w14:paraId="2CA64AAE" w14:textId="77777777" w:rsidR="00992339" w:rsidRDefault="00000000">
      <w:pPr>
        <w:pStyle w:val="Bibliography"/>
      </w:pPr>
      <w:bookmarkStart w:id="117" w:name="ref-weissAlbanyHillMonarch2018"/>
      <w:bookmarkEnd w:id="116"/>
      <w:r>
        <w:t>Weiss, Stuart B. 2018. “Albany Hill Monarch Habitat Assessment.” Creekside Science.</w:t>
      </w:r>
    </w:p>
    <w:p w14:paraId="028BB607" w14:textId="77777777" w:rsidR="00992339" w:rsidRDefault="00000000">
      <w:pPr>
        <w:pStyle w:val="Bibliography"/>
      </w:pPr>
      <w:bookmarkStart w:id="118" w:name="Xc01bdb20da0c7c9ca7e98c0d45667aaa343d54a"/>
      <w:bookmarkEnd w:id="117"/>
      <w:r>
        <w:lastRenderedPageBreak/>
        <w:t xml:space="preserve">Weiss, Stuart B., and Paul M. Rich. 2008. “Recommendations for Restoration of Monarch Butterfly Winter Habitat at Norma B. Gibbs Park, Huntington Beach, CA.” Menlo Park, CA: Creekside Center for Earth Observation. </w:t>
      </w:r>
      <w:hyperlink r:id="rId63">
        <w:r>
          <w:rPr>
            <w:rStyle w:val="Hyperlink"/>
          </w:rPr>
          <w:t>http://www.creeksidescience.com</w:t>
        </w:r>
      </w:hyperlink>
      <w:r>
        <w:t>.</w:t>
      </w:r>
    </w:p>
    <w:p w14:paraId="44D2E297" w14:textId="77777777" w:rsidR="00992339" w:rsidRDefault="00000000">
      <w:pPr>
        <w:pStyle w:val="Bibliography"/>
      </w:pPr>
      <w:bookmarkStart w:id="119" w:name="ref-weissForestCanopyStructure1991"/>
      <w:bookmarkEnd w:id="118"/>
      <w:r>
        <w:t xml:space="preserve">Weiss, Stuart B., Paul M. Rich, Dennis D. Murphy, William H. Calvert, and Paul R. Ehrlich. 1991. “Forest Canopy Structure at Overwintering Monarch Butterfly Sites: Measurements with Hemispherical Photography.” </w:t>
      </w:r>
      <w:r>
        <w:rPr>
          <w:i/>
          <w:iCs/>
        </w:rPr>
        <w:t>Conservation Biology</w:t>
      </w:r>
      <w:r>
        <w:t xml:space="preserve"> 5 (2): 165–75. </w:t>
      </w:r>
      <w:hyperlink r:id="rId64">
        <w:r>
          <w:rPr>
            <w:rStyle w:val="Hyperlink"/>
          </w:rPr>
          <w:t>https://doi.org/10.1111/j.1523-1739.1991.tb00121.x</w:t>
        </w:r>
      </w:hyperlink>
      <w:r>
        <w:t>.</w:t>
      </w:r>
    </w:p>
    <w:p w14:paraId="694B8F99" w14:textId="77777777" w:rsidR="00992339" w:rsidRDefault="00000000">
      <w:pPr>
        <w:pStyle w:val="Bibliography"/>
      </w:pPr>
      <w:bookmarkStart w:id="120" w:name="X47fc10ad90cfd19e2fde7b440ba45ebe622ae98"/>
      <w:bookmarkEnd w:id="119"/>
      <w:r>
        <w:t xml:space="preserve">Xerces Society. 2016. “State of the Monarch Overwintering Sites in California.” 16-015_01. Portland, OR: The Xerces Society for Invertebrate Conservation. </w:t>
      </w:r>
      <w:hyperlink r:id="rId65">
        <w:r>
          <w:rPr>
            <w:rStyle w:val="Hyperlink"/>
          </w:rPr>
          <w:t>https://www.xerces.org/sites/default/files/2018-05/16-015_01_XercesSoc_State-of-Monarch-Overwintering-Sites-in-California_web.pdf</w:t>
        </w:r>
      </w:hyperlink>
      <w:r>
        <w:t>.</w:t>
      </w:r>
    </w:p>
    <w:p w14:paraId="12D0E223" w14:textId="77777777" w:rsidR="00992339" w:rsidRDefault="00000000">
      <w:pPr>
        <w:pStyle w:val="Bibliography"/>
      </w:pPr>
      <w:bookmarkStart w:id="121" w:name="Xbc0d6ddcce5b5a7ab9f2d41af22dac159b4acdd"/>
      <w:bookmarkEnd w:id="120"/>
      <w:r>
        <w:t>———. 2017. “Step-by-Step Western Monarch Thanksgiving Count Monitoring Guide.”</w:t>
      </w:r>
    </w:p>
    <w:p w14:paraId="72800E5C" w14:textId="77777777" w:rsidR="00992339" w:rsidRDefault="00000000">
      <w:pPr>
        <w:pStyle w:val="Bibliography"/>
      </w:pPr>
      <w:bookmarkStart w:id="122" w:name="Xcd4032f8c0c54cadb36d3bed142b2e58516b915"/>
      <w:bookmarkEnd w:id="121"/>
      <w:r>
        <w:t xml:space="preserve">———. 2018. “Managing for Monarchs in the West: Best Management Practices for Conserving the Monarch Butterfly and Its Habitat.” Portland, OR: The Xerces Society for Invertebrate Conservation. </w:t>
      </w:r>
      <w:hyperlink r:id="rId66">
        <w:r>
          <w:rPr>
            <w:rStyle w:val="Hyperlink"/>
          </w:rPr>
          <w:t>www.xerces.org</w:t>
        </w:r>
      </w:hyperlink>
      <w:r>
        <w:t>.</w:t>
      </w:r>
    </w:p>
    <w:p w14:paraId="35B3E1B9" w14:textId="77777777" w:rsidR="00992339" w:rsidRDefault="00000000">
      <w:pPr>
        <w:pStyle w:val="Bibliography"/>
      </w:pPr>
      <w:bookmarkStart w:id="123" w:name="X237d14614a4d6f4d9de640dcd653ce86ed77ba6"/>
      <w:bookmarkEnd w:id="122"/>
      <w:r>
        <w:t xml:space="preserve">———. 2025a. “Western Monarch Thanksgiving Count and New Year’s Count Data, 1997-2025.” </w:t>
      </w:r>
      <w:hyperlink r:id="rId67">
        <w:r>
          <w:rPr>
            <w:rStyle w:val="Hyperlink"/>
          </w:rPr>
          <w:t>WesternMonarchCount.com</w:t>
        </w:r>
      </w:hyperlink>
      <w:r>
        <w:t>.</w:t>
      </w:r>
    </w:p>
    <w:p w14:paraId="50E74B40" w14:textId="77777777" w:rsidR="00992339" w:rsidRDefault="00000000">
      <w:pPr>
        <w:pStyle w:val="Bibliography"/>
      </w:pPr>
      <w:bookmarkStart w:id="124" w:name="Xe450b06c6d1a85d78d67f1c710156611fcbfe9f"/>
      <w:bookmarkEnd w:id="123"/>
      <w:r>
        <w:t xml:space="preserve">———. 2025b. “Western Monarch Butterfly Population Declines to Near Record Low.” March 6, 2025. </w:t>
      </w:r>
      <w:hyperlink r:id="rId68">
        <w:r>
          <w:rPr>
            <w:rStyle w:val="Hyperlink"/>
          </w:rPr>
          <w:t>https://www.xerces.org/press/western-monarch-butterfly-population-declines-to-near-record-low</w:t>
        </w:r>
      </w:hyperlink>
      <w:r>
        <w:t>.</w:t>
      </w:r>
    </w:p>
    <w:p w14:paraId="543EB64F" w14:textId="77777777" w:rsidR="00992339" w:rsidRDefault="00000000">
      <w:pPr>
        <w:pStyle w:val="Bibliography"/>
      </w:pPr>
      <w:bookmarkStart w:id="125" w:name="Xcb6650d11f9aa2ba06aca5a06d06562d008ccdf"/>
      <w:bookmarkEnd w:id="124"/>
      <w:r>
        <w:t xml:space="preserve">Yang, Louie H., Dmitry Ostrovsky, Matthew C. Rogers, and Jeffery M. Welker. 2016. “Intra‐population Variation in the Natal Origins and Wing Morphology of Overwintering Western Monarch Butterflies </w:t>
      </w:r>
      <w:r>
        <w:rPr>
          <w:i/>
          <w:iCs/>
        </w:rPr>
        <w:t>Danaus Plexippus</w:t>
      </w:r>
      <w:r>
        <w:t xml:space="preserve">.” </w:t>
      </w:r>
      <w:r>
        <w:rPr>
          <w:i/>
          <w:iCs/>
        </w:rPr>
        <w:t>Ecography</w:t>
      </w:r>
      <w:r>
        <w:t xml:space="preserve"> 39 (10): 998–1007. </w:t>
      </w:r>
      <w:hyperlink r:id="rId69">
        <w:r>
          <w:rPr>
            <w:rStyle w:val="Hyperlink"/>
          </w:rPr>
          <w:t>https://doi.org/10.1111/ecog.01994</w:t>
        </w:r>
      </w:hyperlink>
      <w:r>
        <w:t>.</w:t>
      </w:r>
    </w:p>
    <w:p w14:paraId="04E4C94C" w14:textId="77777777" w:rsidR="00992339" w:rsidRDefault="00000000">
      <w:pPr>
        <w:pStyle w:val="Bibliography"/>
      </w:pPr>
      <w:bookmarkStart w:id="126" w:name="Xce59c9680ebb53f739caf85bc332676d857a8c8"/>
      <w:bookmarkEnd w:id="125"/>
      <w:r>
        <w:t xml:space="preserve">Zalucki, Myron P. 1982. “Temperature and Rate of Development in Danaus Plexippus L. And D. Chrysippus L. (Lepidoptera:nymphalidae).” </w:t>
      </w:r>
      <w:r>
        <w:rPr>
          <w:i/>
          <w:iCs/>
        </w:rPr>
        <w:t>Australian Journal of Entomology</w:t>
      </w:r>
      <w:r>
        <w:t xml:space="preserve"> 21 (4): 241–46. </w:t>
      </w:r>
      <w:hyperlink r:id="rId70">
        <w:r>
          <w:rPr>
            <w:rStyle w:val="Hyperlink"/>
          </w:rPr>
          <w:t>https://doi.org/10.1111/j.1440-6055.1982.tb01803.x</w:t>
        </w:r>
      </w:hyperlink>
      <w:r>
        <w:t>.</w:t>
      </w:r>
      <w:bookmarkEnd w:id="0"/>
      <w:bookmarkEnd w:id="52"/>
      <w:bookmarkEnd w:id="62"/>
      <w:bookmarkEnd w:id="64"/>
      <w:bookmarkEnd w:id="126"/>
    </w:p>
    <w:sectPr w:rsidR="00992339">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21888B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05782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992339"/>
    <w:rsid w:val="000902E7"/>
    <w:rsid w:val="00992339"/>
    <w:rsid w:val="00AD4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4CB5FA"/>
  <w15:docId w15:val="{0F9411A6-AA8B-A44C-887E-2947815C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emanticscholar.org/paper/Understanding-and-misunderstanding-the-migration-of-Brower/79380ddbf559e310fef9bb8919c03c63ccddecb7" TargetMode="External"/><Relationship Id="rId21" Type="http://schemas.openxmlformats.org/officeDocument/2006/relationships/hyperlink" Target="https://doi.org/10.1016/0022-1910(79)90112-4" TargetMode="External"/><Relationship Id="rId42" Type="http://schemas.openxmlformats.org/officeDocument/2006/relationships/hyperlink" Target="https://doi.org/10.1242/jeb.073668" TargetMode="External"/><Relationship Id="rId47" Type="http://schemas.openxmlformats.org/officeDocument/2006/relationships/hyperlink" Target="https://doi.org/10.2307/1940444" TargetMode="External"/><Relationship Id="rId63" Type="http://schemas.openxmlformats.org/officeDocument/2006/relationships/hyperlink" Target="http://www.creeksidescience.com" TargetMode="External"/><Relationship Id="rId68" Type="http://schemas.openxmlformats.org/officeDocument/2006/relationships/hyperlink" Target="https://www.xerces.org/press/western-monarch-butterfly-population-declines-to-near-record-low"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i.org/10.1016/j.jinsphys.2011.05.004" TargetMode="External"/><Relationship Id="rId11" Type="http://schemas.openxmlformats.org/officeDocument/2006/relationships/image" Target="media/image6.png"/><Relationship Id="rId24" Type="http://schemas.openxmlformats.org/officeDocument/2006/relationships/hyperlink" Target="https://doi.org/10.1007/BF00329753" TargetMode="External"/><Relationship Id="rId32" Type="http://schemas.openxmlformats.org/officeDocument/2006/relationships/hyperlink" Target="https://doi.org/10.1016/j.jtherbio.2014.05.004" TargetMode="External"/><Relationship Id="rId37" Type="http://schemas.openxmlformats.org/officeDocument/2006/relationships/hyperlink" Target="https://doi.org/10.1098/rspb.2001.1765" TargetMode="External"/><Relationship Id="rId40" Type="http://schemas.openxmlformats.org/officeDocument/2006/relationships/hyperlink" Target="https://www.xerces.org" TargetMode="External"/><Relationship Id="rId45" Type="http://schemas.openxmlformats.org/officeDocument/2006/relationships/hyperlink" Target="https://doi.org/10.1093/aesa/84.3.263" TargetMode="External"/><Relationship Id="rId53" Type="http://schemas.openxmlformats.org/officeDocument/2006/relationships/hyperlink" Target="https://doi.org/10.1016/j.cub.2018.02.067" TargetMode="External"/><Relationship Id="rId58" Type="http://schemas.openxmlformats.org/officeDocument/2006/relationships/hyperlink"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Relationship Id="rId66" Type="http://schemas.openxmlformats.org/officeDocument/2006/relationships/hyperlink" Target="https://www.xerces.org" TargetMode="External"/><Relationship Id="rId5" Type="http://schemas.openxmlformats.org/officeDocument/2006/relationships/hyperlink" Target="https://kylenessen.github.io/monarch_trailcam_classifier/" TargetMode="External"/><Relationship Id="rId61" Type="http://schemas.openxmlformats.org/officeDocument/2006/relationships/hyperlink" Target="https://doi.org/10.1007/s00265-020-02842-z" TargetMode="External"/><Relationship Id="rId19" Type="http://schemas.openxmlformats.org/officeDocument/2006/relationships/hyperlink" Target="https://doi.org/10.1016/0022-1910(76)90046-9" TargetMode="External"/><Relationship Id="rId14" Type="http://schemas.openxmlformats.org/officeDocument/2006/relationships/image" Target="media/image9.png"/><Relationship Id="rId22" Type="http://schemas.openxmlformats.org/officeDocument/2006/relationships/hyperlink" Target="https://doi.org/10.1126/science.1225883" TargetMode="External"/><Relationship Id="rId27" Type="http://schemas.openxmlformats.org/officeDocument/2006/relationships/hyperlink" Target="https://doi.org/10.2307/2387997" TargetMode="External"/><Relationship Id="rId30" Type="http://schemas.openxmlformats.org/officeDocument/2006/relationships/hyperlink" Target="https://hero.epa.gov/hero/index.cfm/reference/details/reference_id/52731" TargetMode="External"/><Relationship Id="rId35" Type="http://schemas.openxmlformats.org/officeDocument/2006/relationships/hyperlink" Target="https://doi.org/10.1046/j.1365-2311.2002.00454.x" TargetMode="External"/><Relationship Id="rId43" Type="http://schemas.openxmlformats.org/officeDocument/2006/relationships/hyperlink" Target="https://doi.org/10.1111/aen.12175" TargetMode="External"/><Relationship Id="rId48" Type="http://schemas.openxmlformats.org/officeDocument/2006/relationships/hyperlink" Target="https://doi.org/10.1002/ecy.3634" TargetMode="External"/><Relationship Id="rId56" Type="http://schemas.openxmlformats.org/officeDocument/2006/relationships/hyperlink" Target="https://doi.org/10.1016/j.biocon.2017.08.019" TargetMode="External"/><Relationship Id="rId64" Type="http://schemas.openxmlformats.org/officeDocument/2006/relationships/hyperlink" Target="https://doi.org/10.1111/j.1523-1739.1991.tb00121.x" TargetMode="External"/><Relationship Id="rId69" Type="http://schemas.openxmlformats.org/officeDocument/2006/relationships/hyperlink" Target="https://doi.org/10.1111/ecog.01994" TargetMode="External"/><Relationship Id="rId8" Type="http://schemas.openxmlformats.org/officeDocument/2006/relationships/image" Target="media/image3.png"/><Relationship Id="rId51" Type="http://schemas.openxmlformats.org/officeDocument/2006/relationships/hyperlink" Target="https://doi.org/10.1098/rspb.2020.2988"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emanticscholar.org/paper/Heritability-of-spider-ballooning-motivation-under-Bonte-Lens/d6118c2cd143572bc4f098b5916186ec63c0f12a" TargetMode="External"/><Relationship Id="rId33" Type="http://schemas.openxmlformats.org/officeDocument/2006/relationships/hyperlink" Target="https://doi.org/10.3390/insects9040167" TargetMode="External"/><Relationship Id="rId38" Type="http://schemas.openxmlformats.org/officeDocument/2006/relationships/hyperlink" Target="https://www.frontiersin.org/articles/10.3389/fevo.2019.00266" TargetMode="External"/><Relationship Id="rId46" Type="http://schemas.openxmlformats.org/officeDocument/2006/relationships/hyperlink" Target="https://doi.org/10.1038/s41598-017-14510-w" TargetMode="External"/><Relationship Id="rId59" Type="http://schemas.openxmlformats.org/officeDocument/2006/relationships/hyperlink" Target="https://www.goletamonarchpress.com/2019/06/city-awarded-3-9-million-in-funding-for-the-monarch-butterfly-habitat-management-plan/" TargetMode="External"/><Relationship Id="rId67" Type="http://schemas.openxmlformats.org/officeDocument/2006/relationships/hyperlink" Target="https://WesternMonarchCount.com" TargetMode="External"/><Relationship Id="rId20" Type="http://schemas.openxmlformats.org/officeDocument/2006/relationships/hyperlink" Target="https://doi.org/10.1086/698656" TargetMode="External"/><Relationship Id="rId41" Type="http://schemas.openxmlformats.org/officeDocument/2006/relationships/hyperlink" Target="https://doi.org/10.1007/BF00298260" TargetMode="External"/><Relationship Id="rId54" Type="http://schemas.openxmlformats.org/officeDocument/2006/relationships/hyperlink" Target="https://doi.org/10.1093/icb/icaf025" TargetMode="External"/><Relationship Id="rId62" Type="http://schemas.openxmlformats.org/officeDocument/2006/relationships/hyperlink" Target="https://doi.org/10.1016/j.biocon.2014.09.041" TargetMode="External"/><Relationship Id="rId70" Type="http://schemas.openxmlformats.org/officeDocument/2006/relationships/hyperlink" Target="https://doi.org/10.1111/j.1440-6055.1982.tb01803.x"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ncbi.nlm.nih.gov/pubmed/8551296" TargetMode="External"/><Relationship Id="rId28" Type="http://schemas.openxmlformats.org/officeDocument/2006/relationships/hyperlink" Target="https://doi.org/10.1111/j.1365-2311.1982.tb00664.x" TargetMode="External"/><Relationship Id="rId36" Type="http://schemas.openxmlformats.org/officeDocument/2006/relationships/hyperlink" Target="https://doi.org/10.1080/02541858.1997.11448445" TargetMode="External"/><Relationship Id="rId49" Type="http://schemas.openxmlformats.org/officeDocument/2006/relationships/hyperlink" Target="https://doi.org/10.1073/pnas.152137299" TargetMode="External"/><Relationship Id="rId57" Type="http://schemas.openxmlformats.org/officeDocument/2006/relationships/hyperlink" Target="https://doi.org/10.1002/ece3.5607" TargetMode="External"/><Relationship Id="rId10" Type="http://schemas.openxmlformats.org/officeDocument/2006/relationships/image" Target="media/image5.png"/><Relationship Id="rId31" Type="http://schemas.openxmlformats.org/officeDocument/2006/relationships/hyperlink" Target="https://doi.org/10.1002/eap.1975" TargetMode="External"/><Relationship Id="rId44" Type="http://schemas.openxmlformats.org/officeDocument/2006/relationships/hyperlink" Target="https://doi.org/10.1093/aesa/83.5.906" TargetMode="External"/><Relationship Id="rId52" Type="http://schemas.openxmlformats.org/officeDocument/2006/relationships/hyperlink" Target="https://www.frontiersin.org/articles/10.3389/fevo.2019.00258" TargetMode="External"/><Relationship Id="rId60" Type="http://schemas.openxmlformats.org/officeDocument/2006/relationships/hyperlink" Target="https://doi.org/10.1111/j.1365-2311.1978.tb00912.x" TargetMode="External"/><Relationship Id="rId65" Type="http://schemas.openxmlformats.org/officeDocument/2006/relationships/hyperlink" Target="https://www.xerces.org/sites/default/files/2018-05/16-015_01_XercesSoc_State-of-Monarch-Overwintering-Sites-in-California_web.pdf"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i.org/10.2307/2388612" TargetMode="External"/><Relationship Id="rId39" Type="http://schemas.openxmlformats.org/officeDocument/2006/relationships/hyperlink" Target="https://xerces.org/protecting-californias-butterfly-groves" TargetMode="External"/><Relationship Id="rId34" Type="http://schemas.openxmlformats.org/officeDocument/2006/relationships/hyperlink" Target="https://doi.org/10.1111/csp2.432" TargetMode="External"/><Relationship Id="rId50" Type="http://schemas.openxmlformats.org/officeDocument/2006/relationships/hyperlink" Target="https://doi.org/10.1111/j.1366-9516.2005.00146.x" TargetMode="External"/><Relationship Id="rId55" Type="http://schemas.openxmlformats.org/officeDocument/2006/relationships/hyperlink" Target="https://www.frontiersin.org/articles/10.3389/fcosc.2022.8442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46</Pages>
  <Words>18519</Words>
  <Characters>105560</Characters>
  <Application>Microsoft Office Word</Application>
  <DocSecurity>0</DocSecurity>
  <Lines>879</Lines>
  <Paragraphs>247</Paragraphs>
  <ScaleCrop>false</ScaleCrop>
  <Company/>
  <LinksUpToDate>false</LinksUpToDate>
  <CharactersWithSpaces>123832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 resilience in overwintering monarch butterflies: An empirical test of the microclimate hypothesis</dc:title>
  <dc:creator>Kyle Nessen</dc:creator>
  <cp:keywords/>
  <cp:lastModifiedBy>Kyle Nessen</cp:lastModifiedBy>
  <cp:revision>2</cp:revision>
  <dcterms:created xsi:type="dcterms:W3CDTF">2025-10-14T22:03:00Z</dcterms:created>
  <dcterms:modified xsi:type="dcterms:W3CDTF">2025-10-14T22:05:00Z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western monarch butterfly (Danaus plexippus) population has declined by over 99% since the 1980s, making conservation of overwintering habitat along California’s coast a management priority. For three decades, habitat management has followed the Disruptive Wind Hypothesis, which posits that wind speeds exceeding 2 m/s disrupt butterfly clusters and cause roost abandonment. This threshold has had substantial influence on restoration practices, despite lacking direct empirical validation.This study provides the first experimental test of wind effects on overwintering monarch clusters. We deployed cameras and wind sensors at two sites on Vandenberg Space Force Base during the 2023-2024 overwintering season, collecting 1,894 paired observations at 30-minute intervals across 78 days. Time-lapse photography documented butterfly abundance while wind sensors at roost height recorded wind conditions.Linear regression analysis revealed no significant relationship between wind speed and changes in cluster size at either 30-minute or daily timescales (R^2 = 0.002, p = 0.073 and R^2 = 0.013, p = 0.252, respectively). Every day with butterflies present experienced wind speeds exceeding the 2 m/s threshold, yet clusters persisted throughout the monitoring period. Generalized additive mixed models identified temperature, time of day, and an interaction between wind and sunlight as factors influencing cluster behavior (p &lt; 0.001), but wind alone showed no independent effect. When butterflies remained in shade, wind speed had no effect on cluster behavior across the entire observed range (0 to 12.4 m/s). Effects appeared only when butterflies occupied sunlit positions, suggesting that thermoregulation may be a primary driver of clustering behavior.Our findings challenge fundamental assumptions in monarch habitat management. The absence of wind disruption indicates that monarchs may be more resilient to environmental variation than previously believed, with suitable habitat potentially more extensive than currently recognized. Conservation efforts should continue promoting healthy groves while reconsidering strict wind-based management requirements. Future research should investigate canopy structure and resulting light patterns that monarchs may select when choosing roost sites. As western monarch populations continue to face historic lows, evidence-based understanding of overwintering ecology becomes essential for effective conservation.</vt:lpwstr>
  </property>
  <property fmtid="{D5CDD505-2E9C-101B-9397-08002B2CF9AE}" pid="3" name="bibliography">
    <vt:lpwstr/>
  </property>
</Properties>
</file>