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9.png" ContentType="image/png"/>
  <Override PartName="/word/media/rId53.png" ContentType="image/png"/>
  <Override PartName="/word/media/rId48.png" ContentType="image/png"/>
  <Override PartName="/word/media/rId43.png" ContentType="image/png"/>
  <Override PartName="/word/media/rId39.png" ContentType="image/png"/>
  <Override PartName="/word/media/rId28.png" ContentType="image/png"/>
  <Override PartName="/word/media/rId59.png" ContentType="image/png"/>
  <Override PartName="/word/media/rId82.png" ContentType="image/png"/>
  <Override PartName="/word/media/rId78.png" ContentType="image/png"/>
  <Override PartName="/word/media/rId73.png" ContentType="image/png"/>
  <Override PartName="/word/media/rId6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w:t>
      </w:r>
      <w:r>
        <w:t xml:space="preserve"> </w:t>
      </w:r>
      <m:oMath>
        <m:r>
          <m:rPr>
            <m:sty m:val="p"/>
          </m:rPr>
          <m:t>≥</m:t>
        </m:r>
      </m:oMath>
      <w:r>
        <w:t xml:space="preserve"> </w:t>
      </w:r>
      <w:r>
        <w:t xml:space="preserve">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p>
      <w:pPr>
        <w:pStyle w:val="BodyText"/>
      </w:pPr>
      <w:r>
        <w:t xml:space="preserve">Finally, we hypothesized that experiencing disruptive winds affects monarch site fidelity. If wind disruption influences future roost selection, we predict decreased site fidelity manifested as sustained abundance reductions at wind-disturbed roosts compared to pre-disturbance levels.</w:t>
      </w:r>
    </w:p>
    <w:bookmarkEnd w:id="9"/>
    <w:bookmarkStart w:id="26" w:name="materials-and-methods"/>
    <w:p>
      <w:pPr>
        <w:pStyle w:val="Heading1"/>
      </w:pPr>
      <w:r>
        <w:t xml:space="preserve">Materials and Methods</w:t>
      </w:r>
    </w:p>
    <w:bookmarkStart w:id="10" w:name="study-site"/>
    <w:p>
      <w:pPr>
        <w:pStyle w:val="Heading2"/>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10"/>
    <w:bookmarkStart w:id="11" w:name="monitoring-strategy"/>
    <w:p>
      <w:pPr>
        <w:pStyle w:val="Heading2"/>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1"/>
    <w:bookmarkStart w:id="12" w:name="field-equipment"/>
    <w:p>
      <w:pPr>
        <w:pStyle w:val="Heading2"/>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2"/>
    <w:bookmarkStart w:id="17" w:name="image-analysis"/>
    <w:p>
      <w:pPr>
        <w:pStyle w:val="Heading2"/>
      </w:pPr>
      <w:r>
        <w:t xml:space="preserve">Image Analysis</w:t>
      </w:r>
    </w:p>
    <w:bookmarkStart w:id="13" w:name="grid-based-counting-method"/>
    <w:p>
      <w:pPr>
        <w:pStyle w:val="Heading3"/>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3"/>
    <w:bookmarkStart w:id="15" w:name="counting-protocol"/>
    <w:p>
      <w:pPr>
        <w:pStyle w:val="Heading3"/>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4">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5"/>
    <w:bookmarkStart w:id="16" w:name="abundance-calculation"/>
    <w:p>
      <w:pPr>
        <w:pStyle w:val="Heading3"/>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6"/>
    <w:bookmarkEnd w:id="17"/>
    <w:bookmarkStart w:id="18" w:name="temperature-data-extraction"/>
    <w:p>
      <w:pPr>
        <w:pStyle w:val="Heading2"/>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8"/>
    <w:bookmarkStart w:id="25" w:name="sec:statistical-analysis"/>
    <w:p>
      <w:pPr>
        <w:pStyle w:val="Heading2"/>
      </w:pPr>
      <w:r>
        <w:t xml:space="preserve">Statistical Analysis</w:t>
      </w:r>
    </w:p>
    <w:bookmarkStart w:id="19" w:name="data-preparation"/>
    <w:p>
      <w:pPr>
        <w:pStyle w:val="Heading3"/>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9"/>
    <w:bookmarkStart w:id="20" w:name="variable-selection"/>
    <w:p>
      <w:pPr>
        <w:pStyle w:val="Heading3"/>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20"/>
    <w:bookmarkStart w:id="21" w:name="model-framework"/>
    <w:p>
      <w:pPr>
        <w:pStyle w:val="Heading3"/>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1"/>
    <w:bookmarkStart w:id="22" w:name="model-validation"/>
    <w:p>
      <w:pPr>
        <w:pStyle w:val="Heading3"/>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2"/>
    <w:bookmarkStart w:id="23" w:name="statistical-power-analysis"/>
    <w:p>
      <w:pPr>
        <w:pStyle w:val="Heading3"/>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3"/>
    <w:bookmarkStart w:id="24" w:name="dynamic-window-analysis"/>
    <w:p>
      <w:pPr>
        <w:pStyle w:val="Heading3"/>
      </w:pPr>
      <w:r>
        <w:t xml:space="preserve">Dynamic Window Analysis</w:t>
      </w:r>
    </w:p>
    <w:p>
      <w:pPr>
        <w:pStyle w:val="FirstParagraph"/>
      </w:pPr>
      <w:r>
        <w:t xml:space="preserve">To examine whether day-to-day changes in roost size depend on cumulative weather exposure aligned with butterfly roosting biology, we conducted a complementary analysis using dynamic temporal windows. This approach tested wind effects at a daily scale, capturing overnight and full-day weather exposure that the 30-minute lag analysis could not assess.</w:t>
      </w:r>
    </w:p>
    <w:p>
      <w:pPr>
        <w:pStyle w:val="BodyText"/>
      </w:pPr>
      <w:r>
        <w:t xml:space="preserve">We constructed two window definitions to test the robustness of our findings. The sunset window spanned from the previous day’s maximum butterfly count to the current day’s last observation, approximating functional sunset when roosting decisions finalize. This biologically-aligned window varied in duration (mean = 29.6 hours) to capture the complete exposure period from peak aggregation through the subsequent roosting decision point. The 24-hour window provided a standardized comparison, extending exactly 24 hours from the previous day’s maximum count.</w:t>
      </w:r>
    </w:p>
    <w:p>
      <w:pPr>
        <w:pStyle w:val="BodyText"/>
      </w:pPr>
      <w:r>
        <w:t xml:space="preserve">Daily aggregates were computed for each deployment-day combination, including maximum butterfly count, 95th percentile count, and mean of the top three counts. We retained only days with 15-25 daytime photographs to ensure adequate temporal coverage, then constructed consecutive day pairs separated by exactly one day. Pairs where both days recorded zero butterflies were excluded as uninformative. The response variable, defined as the change in maximum daily count between consecutive days, underwent signed square root transformation to achieve approximate normality while preserving directional information.</w:t>
      </w:r>
    </w:p>
    <w:p>
      <w:pPr>
        <w:pStyle w:val="BodyText"/>
      </w:pPr>
      <w:r>
        <w:t xml:space="preserve">Weather metrics were calculated within each dynamic window. Temperature variables included minimum, maximum, and mean values, plus cumulative metrics such as degree-hours above 15°C. Wind measurements comprised average sustained speed, maximum gust, cumulative gust exposure, and time above the proposed 2 m/s threshold. Direct sun exposure was quantified as the cumulative count of butterflies observed in direct sunlight across all frames within the window, integrating both exposure duration and instantaneous abundance. We required 95% data completeness across temperature, wind, and daylight observations, calculated as the geometric mean of coverage ratios.</w:t>
      </w:r>
    </w:p>
    <w:p>
      <w:pPr>
        <w:pStyle w:val="BodyText"/>
      </w:pPr>
      <w:r>
        <w:t xml:space="preserve">Variable selection for the dynamic window analysis began with 19 candidate predictors spanning baseline abundance metrics, temperature summaries, wind exposure measures, and cumulative sun exposure. We conducted correlation analysis to identify multicollinearity within predictor families, particularly among the highly intercorrelated wind metrics (all pairwise correlations</w:t>
      </w:r>
      <w:r>
        <w:t xml:space="preserve"> </w:t>
      </w:r>
      <m:oMath>
        <m:r>
          <m:t>r</m:t>
        </m:r>
        <m:r>
          <m:rPr>
            <m:sty m:val="p"/>
          </m:rPr>
          <m:t>&gt;</m:t>
        </m:r>
        <m:r>
          <m:t>0.75</m:t>
        </m:r>
      </m:oMath>
      <w:r>
        <w:t xml:space="preserve">) and temperature variables. Based on this analysis, we selected predictors that minimized redundancy while maintaining interpretability and adequate degrees of freedom relative to sample size.</w:t>
      </w:r>
    </w:p>
    <w:p>
      <w:pPr>
        <w:pStyle w:val="BodyText"/>
      </w:pPr>
      <w:r>
        <w:t xml:space="preserve">For wind exposure, we selected maximum wind gust as the primary metric because it captured the variance of all wind variables in a single interpretable measure, showed high correlation with sustained speed, gust summation, and threshold exceedance metrics, and maintained consistency with the 30-minute analysis. We excluded wind mode gust despite its biological relevance because it contained only approximately five unique values across the dataset, causing model convergence issues. Temperature representation focused on non-overlapping summaries that captured both the exposure range (minimum and maximum) and the thermal state at the previous day’s peak abundance. We excluded highly correlated metrics such as mean temperature and degree-hours above 15°C to reduce multicollinearity. The cumulative direct sun exposure variable was retained as a biologically relevant measure of thermal conditions that integrated both exposure duration and instantaneous abundance. For the sunset window analysis, we included lag duration (hours) as a control variable to account for varying window lengths.</w:t>
      </w:r>
    </w:p>
    <w:p>
      <w:pPr>
        <w:pStyle w:val="BodyText"/>
      </w:pPr>
      <w:r>
        <w:t xml:space="preserve">Model selection followed the same information-theoretic approach as the 30-minute analysis. We evaluated 76 candidate models per window type using generalized additive mixed models with deployment random intercepts and AR(1) temporal correlation structures. The candidate set included null models, single predictors, additive combinations, and models with smooth interaction terms. To address potential overfitting given the reduced sample size (n = 94-96 pairs), we applied conservative thresholds for the ratio of effective degrees of freedom to sample size and conducted leave-one-deployment-out cross-validation on top-performing models. The final predictor set comprised: temperature minimum and maximum, maximum wind gust, cumulative direct sun exposure, and baseline abundance controls.</w:t>
      </w:r>
    </w:p>
    <w:bookmarkEnd w:id="24"/>
    <w:bookmarkEnd w:id="25"/>
    <w:bookmarkEnd w:id="26"/>
    <w:bookmarkStart w:id="94" w:name="results"/>
    <w:p>
      <w:pPr>
        <w:pStyle w:val="Heading1"/>
      </w:pPr>
      <w:r>
        <w:t xml:space="preserve">Results</w:t>
      </w:r>
    </w:p>
    <w:bookmarkStart w:id="27" w:name="descriptive-statistics"/>
    <w:p>
      <w:pPr>
        <w:pStyle w:val="Heading2"/>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7"/>
    <w:bookmarkStart w:id="36" w:name="Xcd4fe75f140c5a6ff0ab7eee82bd7d86184ff99"/>
    <w:p>
      <w:pPr>
        <w:pStyle w:val="Heading2"/>
      </w:pPr>
      <w:r>
        <w:t xml:space="preserve">Bivariate Relationship Between Wind and Cluster Dynamics</w:t>
      </w:r>
    </w:p>
    <w:p>
      <w:pPr>
        <w:pStyle w:val="FirstParagraph"/>
      </w:pPr>
      <w:r>
        <w:t xml:space="preserve">Bivariate analyses examined whether wind speed alone could explain changes in monarch cluster size, revealing no meaningful relationship between maximum wind speed and cluster size changes at either temporal scale (Figure </w:t>
      </w:r>
      <w:hyperlink w:anchor="fig:wind_bivariate_30min">
        <w:r>
          <w:rPr>
            <w:rStyle w:val="Hyperlink"/>
          </w:rPr>
          <w:t xml:space="preserve">1</w:t>
        </w:r>
      </w:hyperlink>
      <w:r>
        <w:t xml:space="preserve"> </w:t>
      </w:r>
      <w:r>
        <w:t xml:space="preserve">and </w:t>
      </w:r>
      <w:hyperlink w:anchor="fig:wind_bivariate_sunset">
        <w:r>
          <w:rPr>
            <w:rStyle w:val="Hyperlink"/>
          </w:rPr>
          <w:t xml:space="preserve">2</w:t>
        </w:r>
      </w:hyperlink>
      <w:r>
        <w:t xml:space="preserve">).</w:t>
      </w:r>
    </w:p>
    <w:p>
      <w:pPr>
        <w:pStyle w:val="BodyText"/>
      </w:pPr>
      <w:r>
        <w:t xml:space="preserve">At 30-minute intervals, the correlation between maximum wind speed and butterfly abundance change was negligible (r = 0.04, n = 1,894), with data points scattered uniformly across all wind speeds from calm conditions to 12.4 m/s. The proposed 2 m/s behavioral threshold showed no apparent demarcation in butterfly responses, with similar variance in cluster size changes both above and below this threshold.</w:t>
      </w:r>
    </w:p>
    <w:p>
      <w:pPr>
        <w:pStyle w:val="BodyText"/>
      </w:pPr>
      <w:r>
        <w:t xml:space="preserve">Day-to-day analyses similarly revealed weak correlation between maximum wind exposure and cluster size changes (r = 0.13, n = 96). All observation periods in this analysis experienced maximum wind speeds exceeding the proposed 2 m/s behavioral threshold. Despite consistent exposure to winds above the threshold, no clear pattern emerged linking wind intensity to subsequent roost abandonment or growth.</w:t>
      </w:r>
    </w:p>
    <w:p>
      <w:pPr>
        <w:pStyle w:val="BodyText"/>
      </w:pPr>
      <w:r>
        <w:t xml:space="preserve">These null bivariate relationships indicated that wind speed alone cannot predict monarch clustering behavior, necessitating examination of more complex environmental interactions and conditional relationships that may modulate wind effects.</w:t>
      </w:r>
    </w:p>
    <w:bookmarkStart w:id="31" w:name="fig:wind_bivariate_30min"/>
    <w:p>
      <w:pPr>
        <w:pStyle w:val="CaptionedFigure"/>
      </w:pPr>
      <w:r>
        <w:drawing>
          <wp:inline>
            <wp:extent cx="4267200" cy="3657600"/>
            <wp:effectExtent b="0" l="0" r="0" t="0"/>
            <wp:docPr descr="" title="" id="29" name="Picture"/>
            <a:graphic>
              <a:graphicData uri="http://schemas.openxmlformats.org/drawingml/2006/picture">
                <pic:pic>
                  <pic:nvPicPr>
                    <pic:cNvPr descr="supplemental/results/30_min/figures/wind_vs_change_bivariate_untransformed.png" id="30" name="Picture"/>
                    <pic:cNvPicPr>
                      <a:picLocks noChangeArrowheads="1" noChangeAspect="1"/>
                    </pic:cNvPicPr>
                  </pic:nvPicPr>
                  <pic:blipFill>
                    <a:blip r:embed="rId28"/>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Relationship between maximum wind speed and butterfly abundance change at 30-minute intervals. Each point represents a paired observation (n = 1,894). The red dashed line indicates the proposed 2 m/s behavioral threshold (r = 0.04).</w:t>
      </w:r>
    </w:p>
    <w:bookmarkEnd w:id="31"/>
    <w:bookmarkStart w:id="35" w:name="fig:wind_bivariate_sunset"/>
    <w:p>
      <w:pPr>
        <w:pStyle w:val="CaptionedFigure"/>
      </w:pPr>
      <w:r>
        <w:drawing>
          <wp:inline>
            <wp:extent cx="4267200" cy="3657600"/>
            <wp:effectExtent b="0" l="0" r="0" t="0"/>
            <wp:docPr descr="" title="" id="33" name="Picture"/>
            <a:graphic>
              <a:graphicData uri="http://schemas.openxmlformats.org/drawingml/2006/picture">
                <pic:pic>
                  <pic:nvPicPr>
                    <pic:cNvPr descr="supplemental/results/sunset/figures/wind_vs_change_bivariate_untransformed.png" id="34" name="Picture"/>
                    <pic:cNvPicPr>
                      <a:picLocks noChangeArrowheads="1" noChangeAspect="1"/>
                    </pic:cNvPicPr>
                  </pic:nvPicPr>
                  <pic:blipFill>
                    <a:blip r:embed="rId32"/>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Relationship between maximum wind speed and day-to-day cluster size changes from maximum count to next sunset. Each point represents consecutive day pairs at the same deployment (n = 96). The red dashed line indicates the 2 m/s threshold. All 96 observations experienced winds exceeding this threshold (r = 0.13).</w:t>
      </w:r>
    </w:p>
    <w:bookmarkEnd w:id="35"/>
    <w:bookmarkEnd w:id="36"/>
    <w:bookmarkStart w:id="64" w:name="wind-disruption-analysis"/>
    <w:p>
      <w:pPr>
        <w:pStyle w:val="Heading2"/>
      </w:pPr>
      <w:r>
        <w:t xml:space="preserve">Wind Disruption Analysis</w:t>
      </w:r>
    </w:p>
    <w:p>
      <w:pPr>
        <w:pStyle w:val="FirstParagraph"/>
      </w:pPr>
      <w:r>
        <w:t xml:space="preserve">To examine how monarchs respond to immediate environmental conditions, we analyzed 1,894 paired observations collected at 30-minute intervals throughout the overwintering season. This responsive change analysis tested whether short-term fluctuations in cluster size could be explained by concurrent weather variables, particularly wind exposure.</w:t>
      </w:r>
    </w:p>
    <w:bookmarkStart w:id="37" w:name="model-selection"/>
    <w:p>
      <w:pPr>
        <w:pStyle w:val="Heading3"/>
      </w:pPr>
      <w:r>
        <w:t xml:space="preserve">Model Selection</w:t>
      </w:r>
    </w:p>
    <w:p>
      <w:pPr>
        <w:pStyle w:val="FirstParagraph"/>
      </w:pPr>
      <w:r>
        <w:t xml:space="preserve">We evaluated 52 candidate models using generalized additive mixed models (GAMMs) to identify the environmental predictors of monarch abundance changes. Model selection via Akaike Information Criterion (AIC) identified M50 as the decisively best-fit model, capturing 85.8% of the total model weight (Table </w:t>
      </w:r>
      <w:hyperlink w:anchor="tab:export-model-selection-table">
        <w:r>
          <w:rPr>
            <w:rStyle w:val="Hyperlink"/>
          </w:rPr>
          <w:t xml:space="preserve">[tab:export-model-selection-table]</w:t>
        </w:r>
      </w:hyperlink>
      <w:r>
        <w:t xml:space="preserve">). The next best model (M23) showed substantially weaker support with</w:t>
      </w:r>
      <w:r>
        <w:t xml:space="preserve"> </w:t>
      </w:r>
      <m:oMath>
        <m:r>
          <m:rPr>
            <m:sty m:val="p"/>
          </m:rPr>
          <m:t>Δ</m:t>
        </m:r>
      </m:oMath>
      <w:r>
        <w:t xml:space="preserve">AIC = 3.8 and only 12.6% model weight. Model M50 incorporated smooth terms for previous butterfly count, temperature, and time since sunrise, along with a tensor interaction between maximum wind speed and butterflies in direct sun.</w:t>
      </w:r>
    </w:p>
    <w:p>
      <w:pPr>
        <w:pStyle w:val="TableCaption"/>
      </w:pPr>
      <w:r>
        <w:t xml:space="preserve">Top 5 models ranked by AIC (30-minute analysis)</w:t>
      </w:r>
    </w:p>
    <w:tbl>
      <w:tblPr>
        <w:tblStyle w:val="Table"/>
        <w:tblW w:type="auto" w:w="0"/>
        <w:tblLook w:firstRow="1" w:lastRow="0" w:firstColumn="0" w:lastColumn="0" w:noHBand="0" w:noVBand="0" w:val="0020"/>
        <w:tblCaption w:val="Top 5 models ranked by AIC (30-minute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M50</w:t>
            </w:r>
          </w:p>
        </w:tc>
        <w:tc>
          <w:tcPr/>
          <w:p>
            <w:pPr>
              <w:pStyle w:val="Compact"/>
              <w:jc w:val="left"/>
            </w:pPr>
            <w:r>
              <w:t xml:space="preserve">Previous butterfly count, Temperature, Time since sunrise, Interaction (tensor): Maximum wind speed, Butterflies in direct sun</w:t>
            </w:r>
          </w:p>
        </w:tc>
        <w:tc>
          <w:tcPr/>
          <w:p>
            <w:pPr>
              <w:pStyle w:val="Compact"/>
              <w:jc w:val="right"/>
            </w:pPr>
            <w:r>
              <w:t xml:space="preserve">8074.03</w:t>
            </w:r>
          </w:p>
        </w:tc>
        <w:tc>
          <w:tcPr/>
          <w:p>
            <w:pPr>
              <w:pStyle w:val="Compact"/>
              <w:jc w:val="right"/>
            </w:pPr>
            <w:r>
              <w:t xml:space="preserve">0.00</w:t>
            </w:r>
          </w:p>
        </w:tc>
        <w:tc>
          <w:tcPr/>
          <w:p>
            <w:pPr>
              <w:pStyle w:val="Compact"/>
              <w:jc w:val="right"/>
            </w:pPr>
            <w:r>
              <w:t xml:space="preserve">0.86</w:t>
            </w:r>
          </w:p>
        </w:tc>
      </w:tr>
      <w:tr>
        <w:tc>
          <w:tcPr/>
          <w:p>
            <w:pPr>
              <w:pStyle w:val="Compact"/>
              <w:jc w:val="left"/>
            </w:pPr>
            <w:r>
              <w:t xml:space="preserve">M23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3.83</w:t>
            </w:r>
          </w:p>
        </w:tc>
        <w:tc>
          <w:tcPr/>
          <w:p>
            <w:pPr>
              <w:pStyle w:val="Compact"/>
              <w:jc w:val="right"/>
            </w:pPr>
            <w:r>
              <w:t xml:space="preserve">0.13</w:t>
            </w:r>
          </w:p>
        </w:tc>
      </w:tr>
      <w:tr>
        <w:tc>
          <w:tcPr/>
          <w:p>
            <w:pPr>
              <w:pStyle w:val="Compact"/>
              <w:jc w:val="left"/>
            </w:pPr>
            <w:r>
              <w:t xml:space="preserve">M22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8.87</w:t>
            </w:r>
          </w:p>
        </w:tc>
        <w:tc>
          <w:tcPr/>
          <w:p>
            <w:pPr>
              <w:pStyle w:val="Compact"/>
              <w:jc w:val="right"/>
            </w:pPr>
            <w:r>
              <w:t xml:space="preserve">0.01</w:t>
            </w:r>
          </w:p>
        </w:tc>
      </w:tr>
      <w:tr>
        <w:tc>
          <w:tcPr/>
          <w:p>
            <w:pPr>
              <w:pStyle w:val="Compact"/>
              <w:jc w:val="left"/>
            </w:pPr>
            <w:r>
              <w:t xml:space="preserve">M24</w:t>
            </w:r>
          </w:p>
        </w:tc>
        <w:tc>
          <w:tcPr/>
          <w:p>
            <w:pPr>
              <w:pStyle w:val="Compact"/>
              <w:jc w:val="left"/>
            </w:pPr>
            <w:r>
              <w:t xml:space="preserve">Previous butterfly count, Maximum wind speed, Temperature, Butterflies in direct sun, Time since sunrise</w:t>
            </w:r>
          </w:p>
        </w:tc>
        <w:tc>
          <w:tcPr/>
          <w:p>
            <w:pPr>
              <w:pStyle w:val="Compact"/>
              <w:jc w:val="right"/>
            </w:pPr>
            <w:r>
              <w:t xml:space="preserve">8084.05</w:t>
            </w:r>
          </w:p>
        </w:tc>
        <w:tc>
          <w:tcPr/>
          <w:p>
            <w:pPr>
              <w:pStyle w:val="Compact"/>
              <w:jc w:val="right"/>
            </w:pPr>
            <w:r>
              <w:t xml:space="preserve">10.02</w:t>
            </w:r>
          </w:p>
        </w:tc>
        <w:tc>
          <w:tcPr/>
          <w:p>
            <w:pPr>
              <w:pStyle w:val="Compact"/>
              <w:jc w:val="right"/>
            </w:pPr>
            <w:r>
              <w:t xml:space="preserve">0.01</w:t>
            </w:r>
          </w:p>
        </w:tc>
      </w:tr>
      <w:tr>
        <w:tc>
          <w:tcPr/>
          <w:p>
            <w:pPr>
              <w:pStyle w:val="Compact"/>
              <w:jc w:val="left"/>
            </w:pPr>
            <w:r>
              <w:t xml:space="preserve">M52</w:t>
            </w:r>
          </w:p>
        </w:tc>
        <w:tc>
          <w:tcPr/>
          <w:p>
            <w:pPr>
              <w:pStyle w:val="Compact"/>
              <w:jc w:val="left"/>
            </w:pPr>
            <w:r>
              <w:t xml:space="preserve">Temperature, Time since sunrise, Interaction (tensor): Maximum wind speed, Butterflies in direct sun</w:t>
            </w:r>
          </w:p>
        </w:tc>
        <w:tc>
          <w:tcPr/>
          <w:p>
            <w:pPr>
              <w:pStyle w:val="Compact"/>
              <w:jc w:val="right"/>
            </w:pPr>
            <w:r>
              <w:t xml:space="preserve">8092.72</w:t>
            </w:r>
          </w:p>
        </w:tc>
        <w:tc>
          <w:tcPr/>
          <w:p>
            <w:pPr>
              <w:pStyle w:val="Compact"/>
              <w:jc w:val="right"/>
            </w:pPr>
            <w:r>
              <w:t xml:space="preserve">18.69</w:t>
            </w:r>
          </w:p>
        </w:tc>
        <w:tc>
          <w:tcPr/>
          <w:p>
            <w:pPr>
              <w:pStyle w:val="Compact"/>
              <w:jc w:val="right"/>
            </w:pPr>
            <w:r>
              <w:t xml:space="preserve">0.00</w:t>
            </w:r>
          </w:p>
        </w:tc>
      </w:tr>
    </w:tbl>
    <w:bookmarkEnd w:id="37"/>
    <w:bookmarkStart w:id="47" w:name="analysis-of-best-fit-model"/>
    <w:p>
      <w:pPr>
        <w:pStyle w:val="Heading3"/>
      </w:pPr>
      <w:r>
        <w:t xml:space="preserve">Analysis of Best Fit Model</w:t>
      </w:r>
    </w:p>
    <w:p>
      <w:pPr>
        <w:pStyle w:val="FirstParagraph"/>
      </w:pPr>
      <w:r>
        <w:t xml:space="preserve">The best-fit model (M50) predicted change in butterfly abundance as a function of: (1) the previous observation’s butterfly count, (2) average temperature, (3) time since sunrise, and (4) an interaction between maximum wind gust speed and the number of butterflies in direct sunlight.</w:t>
      </w:r>
    </w:p>
    <w:p>
      <w:pPr>
        <w:pStyle w:val="BodyText"/>
      </w:pPr>
      <w:r>
        <w:t xml:space="preserve">Statistical analysis of the model revealed significant effects for three of the four predictors (Table </w:t>
      </w:r>
      <w:hyperlink w:anchor="tab:m50_summary">
        <w:r>
          <w:rPr>
            <w:rStyle w:val="Hyperlink"/>
          </w:rPr>
          <w:t xml:space="preserve">1</w:t>
        </w:r>
      </w:hyperlink>
      <w:r>
        <w:t xml:space="preserve">). The previous butterfly count (F = 12.50, p</w:t>
      </w:r>
      <w:r>
        <w:t xml:space="preserve"> </w:t>
      </w:r>
      <m:oMath>
        <m:r>
          <m:rPr>
            <m:sty m:val="p"/>
          </m:rPr>
          <m:t>&lt;</m:t>
        </m:r>
      </m:oMath>
      <w:r>
        <w:t xml:space="preserve"> </w:t>
      </w:r>
      <w:r>
        <w:t xml:space="preserve">0.001), time since sunrise (F = 9.85, p</w:t>
      </w:r>
      <w:r>
        <w:t xml:space="preserve"> </w:t>
      </w:r>
      <m:oMath>
        <m:r>
          <m:rPr>
            <m:sty m:val="p"/>
          </m:rPr>
          <m:t>&lt;</m:t>
        </m:r>
      </m:oMath>
      <w:r>
        <w:t xml:space="preserve"> </w:t>
      </w:r>
      <w:r>
        <w:t xml:space="preserve">0.001), and the wind-sunlight interaction (F = 4.67, p</w:t>
      </w:r>
      <w:r>
        <w:t xml:space="preserve"> </w:t>
      </w:r>
      <m:oMath>
        <m:r>
          <m:rPr>
            <m:sty m:val="p"/>
          </m:rPr>
          <m:t>&lt;</m:t>
        </m:r>
      </m:oMath>
      <w:r>
        <w:t xml:space="preserve"> </w:t>
      </w:r>
      <w:r>
        <w:t xml:space="preserve">0.001) all showed strong statistical significance. Temperature effects approached but did not reach conventional significance thresholds (F = 3.19, p = 0.057). The model explained 6.4% of the variance in butterfly abundance changes (adjusted</w:t>
      </w:r>
      <w:r>
        <w:t xml:space="preserve"> </w:t>
      </w:r>
      <m:oMath>
        <m:sSup>
          <m:e>
            <m:r>
              <m:t>R</m:t>
            </m:r>
          </m:e>
          <m:sup>
            <m:r>
              <m:t>2</m:t>
            </m:r>
          </m:sup>
        </m:sSup>
      </m:oMath>
      <w:r>
        <w:t xml:space="preserve"> </w:t>
      </w:r>
      <w:r>
        <w:t xml:space="preserve">= 0.064, n = 1894).</w:t>
      </w:r>
    </w:p>
    <w:bookmarkStart w:id="38" w:name="tab:m50_summary"/>
    <w:p>
      <w:pPr>
        <w:pStyle w:val="TableCaption"/>
      </w:pPr>
      <w:r>
        <w:t xml:space="preserve">Summary of best-fit model (M50) for predicting changes in butterfly abundance. The model uses cube-root transformed butterfly count differences as the response variable.</w:t>
      </w:r>
    </w:p>
    <w:tbl>
      <w:tblPr>
        <w:tblStyle w:val="Table"/>
        <w:tblW w:type="auto" w:w="0"/>
        <w:tblLook w:firstRow="1" w:lastRow="0" w:firstColumn="0" w:lastColumn="0" w:noHBand="0" w:noVBand="0" w:val="0020"/>
        <w:tblCaption w:val="Summary of best-fit model (M50) for predicting changes in butterfly abundance. The model uses cube-root transformed butterfly count differences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butterfly count</w:t>
            </w:r>
          </w:p>
        </w:tc>
        <w:tc>
          <w:tcPr/>
          <w:p>
            <w:pPr>
              <w:pStyle w:val="Compact"/>
              <w:jc w:val="center"/>
            </w:pPr>
            <w:r>
              <w:t xml:space="preserve">2.41</w:t>
            </w:r>
          </w:p>
        </w:tc>
        <w:tc>
          <w:tcPr/>
          <w:p>
            <w:pPr>
              <w:pStyle w:val="Compact"/>
              <w:jc w:val="center"/>
            </w:pPr>
            <w:r>
              <w:t xml:space="preserve">2.41</w:t>
            </w:r>
          </w:p>
        </w:tc>
        <w:tc>
          <w:tcPr/>
          <w:p>
            <w:pPr>
              <w:pStyle w:val="Compact"/>
              <w:jc w:val="center"/>
            </w:pPr>
            <w:r>
              <w:t xml:space="preserve">12.50</w:t>
            </w:r>
          </w:p>
        </w:tc>
        <w:tc>
          <w:tcPr/>
          <w:p>
            <w:pPr>
              <w:pStyle w:val="Compact"/>
              <w:jc w:val="center"/>
            </w:pPr>
            <m:oMath>
              <m:r>
                <m:rPr>
                  <m:sty m:val="p"/>
                </m:rPr>
                <m:t>&lt;</m:t>
              </m:r>
            </m:oMath>
            <w:r>
              <w:t xml:space="preserve"> </w:t>
            </w:r>
            <w:r>
              <w:t xml:space="preserve">0.001***</w:t>
            </w:r>
          </w:p>
        </w:tc>
      </w:tr>
      <w:tr>
        <w:tc>
          <w:tcPr/>
          <w:p>
            <w:pPr>
              <w:pStyle w:val="Compact"/>
              <w:jc w:val="left"/>
            </w:pPr>
            <w:r>
              <w:t xml:space="preserve">Average temperature</w:t>
            </w:r>
          </w:p>
        </w:tc>
        <w:tc>
          <w:tcPr/>
          <w:p>
            <w:pPr>
              <w:pStyle w:val="Compact"/>
              <w:jc w:val="center"/>
            </w:pPr>
            <w:r>
              <w:t xml:space="preserve">3.68</w:t>
            </w:r>
          </w:p>
        </w:tc>
        <w:tc>
          <w:tcPr/>
          <w:p>
            <w:pPr>
              <w:pStyle w:val="Compact"/>
              <w:jc w:val="center"/>
            </w:pPr>
            <w:r>
              <w:t xml:space="preserve">3.68</w:t>
            </w:r>
          </w:p>
        </w:tc>
        <w:tc>
          <w:tcPr/>
          <w:p>
            <w:pPr>
              <w:pStyle w:val="Compact"/>
              <w:jc w:val="center"/>
            </w:pPr>
            <w:r>
              <w:t xml:space="preserve">3.19</w:t>
            </w:r>
          </w:p>
        </w:tc>
        <w:tc>
          <w:tcPr/>
          <w:p>
            <w:pPr>
              <w:pStyle w:val="Compact"/>
              <w:jc w:val="center"/>
            </w:pPr>
            <w:r>
              <w:t xml:space="preserve">0.057</w:t>
            </w:r>
          </w:p>
        </w:tc>
      </w:tr>
      <w:tr>
        <w:tc>
          <w:tcPr/>
          <w:p>
            <w:pPr>
              <w:pStyle w:val="Compact"/>
              <w:jc w:val="left"/>
            </w:pPr>
            <w:r>
              <w:t xml:space="preserve">Time since sunrise</w:t>
            </w:r>
          </w:p>
        </w:tc>
        <w:tc>
          <w:tcPr/>
          <w:p>
            <w:pPr>
              <w:pStyle w:val="Compact"/>
              <w:jc w:val="center"/>
            </w:pPr>
            <w:r>
              <w:t xml:space="preserve">4.87</w:t>
            </w:r>
          </w:p>
        </w:tc>
        <w:tc>
          <w:tcPr/>
          <w:p>
            <w:pPr>
              <w:pStyle w:val="Compact"/>
              <w:jc w:val="center"/>
            </w:pPr>
            <w:r>
              <w:t xml:space="preserve">4.87</w:t>
            </w:r>
          </w:p>
        </w:tc>
        <w:tc>
          <w:tcPr/>
          <w:p>
            <w:pPr>
              <w:pStyle w:val="Compact"/>
              <w:jc w:val="center"/>
            </w:pPr>
            <w:r>
              <w:t xml:space="preserve">9.85</w:t>
            </w:r>
          </w:p>
        </w:tc>
        <w:tc>
          <w:tcPr/>
          <w:p>
            <w:pPr>
              <w:pStyle w:val="Compact"/>
              <w:jc w:val="center"/>
            </w:pPr>
            <m:oMath>
              <m:r>
                <m:rPr>
                  <m:sty m:val="p"/>
                </m:rPr>
                <m:t>&lt;</m:t>
              </m:r>
            </m:oMath>
            <w:r>
              <w:t xml:space="preserve"> </w:t>
            </w:r>
            <w:r>
              <w:t xml:space="preserve">0.001***</w:t>
            </w:r>
          </w:p>
        </w:tc>
      </w:tr>
      <w:tr>
        <w:tc>
          <w:tcPr/>
          <w:p>
            <w:pPr>
              <w:pStyle w:val="Compact"/>
              <w:jc w:val="left"/>
            </w:pPr>
            <w:r>
              <w:t xml:space="preserve">Wind gust × Sunlight exposure</w:t>
            </w:r>
          </w:p>
        </w:tc>
        <w:tc>
          <w:tcPr/>
          <w:p>
            <w:pPr>
              <w:pStyle w:val="Compact"/>
              <w:jc w:val="center"/>
            </w:pPr>
            <w:r>
              <w:t xml:space="preserve">7.35</w:t>
            </w:r>
          </w:p>
        </w:tc>
        <w:tc>
          <w:tcPr/>
          <w:p>
            <w:pPr>
              <w:pStyle w:val="Compact"/>
              <w:jc w:val="center"/>
            </w:pPr>
            <w:r>
              <w:t xml:space="preserve">7.35</w:t>
            </w:r>
          </w:p>
        </w:tc>
        <w:tc>
          <w:tcPr/>
          <w:p>
            <w:pPr>
              <w:pStyle w:val="Compact"/>
              <w:jc w:val="center"/>
            </w:pPr>
            <w:r>
              <w:t xml:space="preserve">4.67</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0.064, Scale est. = 4.03, n = 1894</w:t>
            </w:r>
          </w:p>
        </w:tc>
      </w:tr>
    </w:tbl>
    <w:bookmarkEnd w:id="38"/>
    <w:p>
      <w:pPr>
        <w:pStyle w:val="BodyText"/>
      </w:pPr>
      <w:r>
        <w:t xml:space="preserve">Partial effects for the smooth terms are shown in Figure </w:t>
      </w:r>
      <w:hyperlink w:anchor="fig:partial_effects_30min">
        <w:r>
          <w:rPr>
            <w:rStyle w:val="Hyperlink"/>
          </w:rPr>
          <w:t xml:space="preserve">3</w:t>
        </w:r>
      </w:hyperlink>
      <w:r>
        <w:t xml:space="preserve">. The previous butterfly count showed a significant non-linear negative relationship (p &lt; 0.001) consistent with proportionally greater departures from larger aggregations. Time since sunrise captured a significant diurnal pattern (p &lt; 0.001) with morning departures and afternoon returns. Temperature showed a marginally non-significant trend (p = 0.057) suggesting possible effects near the 12.7–16°C flight threshold range.</w:t>
      </w:r>
    </w:p>
    <w:bookmarkStart w:id="42" w:name="fig:partial_effects_30min"/>
    <w:p>
      <w:pPr>
        <w:pStyle w:val="CaptionedFigure"/>
      </w:pPr>
      <w:r>
        <w:drawing>
          <wp:inline>
            <wp:extent cx="5334000" cy="1752600"/>
            <wp:effectExtent b="0" l="0" r="0" t="0"/>
            <wp:docPr descr="" title="" id="40" name="Picture"/>
            <a:graphic>
              <a:graphicData uri="http://schemas.openxmlformats.org/drawingml/2006/picture">
                <pic:pic>
                  <pic:nvPicPr>
                    <pic:cNvPr descr="supplemental/results/30_min/figures/partial_effects_best_1x3.png" id="41" name="Picture"/>
                    <pic:cNvPicPr>
                      <a:picLocks noChangeArrowheads="1" noChangeAspect="1"/>
                    </pic:cNvPicPr>
                  </pic:nvPicPr>
                  <pic:blipFill>
                    <a:blip r:embed="rId39"/>
                    <a:stretch>
                      <a:fillRect/>
                    </a:stretch>
                  </pic:blipFill>
                  <pic:spPr bwMode="auto">
                    <a:xfrm>
                      <a:off x="0" y="0"/>
                      <a:ext cx="5334000" cy="1752600"/>
                    </a:xfrm>
                    <a:prstGeom prst="rect">
                      <a:avLst/>
                    </a:prstGeom>
                    <a:noFill/>
                    <a:ln w="9525">
                      <a:noFill/>
                      <a:headEnd/>
                      <a:tailEnd/>
                    </a:ln>
                  </pic:spPr>
                </pic:pic>
              </a:graphicData>
            </a:graphic>
          </wp:inline>
        </w:drawing>
      </w:r>
    </w:p>
    <w:p>
      <w:pPr>
        <w:pStyle w:val="ImageCaption"/>
      </w:pPr>
      <w:r>
        <w:t xml:space="preserve">Partial effects of environmental predictors on monarch butterfly abundance changes from the best-fit GAMM model (M50). Shaded regions represent 95% confidence intervals.</w:t>
      </w:r>
    </w:p>
    <w:bookmarkEnd w:id="42"/>
    <w:p>
      <w:pPr>
        <w:pStyle w:val="BodyText"/>
      </w:pPr>
      <w:r>
        <w:t xml:space="preserve">The tensor interaction between wind speed and butterflies in direct sun (p &lt; 0.001) revealed a complex conditional relationship where wind effects depended on solar exposure conditions (Figure </w:t>
      </w:r>
      <w:hyperlink w:anchor="fig:interaction_wind_sun">
        <w:r>
          <w:rPr>
            <w:rStyle w:val="Hyperlink"/>
          </w:rPr>
          <w:t xml:space="preserve">4</w:t>
        </w:r>
      </w:hyperlink>
      <w:r>
        <w:t xml:space="preserve">). When butterflies in direct sun were held at zero (all butterflies in indirect light), cluster size changes showed no consistent trend across the observed wind speed range (0-12 m/s). Conversely, when wind was held constant, low numbers of butterflies in direct sun were associated with decreasing cluster sizes, while higher counts led to increasing cluster sizes. At low butterfly counts in direct sun, the wind effect showed distinct patterns: clusters decreased in size at very calm winds (&lt;1 m/s), showed no change from 1-3 m/s, and tended to increase from 4-8 m/s. At moderate wind speeds (1-3 m/s) and high butterfly counts (&gt;100), cluster sizes tended to decrease. However, as wind speeds exceeded 3 m/s at these same butterfly counts, the pattern reversed, with cluster sizes increasing. The red dashed line at 2 m/s indicates the behavioral threshold identified in previous analyses. Gray regions mask areas too distant from observed data points for reliable interpretation, and caution is warranted when interpreting the strongest partial effects at the edges of the data distribution, where observations are sparse and interpolation artifacts may occur. Notably, the overwhelming majority of observations occurred at very low butterfly counts in direct sun, emphasizing that most clustering behavior happens when few butterflies are exposed to direct sunlight.</w:t>
      </w:r>
    </w:p>
    <w:bookmarkStart w:id="46" w:name="fig:interaction_wind_sun"/>
    <w:p>
      <w:pPr>
        <w:pStyle w:val="CaptionedFigure"/>
      </w:pPr>
      <w:r>
        <w:drawing>
          <wp:inline>
            <wp:extent cx="4267200" cy="3657600"/>
            <wp:effectExtent b="0" l="0" r="0" t="0"/>
            <wp:docPr descr="" title="" id="44" name="Picture"/>
            <a:graphic>
              <a:graphicData uri="http://schemas.openxmlformats.org/drawingml/2006/picture">
                <pic:pic>
                  <pic:nvPicPr>
                    <pic:cNvPr descr="supplemental/results/30_min/figures/interaction_wind_x_sun_binned.png" id="45" name="Picture"/>
                    <pic:cNvPicPr>
                      <a:picLocks noChangeArrowheads="1" noChangeAspect="1"/>
                    </pic:cNvPicPr>
                  </pic:nvPicPr>
                  <pic:blipFill>
                    <a:blip r:embed="rId4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speed (m/s) and butterflies in direct sun on cluster size changes. Color gradient indicates partial effect magnitude (red = positive, blue = negative). Black points show observed data distribution. Red dashed line marks the 2 m/s behavioral threshold. Gray regions indicate areas beyond reliable interpolation range.</w:t>
      </w:r>
    </w:p>
    <w:bookmarkEnd w:id="46"/>
    <w:bookmarkEnd w:id="47"/>
    <w:bookmarkStart w:id="57" w:name="model-diagnostics"/>
    <w:p>
      <w:pPr>
        <w:pStyle w:val="Heading3"/>
      </w:pPr>
      <w:r>
        <w:t xml:space="preserve">Model Diagnostics</w:t>
      </w:r>
    </w:p>
    <w:p>
      <w:pPr>
        <w:pStyle w:val="FirstParagraph"/>
      </w:pPr>
      <w:r>
        <w:t xml:space="preserve">Model diagnostic plots confirmed the adequacy of the GAMM specification (Figure </w:t>
      </w:r>
      <w:hyperlink w:anchor="fig:model_diagnostics_30min">
        <w:r>
          <w:rPr>
            <w:rStyle w:val="Hyperlink"/>
          </w:rPr>
          <w:t xml:space="preserve">5</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large sample size and complexity of ecological data.</w:t>
      </w:r>
    </w:p>
    <w:bookmarkStart w:id="51" w:name="fig:model_diagnostics_30min"/>
    <w:p>
      <w:pPr>
        <w:pStyle w:val="CaptionedFigure"/>
      </w:pPr>
      <w:r>
        <w:drawing>
          <wp:inline>
            <wp:extent cx="4800600" cy="2000250"/>
            <wp:effectExtent b="0" l="0" r="0" t="0"/>
            <wp:docPr descr="" title="" id="49" name="Picture"/>
            <a:graphic>
              <a:graphicData uri="http://schemas.openxmlformats.org/drawingml/2006/picture">
                <pic:pic>
                  <pic:nvPicPr>
                    <pic:cNvPr descr="supplemental/results/30_min/figures/diag_qq_and_residuals_1x2.png" id="50" name="Picture"/>
                    <pic:cNvPicPr>
                      <a:picLocks noChangeArrowheads="1" noChangeAspect="1"/>
                    </pic:cNvPicPr>
                  </pic:nvPicPr>
                  <pic:blipFill>
                    <a:blip r:embed="rId4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(M50). Left panel shows quantile-quantile plot comparing model residuals to theoretical normal distribution. Right panel displays residuals versus fitted values to assess homoscedasticity and model adequacy.</w:t>
      </w:r>
    </w:p>
    <w:bookmarkEnd w:id="51"/>
    <w:p>
      <w:pPr>
        <w:pStyle w:val="BodyText"/>
      </w:pPr>
      <w:r>
        <w:t xml:space="preserve">Basis dimension checks confirmed adequate smoothing parameter selection for all model terms (Table </w:t>
      </w:r>
      <w:hyperlink w:anchor="tab:gam_basis_check">
        <w:r>
          <w:rPr>
            <w:rStyle w:val="Hyperlink"/>
          </w:rPr>
          <w:t xml:space="preserve">2</w:t>
        </w:r>
      </w:hyperlink>
      <w:r>
        <w:t xml:space="preserve">). All smooth functions showed k-index values near 1.0, indicating sufficient basis dimensions to capture the underlying functional forms. None of the smooth terms showed evidence of undersmoothing (all p-values &gt; 0.05), with the possible exception of time within day which showed marginal evidence (k-index = 0.96, p = 0.065). These diagnostics confirm that the chosen basis dimensions adequately represent the complexity of the smooth relationships without overfitting.</w:t>
      </w:r>
    </w:p>
    <w:bookmarkStart w:id="52" w:name="tab:gam_basis_check"/>
    <w:p>
      <w:pPr>
        <w:pStyle w:val="TableCaption"/>
      </w:pPr>
      <w:r>
        <w:t xml:space="preserve">Basis dimension adequacy checks for smooth terms in best-fit GAMM model (M50). Low p-values (k-index &lt; 1) may indicate insufficient basis dimensions, particularly when edf approaches k’.</w:t>
      </w:r>
    </w:p>
    <w:tbl>
      <w:tblPr>
        <w:tblStyle w:val="Table"/>
        <w:tblW w:type="auto" w:w="0"/>
        <w:tblLook w:firstRow="1" w:lastRow="0" w:firstColumn="0" w:lastColumn="0" w:noHBand="0" w:noVBand="0" w:val="0020"/>
        <w:tblCaption w:val="Basis dimension adequacy checks for smooth terms in best-fit GAMM model (M50). Low p-values (k-index &lt; 1) may indicate insufficient basis dimensions, particularly when edf approaches k’."/>
      </w:tblPr>
      <w:tblGrid>
        <w:gridCol w:w="1584"/>
        <w:gridCol w:w="1584"/>
        <w:gridCol w:w="1584"/>
        <w:gridCol w:w="1584"/>
        <w:gridCol w:w="1584"/>
      </w:tblGrid>
      <w:tr>
        <w:trPr>
          <w:tblHeader w:val="on"/>
        </w:trPr>
        <w:tc>
          <w:tcPr/>
          <w:p>
            <w:pPr>
              <w:pStyle w:val="Compact"/>
              <w:jc w:val="left"/>
            </w:pPr>
            <w:r>
              <w:t xml:space="preserve">Smooth Term</w:t>
            </w:r>
          </w:p>
        </w:tc>
        <w:tc>
          <w:tcPr/>
          <w:p>
            <w:pPr>
              <w:pStyle w:val="Compact"/>
              <w:jc w:val="right"/>
            </w:pPr>
            <w:r>
              <w:t xml:space="preserve">k’</w:t>
            </w:r>
          </w:p>
        </w:tc>
        <w:tc>
          <w:tcPr/>
          <w:p>
            <w:pPr>
              <w:pStyle w:val="Compact"/>
              <w:jc w:val="right"/>
            </w:pPr>
            <w:r>
              <w:t xml:space="preserve">edf</w:t>
            </w:r>
          </w:p>
        </w:tc>
        <w:tc>
          <w:tcPr/>
          <w:p>
            <w:pPr>
              <w:pStyle w:val="Compact"/>
              <w:jc w:val="right"/>
            </w:pPr>
            <w:r>
              <w:t xml:space="preserve">k-index</w:t>
            </w:r>
          </w:p>
        </w:tc>
        <w:tc>
          <w:tcPr/>
          <w:p>
            <w:pPr>
              <w:pStyle w:val="Compact"/>
              <w:jc w:val="center"/>
            </w:pPr>
            <w:r>
              <w:t xml:space="preserve">p-value</w:t>
            </w:r>
          </w:p>
        </w:tc>
      </w:tr>
      <w:tr>
        <w:tc>
          <w:tcPr/>
          <w:p>
            <w:pPr>
              <w:pStyle w:val="Compact"/>
              <w:jc w:val="left"/>
            </w:pPr>
            <w:r>
              <w:t xml:space="preserve">s(total butterflies</w:t>
            </w:r>
            <w:r>
              <w:t xml:space="preserve"> </w:t>
            </w:r>
            <m:oMath>
              <m:sSub>
                <m:e>
                  <m:r>
                    <m:t>t</m:t>
                  </m:r>
                </m:e>
                <m:sub>
                  <m:r>
                    <m:t>l</m:t>
                  </m:r>
                  <m:r>
                    <m:t>a</m:t>
                  </m:r>
                  <m:r>
                    <m:t>g</m:t>
                  </m:r>
                </m:sub>
              </m:sSub>
            </m:oMath>
            <w:r>
              <w:t xml:space="preserve">)</w:t>
            </w:r>
          </w:p>
        </w:tc>
        <w:tc>
          <w:tcPr/>
          <w:p>
            <w:pPr>
              <w:pStyle w:val="Compact"/>
              <w:jc w:val="right"/>
            </w:pPr>
            <w:r>
              <w:t xml:space="preserve">9.00</w:t>
            </w:r>
          </w:p>
        </w:tc>
        <w:tc>
          <w:tcPr/>
          <w:p>
            <w:pPr>
              <w:pStyle w:val="Compact"/>
              <w:jc w:val="right"/>
            </w:pPr>
            <w:r>
              <w:t xml:space="preserve">2.41</w:t>
            </w:r>
          </w:p>
        </w:tc>
        <w:tc>
          <w:tcPr/>
          <w:p>
            <w:pPr>
              <w:pStyle w:val="Compact"/>
              <w:jc w:val="right"/>
            </w:pPr>
            <w:r>
              <w:t xml:space="preserve">1.00</w:t>
            </w:r>
          </w:p>
        </w:tc>
        <w:tc>
          <w:tcPr/>
          <w:p>
            <w:pPr>
              <w:pStyle w:val="Compact"/>
              <w:jc w:val="center"/>
            </w:pPr>
            <w:r>
              <w:t xml:space="preserve">0.735</w:t>
            </w:r>
          </w:p>
        </w:tc>
      </w:tr>
      <w:tr>
        <w:tc>
          <w:tcPr/>
          <w:p>
            <w:pPr>
              <w:pStyle w:val="Compact"/>
              <w:jc w:val="left"/>
            </w:pPr>
            <w:r>
              <w:t xml:space="preserve">s(temperature avg)</w:t>
            </w:r>
          </w:p>
        </w:tc>
        <w:tc>
          <w:tcPr/>
          <w:p>
            <w:pPr>
              <w:pStyle w:val="Compact"/>
              <w:jc w:val="right"/>
            </w:pPr>
            <w:r>
              <w:t xml:space="preserve">9.00</w:t>
            </w:r>
          </w:p>
        </w:tc>
        <w:tc>
          <w:tcPr/>
          <w:p>
            <w:pPr>
              <w:pStyle w:val="Compact"/>
              <w:jc w:val="right"/>
            </w:pPr>
            <w:r>
              <w:t xml:space="preserve">3.67</w:t>
            </w:r>
          </w:p>
        </w:tc>
        <w:tc>
          <w:tcPr/>
          <w:p>
            <w:pPr>
              <w:pStyle w:val="Compact"/>
              <w:jc w:val="right"/>
            </w:pPr>
            <w:r>
              <w:t xml:space="preserve">1.02</w:t>
            </w:r>
          </w:p>
        </w:tc>
        <w:tc>
          <w:tcPr/>
          <w:p>
            <w:pPr>
              <w:pStyle w:val="Compact"/>
              <w:jc w:val="center"/>
            </w:pPr>
            <w:r>
              <w:t xml:space="preserve">0.895</w:t>
            </w:r>
          </w:p>
        </w:tc>
      </w:tr>
      <w:tr>
        <w:tc>
          <w:tcPr/>
          <w:p>
            <w:pPr>
              <w:pStyle w:val="Compact"/>
              <w:jc w:val="left"/>
            </w:pPr>
            <w:r>
              <w:t xml:space="preserve">s(time within day</w:t>
            </w:r>
            <w:r>
              <w:t xml:space="preserve"> </w:t>
            </w:r>
            <m:oMath>
              <m:r>
                <m:t>t</m:t>
              </m:r>
            </m:oMath>
            <w:r>
              <w:t xml:space="preserve">)</w:t>
            </w:r>
          </w:p>
        </w:tc>
        <w:tc>
          <w:tcPr/>
          <w:p>
            <w:pPr>
              <w:pStyle w:val="Compact"/>
              <w:jc w:val="right"/>
            </w:pPr>
            <w:r>
              <w:t xml:space="preserve">9.00</w:t>
            </w:r>
          </w:p>
        </w:tc>
        <w:tc>
          <w:tcPr/>
          <w:p>
            <w:pPr>
              <w:pStyle w:val="Compact"/>
              <w:jc w:val="right"/>
            </w:pPr>
            <w:r>
              <w:t xml:space="preserve">4.87</w:t>
            </w:r>
          </w:p>
        </w:tc>
        <w:tc>
          <w:tcPr/>
          <w:p>
            <w:pPr>
              <w:pStyle w:val="Compact"/>
              <w:jc w:val="right"/>
            </w:pPr>
            <w:r>
              <w:t xml:space="preserve">0.96</w:t>
            </w:r>
          </w:p>
        </w:tc>
        <w:tc>
          <w:tcPr/>
          <w:p>
            <w:pPr>
              <w:pStyle w:val="Compact"/>
              <w:jc w:val="center"/>
            </w:pPr>
            <w:r>
              <w:t xml:space="preserve">0.065</w:t>
            </w:r>
          </w:p>
        </w:tc>
      </w:tr>
      <w:tr>
        <w:tc>
          <w:tcPr/>
          <w:p>
            <w:pPr>
              <w:pStyle w:val="Compact"/>
              <w:jc w:val="left"/>
            </w:pPr>
            <w:r>
              <w:t xml:space="preserve">ti(max gust, butterflies direct sun</w:t>
            </w:r>
            <w:r>
              <w:t xml:space="preserve"> </w:t>
            </w:r>
            <m:oMath>
              <m:sSub>
                <m:e>
                  <m:r>
                    <m:t>t</m:t>
                  </m:r>
                </m:e>
                <m:sub>
                  <m:r>
                    <m:t>l</m:t>
                  </m:r>
                  <m:r>
                    <m:t>a</m:t>
                  </m:r>
                  <m:r>
                    <m:t>g</m:t>
                  </m:r>
                </m:sub>
              </m:sSub>
            </m:oMath>
            <w:r>
              <w:t xml:space="preserve">)</w:t>
            </w:r>
          </w:p>
        </w:tc>
        <w:tc>
          <w:tcPr/>
          <w:p>
            <w:pPr>
              <w:pStyle w:val="Compact"/>
              <w:jc w:val="right"/>
            </w:pPr>
            <w:r>
              <w:t xml:space="preserve">16.00</w:t>
            </w:r>
          </w:p>
        </w:tc>
        <w:tc>
          <w:tcPr/>
          <w:p>
            <w:pPr>
              <w:pStyle w:val="Compact"/>
              <w:jc w:val="right"/>
            </w:pPr>
            <w:r>
              <w:t xml:space="preserve">7.35</w:t>
            </w:r>
          </w:p>
        </w:tc>
        <w:tc>
          <w:tcPr/>
          <w:p>
            <w:pPr>
              <w:pStyle w:val="Compact"/>
              <w:jc w:val="right"/>
            </w:pPr>
            <w:r>
              <w:t xml:space="preserve">0.99</w:t>
            </w:r>
          </w:p>
        </w:tc>
        <w:tc>
          <w:tcPr/>
          <w:p>
            <w:pPr>
              <w:pStyle w:val="Compact"/>
              <w:jc w:val="center"/>
            </w:pPr>
            <w:r>
              <w:t xml:space="preserve">0.490</w:t>
            </w:r>
          </w:p>
        </w:tc>
      </w:tr>
    </w:tbl>
    <w:bookmarkEnd w:id="52"/>
    <w:p>
      <w:pPr>
        <w:pStyle w:val="BodyText"/>
      </w:pPr>
      <w:r>
        <w:t xml:space="preserve">Temporal autocorrelation analysis revealed minimal residual correlation structure after accounting for the AR(1) correlation within deployment days (Figure </w:t>
      </w:r>
      <w:hyperlink w:anchor="fig:acf_diagnostics">
        <w:r>
          <w:rPr>
            <w:rStyle w:val="Hyperlink"/>
          </w:rPr>
          <w:t xml:space="preserve">6</w:t>
        </w:r>
      </w:hyperlink>
      <w:r>
        <w:t xml:space="preserve">). The autocorrelation function showed rapid decay with all lags beyond lag 1 falling within the significance bounds, confirming that the model adequately captured temporal dependencies in the data. This indicates that our mixed-effects structure with autoregressive errors appropriately addressed the repeated measures nature of the time-series observations.</w:t>
      </w:r>
    </w:p>
    <w:bookmarkStart w:id="56" w:name="fig:acf_diagnostics"/>
    <w:p>
      <w:pPr>
        <w:pStyle w:val="CaptionedFigure"/>
      </w:pPr>
      <w:r>
        <w:drawing>
          <wp:inline>
            <wp:extent cx="4267200" cy="2844800"/>
            <wp:effectExtent b="0" l="0" r="0" t="0"/>
            <wp:docPr descr="" title="" id="54" name="Picture"/>
            <a:graphic>
              <a:graphicData uri="http://schemas.openxmlformats.org/drawingml/2006/picture">
                <pic:pic>
                  <pic:nvPicPr>
                    <pic:cNvPr descr="supplemental/results/30_min/figures/diag_acf.png" id="55" name="Picture"/>
                    <pic:cNvPicPr>
                      <a:picLocks noChangeArrowheads="1" noChangeAspect="1"/>
                    </pic:cNvPicPr>
                  </pic:nvPicPr>
                  <pic:blipFill>
                    <a:blip r:embed="rId53"/>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56"/>
    <w:bookmarkEnd w:id="57"/>
    <w:bookmarkStart w:id="63" w:name="sensitivity-analysis"/>
    <w:p>
      <w:pPr>
        <w:pStyle w:val="Heading3"/>
      </w:pPr>
      <w:r>
        <w:t xml:space="preserve">Sensitivity Analysis</w:t>
      </w:r>
    </w:p>
    <w:p>
      <w:pPr>
        <w:pStyle w:val="FirstParagraph"/>
      </w:pPr>
      <w:r>
        <w:t xml:space="preserve">To test the hypothesis that wind acts as a binary disruption threshold rather than a continuous variable, we repeated the entire analysis using minutes above 2 m/s as the wind predictor. This threshold-based approach directly tests our second hypothesis that wind becomes disruptive above the 2 m/s threshold, which, if it represents a meaningful biological boundary, should predict declining monarch abundance at roosts experiencing sustained winds exceeding this threshold. The best threshold model (T50) maintained the same structure as our primary analysis but showed notably weaker performance (Table </w:t>
      </w:r>
      <w:hyperlink w:anchor="tab:threshold_model_selection">
        <w:r>
          <w:rPr>
            <w:rStyle w:val="Hyperlink"/>
          </w:rPr>
          <w:t xml:space="preserve">3</w:t>
        </w:r>
      </w:hyperlink>
      <w:r>
        <w:t xml:space="preserve">).</w:t>
      </w:r>
    </w:p>
    <w:p>
      <w:pPr>
        <w:pStyle w:val="BodyText"/>
      </w:pPr>
      <w:r>
        <w:t xml:space="preserve">While T50 achieved the lowest AIC among threshold models, it failed to decisively outperform simpler alternatives, capturing only 55.4% of model weight compared to 40.4% for the model without any wind term (T23). The negligible difference in AIC (</w:t>
      </w:r>
      <m:oMath>
        <m:r>
          <m:rPr>
            <m:sty m:val="p"/>
          </m:rPr>
          <m:t>Δ</m:t>
        </m:r>
      </m:oMath>
      <w:r>
        <w:t xml:space="preserve">AIC = 0.63) between these models indicates substantial uncertainty about whether the threshold wind variable improves predictions. Despite this weaker overall performance (adjusted</w:t>
      </w:r>
      <w:r>
        <w:t xml:space="preserve"> </w:t>
      </w:r>
      <m:oMath>
        <m:sSup>
          <m:e>
            <m:r>
              <m:t>R</m:t>
            </m:r>
          </m:e>
          <m:sup>
            <m:r>
              <m:t>2</m:t>
            </m:r>
          </m:sup>
        </m:sSup>
      </m:oMath>
      <w:r>
        <w:t xml:space="preserve"> </w:t>
      </w:r>
      <w:r>
        <w:t xml:space="preserve">= 0.061 compared to 0.064 in the primary analysis), the interaction term between minutes above threshold and butterflies in direct sun achieved statistical significance (p = 0.0001), and notably, T50 was the only model among the top five candidates to include any wind parameters. This suggests that while the threshold approach may not optimally characterize wind effects, the interaction with solar exposure warrants examination.</w:t>
      </w:r>
    </w:p>
    <w:bookmarkStart w:id="58" w:name="tab:threshold_model_selection"/>
    <w:p>
      <w:pPr>
        <w:pStyle w:val="TableCaption"/>
      </w:pPr>
      <w:r>
        <w:t xml:space="preserve">Top 5 models ranked by AIC (30-minute threshold analysis)</w:t>
      </w:r>
    </w:p>
    <w:tbl>
      <w:tblPr>
        <w:tblStyle w:val="Table"/>
        <w:tblW w:type="auto" w:w="0"/>
        <w:tblLook w:firstRow="1" w:lastRow="0" w:firstColumn="0" w:lastColumn="0" w:noHBand="0" w:noVBand="0" w:val="0020"/>
        <w:tblCaption w:val="Top 5 models ranked by AIC (30-minute threshold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r>
      <w:tr>
        <w:tc>
          <w:tcPr/>
          <w:p>
            <w:pPr>
              <w:pStyle w:val="Compact"/>
              <w:jc w:val="left"/>
            </w:pPr>
            <w:r>
              <w:t xml:space="preserve">T50</w:t>
            </w:r>
          </w:p>
        </w:tc>
        <w:tc>
          <w:tcPr/>
          <w:p>
            <w:pPr>
              <w:pStyle w:val="Compact"/>
              <w:jc w:val="left"/>
            </w:pPr>
            <w:r>
              <w:t xml:space="preserve">Previous butterfly count, Temperature, Time since sunrise, Interaction (tensor): Minutes above 2 m/s, Butterflies in direct sun</w:t>
            </w:r>
          </w:p>
        </w:tc>
        <w:tc>
          <w:tcPr/>
          <w:p>
            <w:pPr>
              <w:pStyle w:val="Compact"/>
              <w:jc w:val="right"/>
            </w:pPr>
            <w:r>
              <w:t xml:space="preserve">8077.23</w:t>
            </w:r>
          </w:p>
        </w:tc>
        <w:tc>
          <w:tcPr/>
          <w:p>
            <w:pPr>
              <w:pStyle w:val="Compact"/>
              <w:jc w:val="right"/>
            </w:pPr>
            <w:r>
              <w:t xml:space="preserve">0.00</w:t>
            </w:r>
          </w:p>
        </w:tc>
        <w:tc>
          <w:tcPr/>
          <w:p>
            <w:pPr>
              <w:pStyle w:val="Compact"/>
              <w:jc w:val="right"/>
            </w:pPr>
            <w:r>
              <w:t xml:space="preserve">0.55</w:t>
            </w:r>
          </w:p>
        </w:tc>
      </w:tr>
      <w:tr>
        <w:tc>
          <w:tcPr/>
          <w:p>
            <w:pPr>
              <w:pStyle w:val="Compact"/>
              <w:jc w:val="left"/>
            </w:pPr>
            <w:r>
              <w:t xml:space="preserve">T23</w:t>
            </w:r>
          </w:p>
        </w:tc>
        <w:tc>
          <w:tcPr/>
          <w:p>
            <w:pPr>
              <w:pStyle w:val="Compact"/>
              <w:jc w:val="left"/>
            </w:pPr>
            <w:r>
              <w:t xml:space="preserve">Previous butterfly count, Temperature, Butterflies in direct sun, Time since sunrise</w:t>
            </w:r>
          </w:p>
        </w:tc>
        <w:tc>
          <w:tcPr/>
          <w:p>
            <w:pPr>
              <w:pStyle w:val="Compact"/>
              <w:jc w:val="right"/>
            </w:pPr>
            <w:r>
              <w:t xml:space="preserve">8077.86</w:t>
            </w:r>
          </w:p>
        </w:tc>
        <w:tc>
          <w:tcPr/>
          <w:p>
            <w:pPr>
              <w:pStyle w:val="Compact"/>
              <w:jc w:val="right"/>
            </w:pPr>
            <w:r>
              <w:t xml:space="preserve">0.63</w:t>
            </w:r>
          </w:p>
        </w:tc>
        <w:tc>
          <w:tcPr/>
          <w:p>
            <w:pPr>
              <w:pStyle w:val="Compact"/>
              <w:jc w:val="right"/>
            </w:pPr>
            <w:r>
              <w:t xml:space="preserve">0.40</w:t>
            </w:r>
          </w:p>
        </w:tc>
      </w:tr>
      <w:tr>
        <w:tc>
          <w:tcPr/>
          <w:p>
            <w:pPr>
              <w:pStyle w:val="Compact"/>
              <w:jc w:val="left"/>
            </w:pPr>
            <w:r>
              <w:t xml:space="preserve">T22</w:t>
            </w:r>
          </w:p>
        </w:tc>
        <w:tc>
          <w:tcPr/>
          <w:p>
            <w:pPr>
              <w:pStyle w:val="Compact"/>
              <w:jc w:val="left"/>
            </w:pPr>
            <w:r>
              <w:t xml:space="preserve">Previous butterfly count, Temperature (linear), Butterflies in direct sun, Time since sunrise</w:t>
            </w:r>
          </w:p>
        </w:tc>
        <w:tc>
          <w:tcPr/>
          <w:p>
            <w:pPr>
              <w:pStyle w:val="Compact"/>
              <w:jc w:val="right"/>
            </w:pPr>
            <w:r>
              <w:t xml:space="preserve">8082.90</w:t>
            </w:r>
          </w:p>
        </w:tc>
        <w:tc>
          <w:tcPr/>
          <w:p>
            <w:pPr>
              <w:pStyle w:val="Compact"/>
              <w:jc w:val="right"/>
            </w:pPr>
            <w:r>
              <w:t xml:space="preserve">5.67</w:t>
            </w:r>
          </w:p>
        </w:tc>
        <w:tc>
          <w:tcPr/>
          <w:p>
            <w:pPr>
              <w:pStyle w:val="Compact"/>
              <w:jc w:val="right"/>
            </w:pPr>
            <w:r>
              <w:t xml:space="preserve">0.03</w:t>
            </w:r>
          </w:p>
        </w:tc>
      </w:tr>
      <w:tr>
        <w:tc>
          <w:tcPr/>
          <w:p>
            <w:pPr>
              <w:pStyle w:val="Compact"/>
              <w:jc w:val="left"/>
            </w:pPr>
            <w:r>
              <w:t xml:space="preserve">T24</w:t>
            </w:r>
          </w:p>
        </w:tc>
        <w:tc>
          <w:tcPr/>
          <w:p>
            <w:pPr>
              <w:pStyle w:val="Compact"/>
              <w:jc w:val="left"/>
            </w:pPr>
            <w:r>
              <w:t xml:space="preserve">Previous butterfly count, Minutes above 2 m/s, Temperature, Butterflies in direct sun, Time since sunrise</w:t>
            </w:r>
          </w:p>
        </w:tc>
        <w:tc>
          <w:tcPr/>
          <w:p>
            <w:pPr>
              <w:pStyle w:val="Compact"/>
              <w:jc w:val="right"/>
            </w:pPr>
            <w:r>
              <w:t xml:space="preserve">8085.41</w:t>
            </w:r>
          </w:p>
        </w:tc>
        <w:tc>
          <w:tcPr/>
          <w:p>
            <w:pPr>
              <w:pStyle w:val="Compact"/>
              <w:jc w:val="right"/>
            </w:pPr>
            <w:r>
              <w:t xml:space="preserve">8.18</w:t>
            </w:r>
          </w:p>
        </w:tc>
        <w:tc>
          <w:tcPr/>
          <w:p>
            <w:pPr>
              <w:pStyle w:val="Compact"/>
              <w:jc w:val="right"/>
            </w:pPr>
            <w:r>
              <w:t xml:space="preserve">0.01</w:t>
            </w:r>
          </w:p>
        </w:tc>
      </w:tr>
      <w:tr>
        <w:tc>
          <w:tcPr/>
          <w:p>
            <w:pPr>
              <w:pStyle w:val="Compact"/>
              <w:jc w:val="left"/>
            </w:pPr>
            <w:r>
              <w:t xml:space="preserve">T47</w:t>
            </w:r>
          </w:p>
        </w:tc>
        <w:tc>
          <w:tcPr/>
          <w:p>
            <w:pPr>
              <w:pStyle w:val="Compact"/>
              <w:jc w:val="left"/>
            </w:pPr>
            <w:r>
              <w:t xml:space="preserve">Temperature, Butterflies in direct sun, Time since sunrise</w:t>
            </w:r>
          </w:p>
        </w:tc>
        <w:tc>
          <w:tcPr/>
          <w:p>
            <w:pPr>
              <w:pStyle w:val="Compact"/>
              <w:jc w:val="right"/>
            </w:pPr>
            <w:r>
              <w:t xml:space="preserve">8097.30</w:t>
            </w:r>
          </w:p>
        </w:tc>
        <w:tc>
          <w:tcPr/>
          <w:p>
            <w:pPr>
              <w:pStyle w:val="Compact"/>
              <w:jc w:val="right"/>
            </w:pPr>
            <w:r>
              <w:t xml:space="preserve">20.07</w:t>
            </w:r>
          </w:p>
        </w:tc>
        <w:tc>
          <w:tcPr/>
          <w:p>
            <w:pPr>
              <w:pStyle w:val="Compact"/>
              <w:jc w:val="right"/>
            </w:pPr>
            <w:r>
              <w:t xml:space="preserve">0.00</w:t>
            </w:r>
          </w:p>
        </w:tc>
      </w:tr>
    </w:tbl>
    <w:bookmarkEnd w:id="58"/>
    <w:p>
      <w:pPr>
        <w:pStyle w:val="BodyText"/>
      </w:pPr>
      <w:r>
        <w:t xml:space="preserve">The interaction plot from the threshold analysis reveals complex conditional relationships between wind exposure duration and solar conditions (Figure </w:t>
      </w:r>
      <w:hyperlink w:anchor="fig:threshold_interaction">
        <w:r>
          <w:rPr>
            <w:rStyle w:val="Hyperlink"/>
          </w:rPr>
          <w:t xml:space="preserve">7</w:t>
        </w:r>
      </w:hyperlink>
      <w:r>
        <w:t xml:space="preserve">). When butterflies in direct sun are held at zero (all butterflies in indirect light), cluster size changes show no apparent trend across the entire range of wind exposure duration, from no time above threshold to the full 30-minute observation period. This suggests that wind effects on shaded butterflies are minimal regardless of exposure duration.</w:t>
      </w:r>
    </w:p>
    <w:p>
      <w:pPr>
        <w:pStyle w:val="BodyText"/>
      </w:pPr>
      <w:r>
        <w:t xml:space="preserve">As butterfly counts in direct sun increase, distinct patterns emerge. At moderate counts (25-50 butterflies), cluster sizes tend to decrease when wind exposure extends from 15 to 25 minutes above threshold. However, at the extremes of sustained wind exposure (greater than 25 minutes), cluster sizes tend to increase. When wind exposure is minimal (0-5 minutes above threshold), increasing butterfly counts in sun show no effect on cluster size changes. The strongest effects appear at intermediate wind exposure durations (15-25 minutes) combined with moderate solar exposure levels.</w:t>
      </w:r>
    </w:p>
    <w:p>
      <w:pPr>
        <w:pStyle w:val="BodyText"/>
      </w:pPr>
      <w:r>
        <w:t xml:space="preserve">The same caveats apply regarding sparse data at the extremes and the limits of interpolation, particularly given that most observations occurred at low butterfly counts in direct sun.</w:t>
      </w:r>
    </w:p>
    <w:bookmarkStart w:id="62" w:name="fig:threshold_interaction"/>
    <w:p>
      <w:pPr>
        <w:pStyle w:val="CaptionedFigure"/>
      </w:pPr>
      <w:r>
        <w:drawing>
          <wp:inline>
            <wp:extent cx="4267200" cy="3657600"/>
            <wp:effectExtent b="0" l="0" r="0" t="0"/>
            <wp:docPr descr="" title="" id="60" name="Picture"/>
            <a:graphic>
              <a:graphicData uri="http://schemas.openxmlformats.org/drawingml/2006/picture">
                <pic:pic>
                  <pic:nvPicPr>
                    <pic:cNvPr descr="supplemental/results/30_min_threshold/figures/interaction_wind_x_sun_binned.png" id="61" name="Picture"/>
                    <pic:cNvPicPr>
                      <a:picLocks noChangeArrowheads="1" noChangeAspect="1"/>
                    </pic:cNvPicPr>
                  </pic:nvPicPr>
                  <pic:blipFill>
                    <a:blip r:embed="rId5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minutes above 2 m/s wind threshold and butterflies in direct sun on cluster size changes. Color gradient indicates partial effect magnitude (red = positive, blue = negative). Black points show observed data distribution. Gray regions indicate areas beyond reliable interpolation range.</w:t>
      </w:r>
    </w:p>
    <w:bookmarkEnd w:id="62"/>
    <w:bookmarkEnd w:id="63"/>
    <w:bookmarkEnd w:id="64"/>
    <w:bookmarkStart w:id="66" w:name="statistical-power-to-detect-wind-effects"/>
    <w:p>
      <w:pPr>
        <w:pStyle w:val="Heading2"/>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study has sufficient statistical power for effect sizes of biological relevance.</w:t>
      </w:r>
    </w:p>
    <w:bookmarkStart w:id="65"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65"/>
    <w:bookmarkEnd w:id="66"/>
    <w:bookmarkStart w:id="87" w:name="site-fidelity-analysis"/>
    <w:p>
      <w:pPr>
        <w:pStyle w:val="Heading2"/>
      </w:pPr>
      <w:r>
        <w:t xml:space="preserve">Site Fidelity Analysis</w:t>
      </w:r>
    </w:p>
    <w:p>
      <w:pPr>
        <w:pStyle w:val="FirstParagraph"/>
      </w:pPr>
      <w:r>
        <w:t xml:space="preserve">To test whether cumulative weather exposure influenced day-to-day roost dynamics, we analyzed 96 consecutive-day pairs from the same deployment dataset using biologically-aligned temporal windows. The primary analysis employed a sunset window spanning from the previous day’s maximum count to the current day’s last observation (mean duration = 29.6 hours), capturing the full period from peak aggregation through the subsequent roosting decision. A secondary analysis using fixed 24-hour windows (n = 94 pairs) provided a sensitivity test of our findings.</w:t>
      </w:r>
    </w:p>
    <w:p>
      <w:pPr>
        <w:pStyle w:val="BodyText"/>
      </w:pPr>
      <w:r>
        <w:t xml:space="preserve">Daily maximum cluster sizes ranged from 0 to 770 butterflies (mean = 134.7 ± 138.1), with day-to-day changes in maximum count ranging from losses of 376 butterflies to gains of 464 butterflies (mean change = -10.5 ± 111.6). Within the sunset windows, maximum wind gusts ranged from 2.0 to 12.8 m/s (mean = 4.5 ± 1.8 m/s), with all observation windows exceeding the proposed 2 m/s threshold. Cumulative direct sun exposure varied from 0 to 1,122 butterfly-observations in sunlight per window (mean = 139.8 ± 206.9), reflecting diverse thermal exposure conditions across monitoring days.</w:t>
      </w:r>
    </w:p>
    <w:bookmarkStart w:id="67" w:name="model-selection-1"/>
    <w:p>
      <w:pPr>
        <w:pStyle w:val="Heading3"/>
      </w:pPr>
      <w:r>
        <w:t xml:space="preserve">Model Selection</w:t>
      </w:r>
    </w:p>
    <w:p>
      <w:pPr>
        <w:pStyle w:val="FirstParagraph"/>
      </w:pPr>
      <w:r>
        <w:t xml:space="preserve">We evaluated 76 candidate models using generalized additive mixed models (GAMMs) to identify environmental predictors of day-to-day changes in maximum cluster size. The model space included null, single-predictor, interaction-only, additive, main effects with interactions, and complex formulations, all incorporating deployment random intercepts and AR(1) temporal correlation. Model selection via corrected Akaike Information Criterion (AICc) identified M32 as the decisively best-fit model, capturing 84.7% of the total model weight (Table </w:t>
      </w:r>
      <w:hyperlink w:anchor="tab:sunset-model-selection-table">
        <w:r>
          <w:rPr>
            <w:rStyle w:val="Hyperlink"/>
          </w:rPr>
          <w:t xml:space="preserve">[tab:sunset-model-selection-table]</w:t>
        </w:r>
      </w:hyperlink>
      <w:r>
        <w:t xml:space="preserve">). The next best model (M52) showed substantially weaker support with</w:t>
      </w:r>
      <w:r>
        <w:t xml:space="preserve"> </w:t>
      </w:r>
      <m:oMath>
        <m:r>
          <m:rPr>
            <m:sty m:val="p"/>
          </m:rPr>
          <m:t>Δ</m:t>
        </m:r>
      </m:oMath>
      <w:r>
        <w:t xml:space="preserve">AICc = 5.6 and only 5.2% model weight. Model M32 incorporated a tensor smooth interaction between maximum wind gust and cumulative direct sun exposure, along with baseline controls for previous day’s maximum count and window duration.</w:t>
      </w:r>
    </w:p>
    <w:p>
      <w:pPr>
        <w:pStyle w:val="TableCaption"/>
      </w:pPr>
      <w:r>
        <w:t xml:space="preserve">Top 5 models ranked by AICc (sunset analysis)</w:t>
      </w:r>
    </w:p>
    <w:tbl>
      <w:tblPr>
        <w:tblStyle w:val="Table"/>
        <w:tblW w:type="auto" w:w="0"/>
        <w:tblLook w:firstRow="1" w:lastRow="0" w:firstColumn="0" w:lastColumn="0" w:noHBand="0" w:noVBand="0" w:val="0020"/>
        <w:tblCaption w:val="Top 5 models ranked by AICc (sunset analysis)"/>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right"/>
            </w:pPr>
            <w:r>
              <w:t xml:space="preserve">AICc</w:t>
            </w:r>
          </w:p>
        </w:tc>
        <w:tc>
          <w:tcPr/>
          <w:p>
            <w:pPr>
              <w:pStyle w:val="Compact"/>
              <w:jc w:val="right"/>
            </w:pPr>
            <m:oMath>
              <m:r>
                <m:rPr>
                  <m:sty m:val="p"/>
                </m:rPr>
                <m:t>Δ</m:t>
              </m:r>
            </m:oMath>
            <w:r>
              <w:t xml:space="preserve">AICc</w:t>
            </w:r>
          </w:p>
        </w:tc>
        <w:tc>
          <w:tcPr/>
          <w:p>
            <w:pPr>
              <w:pStyle w:val="Compact"/>
              <w:jc w:val="right"/>
            </w:pPr>
            <w:r>
              <w:t xml:space="preserve">Weight</w:t>
            </w:r>
          </w:p>
        </w:tc>
      </w:tr>
      <w:tr>
        <w:tc>
          <w:tcPr/>
          <w:p>
            <w:pPr>
              <w:pStyle w:val="Compact"/>
              <w:jc w:val="left"/>
            </w:pPr>
            <w:r>
              <w:t xml:space="preserve">M32</w:t>
            </w:r>
          </w:p>
        </w:tc>
        <w:tc>
          <w:tcPr/>
          <w:p>
            <w:pPr>
              <w:pStyle w:val="Compact"/>
              <w:jc w:val="left"/>
            </w:pPr>
            <w:r>
              <w:t xml:space="preserve">Interaction (tensor): Maximum wind gust, Cumulative butterflies in direct sun</w:t>
            </w:r>
          </w:p>
        </w:tc>
        <w:tc>
          <w:tcPr/>
          <w:p>
            <w:pPr>
              <w:pStyle w:val="Compact"/>
              <w:jc w:val="right"/>
            </w:pPr>
            <w:r>
              <w:t xml:space="preserve">648.85</w:t>
            </w:r>
          </w:p>
        </w:tc>
        <w:tc>
          <w:tcPr/>
          <w:p>
            <w:pPr>
              <w:pStyle w:val="Compact"/>
              <w:jc w:val="right"/>
            </w:pPr>
            <w:r>
              <w:t xml:space="preserve">0.00</w:t>
            </w:r>
          </w:p>
        </w:tc>
        <w:tc>
          <w:tcPr/>
          <w:p>
            <w:pPr>
              <w:pStyle w:val="Compact"/>
              <w:jc w:val="right"/>
            </w:pPr>
            <w:r>
              <w:t xml:space="preserve">0.85</w:t>
            </w:r>
          </w:p>
        </w:tc>
      </w:tr>
      <w:tr>
        <w:tc>
          <w:tcPr/>
          <w:p>
            <w:pPr>
              <w:pStyle w:val="Compact"/>
              <w:jc w:val="left"/>
            </w:pPr>
            <w:r>
              <w:t xml:space="preserve">M52</w:t>
            </w:r>
          </w:p>
        </w:tc>
        <w:tc>
          <w:tcPr/>
          <w:p>
            <w:pPr>
              <w:pStyle w:val="Compact"/>
              <w:jc w:val="left"/>
            </w:pPr>
            <w:r>
              <w:t xml:space="preserve">Maximum wind gust, Cumulative butterflies in direct sun, Interaction (tensor): Maximum wind gust, Cumulative butterflies in direct sun</w:t>
            </w:r>
          </w:p>
        </w:tc>
        <w:tc>
          <w:tcPr/>
          <w:p>
            <w:pPr>
              <w:pStyle w:val="Compact"/>
              <w:jc w:val="right"/>
            </w:pPr>
            <w:r>
              <w:t xml:space="preserve">654.45</w:t>
            </w:r>
          </w:p>
        </w:tc>
        <w:tc>
          <w:tcPr/>
          <w:p>
            <w:pPr>
              <w:pStyle w:val="Compact"/>
              <w:jc w:val="right"/>
            </w:pPr>
            <w:r>
              <w:t xml:space="preserve">5.60</w:t>
            </w:r>
          </w:p>
        </w:tc>
        <w:tc>
          <w:tcPr/>
          <w:p>
            <w:pPr>
              <w:pStyle w:val="Compact"/>
              <w:jc w:val="right"/>
            </w:pPr>
            <w:r>
              <w:t xml:space="preserve">0.05</w:t>
            </w:r>
          </w:p>
        </w:tc>
      </w:tr>
      <w:tr>
        <w:tc>
          <w:tcPr/>
          <w:p>
            <w:pPr>
              <w:pStyle w:val="Compact"/>
              <w:jc w:val="left"/>
            </w:pPr>
            <w:r>
              <w:t xml:space="preserve">M20</w:t>
            </w:r>
          </w:p>
        </w:tc>
        <w:tc>
          <w:tcPr/>
          <w:p>
            <w:pPr>
              <w:pStyle w:val="Compact"/>
              <w:jc w:val="left"/>
            </w:pPr>
            <w:r>
              <w:t xml:space="preserve">Interaction (tensor): Minimum temperature, Cumulative butterflies in direct sun</w:t>
            </w:r>
          </w:p>
        </w:tc>
        <w:tc>
          <w:tcPr/>
          <w:p>
            <w:pPr>
              <w:pStyle w:val="Compact"/>
              <w:jc w:val="right"/>
            </w:pPr>
            <w:r>
              <w:t xml:space="preserve">656.77</w:t>
            </w:r>
          </w:p>
        </w:tc>
        <w:tc>
          <w:tcPr/>
          <w:p>
            <w:pPr>
              <w:pStyle w:val="Compact"/>
              <w:jc w:val="right"/>
            </w:pPr>
            <w:r>
              <w:t xml:space="preserve">7.92</w:t>
            </w:r>
          </w:p>
        </w:tc>
        <w:tc>
          <w:tcPr/>
          <w:p>
            <w:pPr>
              <w:pStyle w:val="Compact"/>
              <w:jc w:val="right"/>
            </w:pPr>
            <w:r>
              <w:t xml:space="preserve">0.02</w:t>
            </w:r>
          </w:p>
        </w:tc>
      </w:tr>
      <w:tr>
        <w:tc>
          <w:tcPr/>
          <w:p>
            <w:pPr>
              <w:pStyle w:val="Compact"/>
              <w:jc w:val="left"/>
            </w:pPr>
            <w:r>
              <w:t xml:space="preserve">M46</w:t>
            </w:r>
          </w:p>
        </w:tc>
        <w:tc>
          <w:tcPr/>
          <w:p>
            <w:pPr>
              <w:pStyle w:val="Compact"/>
              <w:jc w:val="left"/>
            </w:pPr>
            <w:r>
              <w:t xml:space="preserve">Maximum temperature, Cumulative butterflies in direct sun, Interaction (tensor): Maximum temperature, Cumulative butterflies in direct sun</w:t>
            </w:r>
          </w:p>
        </w:tc>
        <w:tc>
          <w:tcPr/>
          <w:p>
            <w:pPr>
              <w:pStyle w:val="Compact"/>
              <w:jc w:val="right"/>
            </w:pPr>
            <w:r>
              <w:t xml:space="preserve">657.70</w:t>
            </w:r>
          </w:p>
        </w:tc>
        <w:tc>
          <w:tcPr/>
          <w:p>
            <w:pPr>
              <w:pStyle w:val="Compact"/>
              <w:jc w:val="right"/>
            </w:pPr>
            <w:r>
              <w:t xml:space="preserve">8.85</w:t>
            </w:r>
          </w:p>
        </w:tc>
        <w:tc>
          <w:tcPr/>
          <w:p>
            <w:pPr>
              <w:pStyle w:val="Compact"/>
              <w:jc w:val="right"/>
            </w:pPr>
            <w:r>
              <w:t xml:space="preserve">0.01</w:t>
            </w:r>
          </w:p>
        </w:tc>
      </w:tr>
      <w:tr>
        <w:tc>
          <w:tcPr/>
          <w:p>
            <w:pPr>
              <w:pStyle w:val="Compact"/>
              <w:jc w:val="left"/>
            </w:pPr>
            <w:r>
              <w:t xml:space="preserve">M30</w:t>
            </w:r>
          </w:p>
        </w:tc>
        <w:tc>
          <w:tcPr/>
          <w:p>
            <w:pPr>
              <w:pStyle w:val="Compact"/>
              <w:jc w:val="left"/>
            </w:pPr>
            <w:r>
              <w:t xml:space="preserve">Interaction (tensor): Temperature at previous maximum count, Cumulative butterflies in direct sun</w:t>
            </w:r>
          </w:p>
        </w:tc>
        <w:tc>
          <w:tcPr/>
          <w:p>
            <w:pPr>
              <w:pStyle w:val="Compact"/>
              <w:jc w:val="right"/>
            </w:pPr>
            <w:r>
              <w:t xml:space="preserve">657.90</w:t>
            </w:r>
          </w:p>
        </w:tc>
        <w:tc>
          <w:tcPr/>
          <w:p>
            <w:pPr>
              <w:pStyle w:val="Compact"/>
              <w:jc w:val="right"/>
            </w:pPr>
            <w:r>
              <w:t xml:space="preserve">9.06</w:t>
            </w:r>
          </w:p>
        </w:tc>
        <w:tc>
          <w:tcPr/>
          <w:p>
            <w:pPr>
              <w:pStyle w:val="Compact"/>
              <w:jc w:val="right"/>
            </w:pPr>
            <w:r>
              <w:t xml:space="preserve">0.01</w:t>
            </w:r>
          </w:p>
        </w:tc>
      </w:tr>
    </w:tbl>
    <w:bookmarkEnd w:id="67"/>
    <w:bookmarkStart w:id="77" w:name="analysis-of-best-fit-model-1"/>
    <w:p>
      <w:pPr>
        <w:pStyle w:val="Heading3"/>
      </w:pPr>
      <w:r>
        <w:t xml:space="preserve">Analysis of Best Fit Model</w:t>
      </w:r>
    </w:p>
    <w:p>
      <w:pPr>
        <w:pStyle w:val="FirstParagraph"/>
      </w:pPr>
      <w:r>
        <w:t xml:space="preserve">The best-fit model (M32) predicted square-root transformed change in butterfly abundance as a function of: (1) the previous day’s maximum butterfly count, (2) window duration in hours, and (3) a tensor smooth interaction between maximum wind gust speed and cumulative butterflies in direct sunlight.</w:t>
      </w:r>
    </w:p>
    <w:p>
      <w:pPr>
        <w:pStyle w:val="BodyText"/>
      </w:pPr>
      <w:r>
        <w:t xml:space="preserve">Statistical analysis revealed significant effects for the previous day’s maximum count (t = -4.988, p &lt; 0.001) and the wind-sunlight interaction (F = 4.097, p &lt; 0.001), while window duration showed no significant effect (t = -1.067, p = 0.289) (Table </w:t>
      </w:r>
      <w:hyperlink w:anchor="tab:m32_summary">
        <w:r>
          <w:rPr>
            <w:rStyle w:val="Hyperlink"/>
          </w:rPr>
          <w:t xml:space="preserve">5</w:t>
        </w:r>
      </w:hyperlink>
      <w:r>
        <w:t xml:space="preserve">). The model explained 39.7% of the variance in day-to-day cluster size changes (adjusted</w:t>
      </w:r>
      <w:r>
        <w:t xml:space="preserve"> </w:t>
      </w:r>
      <m:oMath>
        <m:sSup>
          <m:e>
            <m:r>
              <m:t>R</m:t>
            </m:r>
          </m:e>
          <m:sup>
            <m:r>
              <m:t>2</m:t>
            </m:r>
          </m:sup>
        </m:sSup>
      </m:oMath>
      <w:r>
        <w:t xml:space="preserve"> </w:t>
      </w:r>
      <w:r>
        <w:t xml:space="preserve">= 0.397, n = 96), representing substantially greater explanatory power than the 30-minute responsive change analysis.</w:t>
      </w:r>
    </w:p>
    <w:bookmarkStart w:id="68" w:name="tab:m32_summary"/>
    <w:p>
      <w:pPr>
        <w:pStyle w:val="TableCaption"/>
      </w:pPr>
      <w:r>
        <w:t xml:space="preserve">Summary of best-fit model (M32) for predicting site fidelity. The model uses square-root transformed day-to-day changes in butterfly count as the response variable.</w:t>
      </w:r>
    </w:p>
    <w:tbl>
      <w:tblPr>
        <w:tblStyle w:val="Table"/>
        <w:tblW w:type="auto" w:w="0"/>
        <w:tblLook w:firstRow="1" w:lastRow="0" w:firstColumn="0" w:lastColumn="0" w:noHBand="0" w:noVBand="0" w:val="0020"/>
        <w:tblCaption w:val="Summary of best-fit model (M32) for predicting site fidelity. The model uses square-root transformed day-to-day changes in butterfly count as the response variable."/>
      </w:tblPr>
      <w:tblGrid>
        <w:gridCol w:w="1584"/>
        <w:gridCol w:w="1584"/>
        <w:gridCol w:w="1584"/>
        <w:gridCol w:w="1584"/>
        <w:gridCol w:w="1584"/>
      </w:tblGrid>
      <w:tr>
        <w:trPr>
          <w:tblHeader w:val="on"/>
        </w:trPr>
        <w:tc>
          <w:tcPr/>
          <w:p>
            <w:pPr>
              <w:pStyle w:val="Compact"/>
              <w:jc w:val="left"/>
            </w:pPr>
            <w:r>
              <w:rPr>
                <w:b/>
                <w:bCs/>
              </w:rPr>
              <w:t xml:space="preserve">Smooth Term</w:t>
            </w:r>
          </w:p>
        </w:tc>
        <w:tc>
          <w:tcPr/>
          <w:p>
            <w:pPr>
              <w:pStyle w:val="Compact"/>
              <w:jc w:val="center"/>
            </w:pPr>
            <w:r>
              <w:rPr>
                <w:b/>
                <w:bCs/>
              </w:rPr>
              <w:t xml:space="preserve">edf</w:t>
            </w:r>
          </w:p>
        </w:tc>
        <w:tc>
          <w:tcPr/>
          <w:p>
            <w:pPr>
              <w:pStyle w:val="Compact"/>
              <w:jc w:val="center"/>
            </w:pPr>
            <w:r>
              <w:rPr>
                <w:b/>
                <w:bCs/>
              </w:rPr>
              <w:t xml:space="preserve">Ref.df</w:t>
            </w:r>
          </w:p>
        </w:tc>
        <w:tc>
          <w:tcPr/>
          <w:p>
            <w:pPr>
              <w:pStyle w:val="Compact"/>
              <w:jc w:val="center"/>
            </w:pPr>
            <w:r>
              <w:rPr>
                <w:b/>
                <w:bCs/>
              </w:rPr>
              <w:t xml:space="preserve">F</w:t>
            </w:r>
          </w:p>
        </w:tc>
        <w:tc>
          <w:tcPr/>
          <w:p>
            <w:pPr>
              <w:pStyle w:val="Compact"/>
              <w:jc w:val="center"/>
            </w:pPr>
            <w:r>
              <w:rPr>
                <w:b/>
                <w:bCs/>
              </w:rPr>
              <w:t xml:space="preserve">p-value</w:t>
            </w:r>
          </w:p>
        </w:tc>
      </w:tr>
      <w:tr>
        <w:tc>
          <w:tcPr/>
          <w:p>
            <w:pPr>
              <w:pStyle w:val="Compact"/>
              <w:jc w:val="left"/>
            </w:pPr>
            <w:r>
              <w:t xml:space="preserve">Previous day maximum count</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24.88</w:t>
            </w:r>
          </w:p>
        </w:tc>
        <w:tc>
          <w:tcPr/>
          <w:p>
            <w:pPr>
              <w:pStyle w:val="Compact"/>
              <w:jc w:val="center"/>
            </w:pPr>
            <m:oMath>
              <m:r>
                <m:rPr>
                  <m:sty m:val="p"/>
                </m:rPr>
                <m:t>&lt;</m:t>
              </m:r>
            </m:oMath>
            <w:r>
              <w:t xml:space="preserve"> </w:t>
            </w:r>
            <w:r>
              <w:t xml:space="preserve">0.001***</w:t>
            </w:r>
          </w:p>
        </w:tc>
      </w:tr>
      <w:tr>
        <w:tc>
          <w:tcPr/>
          <w:p>
            <w:pPr>
              <w:pStyle w:val="Compact"/>
              <w:jc w:val="left"/>
            </w:pPr>
            <w:r>
              <w:t xml:space="preserve">Window duration</w:t>
            </w:r>
          </w:p>
        </w:tc>
        <w:tc>
          <w:tcPr/>
          <w:p>
            <w:pPr>
              <w:pStyle w:val="Compact"/>
              <w:jc w:val="center"/>
            </w:pPr>
            <w:r>
              <w:t xml:space="preserve">1.00</w:t>
            </w:r>
          </w:p>
        </w:tc>
        <w:tc>
          <w:tcPr/>
          <w:p>
            <w:pPr>
              <w:pStyle w:val="Compact"/>
              <w:jc w:val="center"/>
            </w:pPr>
            <w:r>
              <w:t xml:space="preserve">1.00</w:t>
            </w:r>
          </w:p>
        </w:tc>
        <w:tc>
          <w:tcPr/>
          <w:p>
            <w:pPr>
              <w:pStyle w:val="Compact"/>
              <w:jc w:val="center"/>
            </w:pPr>
            <w:r>
              <w:t xml:space="preserve">1.14</w:t>
            </w:r>
          </w:p>
        </w:tc>
        <w:tc>
          <w:tcPr/>
          <w:p>
            <w:pPr>
              <w:pStyle w:val="Compact"/>
              <w:jc w:val="center"/>
            </w:pPr>
            <w:r>
              <w:t xml:space="preserve">0.289</w:t>
            </w:r>
          </w:p>
        </w:tc>
      </w:tr>
      <w:tr>
        <w:tc>
          <w:tcPr/>
          <w:p>
            <w:pPr>
              <w:pStyle w:val="Compact"/>
              <w:jc w:val="left"/>
            </w:pPr>
            <w:r>
              <w:t xml:space="preserve">Wind gust × Sunlight exposure</w:t>
            </w:r>
          </w:p>
        </w:tc>
        <w:tc>
          <w:tcPr/>
          <w:p>
            <w:pPr>
              <w:pStyle w:val="Compact"/>
              <w:jc w:val="center"/>
            </w:pPr>
            <w:r>
              <w:t xml:space="preserve">6.68</w:t>
            </w:r>
          </w:p>
        </w:tc>
        <w:tc>
          <w:tcPr/>
          <w:p>
            <w:pPr>
              <w:pStyle w:val="Compact"/>
              <w:jc w:val="center"/>
            </w:pPr>
            <w:r>
              <w:t xml:space="preserve">6.68</w:t>
            </w:r>
          </w:p>
        </w:tc>
        <w:tc>
          <w:tcPr/>
          <w:p>
            <w:pPr>
              <w:pStyle w:val="Compact"/>
              <w:jc w:val="center"/>
            </w:pPr>
            <w:r>
              <w:t xml:space="preserve">4.10</w:t>
            </w:r>
          </w:p>
        </w:tc>
        <w:tc>
          <w:tcPr/>
          <w:p>
            <w:pPr>
              <w:pStyle w:val="Compact"/>
              <w:jc w:val="center"/>
            </w:pPr>
            <m:oMath>
              <m:r>
                <m:rPr>
                  <m:sty m:val="p"/>
                </m:rPr>
                <m:t>&lt;</m:t>
              </m:r>
            </m:oMath>
            <w:r>
              <w:t xml:space="preserve"> </w:t>
            </w:r>
            <w:r>
              <w:t xml:space="preserve">0.001***</w:t>
            </w:r>
          </w:p>
        </w:tc>
      </w:tr>
      <w:tr>
        <w:tc>
          <w:tcPr>
            <w:gridSpan w:val="5"/>
          </w:tcPr>
          <w:p>
            <w:pPr>
              <w:pStyle w:val="Compact"/>
              <w:jc w:val="left"/>
            </w:pPr>
            <w:r>
              <w:rPr>
                <w:i/>
                <w:iCs/>
              </w:rPr>
              <w:t xml:space="preserve">Model performance:</w:t>
            </w:r>
            <w:r>
              <w:t xml:space="preserve"> </w:t>
            </w:r>
            <w:r>
              <w:t xml:space="preserve">Adj.</w:t>
            </w:r>
            <w:r>
              <w:t xml:space="preserve"> </w:t>
            </w:r>
            <m:oMath>
              <m:sSup>
                <m:e>
                  <m:r>
                    <m:t>R</m:t>
                  </m:r>
                </m:e>
                <m:sup>
                  <m:r>
                    <m:t>2</m:t>
                  </m:r>
                </m:sup>
              </m:sSup>
            </m:oMath>
            <w:r>
              <w:t xml:space="preserve"> </w:t>
            </w:r>
            <w:r>
              <w:t xml:space="preserve">= 0.397, Scale est. = 41.06, n = 96</w:t>
            </w:r>
          </w:p>
        </w:tc>
      </w:tr>
    </w:tbl>
    <w:bookmarkEnd w:id="68"/>
    <w:p>
      <w:pPr>
        <w:pStyle w:val="BodyText"/>
      </w:pPr>
      <w:r>
        <w:t xml:space="preserve">The previous day’s maximum count showed a significant negative linear relationship (coefficient = -0.030, SE = 0.006), indicating that larger clusters experienced proportionally greater losses between days. This pattern aligns with the wind disruption analysis. Window duration showed no significant relationship with cluster size changes. Partial effects for these linear predictors are shown in Figure </w:t>
      </w:r>
      <w:hyperlink w:anchor="fig:partial_effects_sunset">
        <w:r>
          <w:rPr>
            <w:rStyle w:val="Hyperlink"/>
          </w:rPr>
          <w:t xml:space="preserve">8</w:t>
        </w:r>
      </w:hyperlink>
      <w:r>
        <w:t xml:space="preserve">.</w:t>
      </w:r>
    </w:p>
    <w:bookmarkStart w:id="72" w:name="fig:partial_effects_sunset"/>
    <w:p>
      <w:pPr>
        <w:pStyle w:val="CaptionedFigure"/>
      </w:pPr>
      <w:r>
        <w:drawing>
          <wp:inline>
            <wp:extent cx="5334000" cy="2453639"/>
            <wp:effectExtent b="0" l="0" r="0" t="0"/>
            <wp:docPr descr="" title="" id="70" name="Picture"/>
            <a:graphic>
              <a:graphicData uri="http://schemas.openxmlformats.org/drawingml/2006/picture">
                <pic:pic>
                  <pic:nvPicPr>
                    <pic:cNvPr descr="supplemental/results/sunset/figures/partial_effects_best_1x2.png" id="71" name="Picture"/>
                    <pic:cNvPicPr>
                      <a:picLocks noChangeArrowheads="1" noChangeAspect="1"/>
                    </pic:cNvPicPr>
                  </pic:nvPicPr>
                  <pic:blipFill>
                    <a:blip r:embed="rId69"/>
                    <a:stretch>
                      <a:fillRect/>
                    </a:stretch>
                  </pic:blipFill>
                  <pic:spPr bwMode="auto">
                    <a:xfrm>
                      <a:off x="0" y="0"/>
                      <a:ext cx="5334000" cy="2453639"/>
                    </a:xfrm>
                    <a:prstGeom prst="rect">
                      <a:avLst/>
                    </a:prstGeom>
                    <a:noFill/>
                    <a:ln w="9525">
                      <a:noFill/>
                      <a:headEnd/>
                      <a:tailEnd/>
                    </a:ln>
                  </pic:spPr>
                </pic:pic>
              </a:graphicData>
            </a:graphic>
          </wp:inline>
        </w:drawing>
      </w:r>
    </w:p>
    <w:p>
      <w:pPr>
        <w:pStyle w:val="ImageCaption"/>
      </w:pPr>
      <w:r>
        <w:t xml:space="preserve">Partial effects of control variables on day-to-day monarch butterfly cluster size changes from the best-fit GAMM model (M32). Left panel shows the strong negative effect of previous day maximum count. Right panel shows window duration had no significant effect on cluster size changes. Shaded regions represent 95% confidence intervals.</w:t>
      </w:r>
    </w:p>
    <w:bookmarkEnd w:id="72"/>
    <w:p>
      <w:pPr>
        <w:pStyle w:val="BodyText"/>
      </w:pPr>
      <w:r>
        <w:t xml:space="preserve">The tensor smooth interaction between maximum wind gust and cumulative direct sun exposure (p &lt; 0.001) revealed complex conditional relationships between sustained weather exposure and cumulative butterflies in direct light (Figure </w:t>
      </w:r>
      <w:hyperlink w:anchor="fig:interaction_wind_sun_sunset">
        <w:r>
          <w:rPr>
            <w:rStyle w:val="Hyperlink"/>
          </w:rPr>
          <w:t xml:space="preserve">9</w:t>
        </w:r>
      </w:hyperlink>
      <w:r>
        <w:t xml:space="preserve">). All observations during the study period experienced wind speeds exceeding 2 m/s. Under low wind speeds around 2 m/s with minimal butterfly counts in direct sun, clusters increased the following day, though this pattern reversed sharply as butterfly counts increased, resulting in decreased cluster sizes. When butterfly counts approached zero, cluster sizes showed minimal change to slight decreases across most wind speeds, with the exception of extreme wind values where sparse data limits interpretation. At intermediate to high values of both wind speed and butterfly sun exposure, cluster sizes increased the next day. Interpretation requires caution at interpolation boundaries and regions with single observations.</w:t>
      </w:r>
    </w:p>
    <w:bookmarkStart w:id="76" w:name="fig:interaction_wind_sun_sunset"/>
    <w:p>
      <w:pPr>
        <w:pStyle w:val="CaptionedFigure"/>
      </w:pPr>
      <w:r>
        <w:drawing>
          <wp:inline>
            <wp:extent cx="4267200" cy="3657600"/>
            <wp:effectExtent b="0" l="0" r="0" t="0"/>
            <wp:docPr descr="" title="" id="74" name="Picture"/>
            <a:graphic>
              <a:graphicData uri="http://schemas.openxmlformats.org/drawingml/2006/picture">
                <pic:pic>
                  <pic:nvPicPr>
                    <pic:cNvPr descr="supplemental/results/sunset/figures/interaction_wind_x_sun_binned.png" id="75" name="Picture"/>
                    <pic:cNvPicPr>
                      <a:picLocks noChangeArrowheads="1" noChangeAspect="1"/>
                    </pic:cNvPicPr>
                  </pic:nvPicPr>
                  <pic:blipFill>
                    <a:blip r:embed="rId73"/>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day-to-day cluster size changes. Color gradient indicates partial effect magnitude on square-root transformed scale (red = positive, blue = negative). Black points show observed data distribution. Gray regions indicate areas beyond reliable interpolation range.</w:t>
      </w:r>
    </w:p>
    <w:bookmarkEnd w:id="76"/>
    <w:bookmarkEnd w:id="77"/>
    <w:bookmarkStart w:id="86" w:name="model-diagnostics-1"/>
    <w:p>
      <w:pPr>
        <w:pStyle w:val="Heading3"/>
      </w:pPr>
      <w:r>
        <w:t xml:space="preserve">Model Diagnostics</w:t>
      </w:r>
    </w:p>
    <w:p>
      <w:pPr>
        <w:pStyle w:val="FirstParagraph"/>
      </w:pPr>
      <w:r>
        <w:t xml:space="preserve">Model diagnostic plots confirmed the adequacy of the GAMM specification (Figure </w:t>
      </w:r>
      <w:hyperlink w:anchor="fig:model_diagnostics_sunset">
        <w:r>
          <w:rPr>
            <w:rStyle w:val="Hyperlink"/>
          </w:rPr>
          <w:t xml:space="preserve">10</w:t>
        </w:r>
      </w:hyperlink>
      <w:r>
        <w:t xml:space="preserve">). Residual versus fitted value plots showed no systematic patterns or heteroscedasticity, indicating appropriate model structure. The quantile-quantile plot revealed approximately normal residual distribution with minor deviations in the tails, acceptable given the sample size and complexity of ecological data.</w:t>
      </w:r>
    </w:p>
    <w:bookmarkStart w:id="81" w:name="fig:model_diagnostics_sunset"/>
    <w:p>
      <w:pPr>
        <w:pStyle w:val="CaptionedFigure"/>
      </w:pPr>
      <w:r>
        <w:drawing>
          <wp:inline>
            <wp:extent cx="4800600" cy="2000250"/>
            <wp:effectExtent b="0" l="0" r="0" t="0"/>
            <wp:docPr descr="" title="" id="79" name="Picture"/>
            <a:graphic>
              <a:graphicData uri="http://schemas.openxmlformats.org/drawingml/2006/picture">
                <pic:pic>
                  <pic:nvPicPr>
                    <pic:cNvPr descr="supplemental/results/sunset/figures/diag_qq_and_residuals_1x2.png" id="80" name="Picture"/>
                    <pic:cNvPicPr>
                      <a:picLocks noChangeArrowheads="1" noChangeAspect="1"/>
                    </pic:cNvPicPr>
                  </pic:nvPicPr>
                  <pic:blipFill>
                    <a:blip r:embed="rId78"/>
                    <a:stretch>
                      <a:fillRect/>
                    </a:stretch>
                  </pic:blipFill>
                  <pic:spPr bwMode="auto">
                    <a:xfrm>
                      <a:off x="0" y="0"/>
                      <a:ext cx="4800600" cy="2000250"/>
                    </a:xfrm>
                    <a:prstGeom prst="rect">
                      <a:avLst/>
                    </a:prstGeom>
                    <a:noFill/>
                    <a:ln w="9525">
                      <a:noFill/>
                      <a:headEnd/>
                      <a:tailEnd/>
                    </a:ln>
                  </pic:spPr>
                </pic:pic>
              </a:graphicData>
            </a:graphic>
          </wp:inline>
        </w:drawing>
      </w:r>
    </w:p>
    <w:p>
      <w:pPr>
        <w:pStyle w:val="ImageCaption"/>
      </w:pPr>
      <w:r>
        <w:t xml:space="preserve">Diagnostic plots for the best-fit GAMM model (M32). Left panel shows quantile-quantile plot comparing model residuals to theoretical normal distribution. Right panel displays residuals versus fitted values to assess homoscedasticity and model adequacy.</w:t>
      </w:r>
    </w:p>
    <w:bookmarkEnd w:id="81"/>
    <w:p>
      <w:pPr>
        <w:pStyle w:val="BodyText"/>
      </w:pPr>
      <w:r>
        <w:t xml:space="preserve">Basis dimension checks confirmed adequate smoothing parameter selection for the tensor smooth interaction term. The wind-sunlight interaction showed a k-index value of 1.06 (p = 0.72), indicating sufficient basis dimensions to capture the underlying functional form without evidence of undersmoothing. This confirms that the chosen basis dimensions adequately represent the complexity of the smooth relationship without overfitting.</w:t>
      </w:r>
    </w:p>
    <w:p>
      <w:pPr>
        <w:pStyle w:val="BodyText"/>
      </w:pPr>
      <w:r>
        <w:t xml:space="preserve">Temporal autocorrelation analysis revealed minimal residual correlation structure after accounting for the AR(1) correlation within deployment days (Figure </w:t>
      </w:r>
      <w:hyperlink w:anchor="fig:acf_diagnostics_sunset">
        <w:r>
          <w:rPr>
            <w:rStyle w:val="Hyperlink"/>
          </w:rPr>
          <w:t xml:space="preserve">11</w:t>
        </w:r>
      </w:hyperlink>
      <w:r>
        <w:t xml:space="preserve">). The autocorrelation function showed rapid decay with all lags beyond lag 1 falling within the significance bounds, confirming that the model adequately captured temporal dependencies in the data.</w:t>
      </w:r>
    </w:p>
    <w:bookmarkStart w:id="85" w:name="fig:acf_diagnostics_sunset"/>
    <w:p>
      <w:pPr>
        <w:pStyle w:val="CaptionedFigure"/>
      </w:pPr>
      <w:r>
        <w:drawing>
          <wp:inline>
            <wp:extent cx="4267200" cy="2844800"/>
            <wp:effectExtent b="0" l="0" r="0" t="0"/>
            <wp:docPr descr="" title="" id="83" name="Picture"/>
            <a:graphic>
              <a:graphicData uri="http://schemas.openxmlformats.org/drawingml/2006/picture">
                <pic:pic>
                  <pic:nvPicPr>
                    <pic:cNvPr descr="supplemental/results/sunset/figures/diag_acf.png" id="84" name="Picture"/>
                    <pic:cNvPicPr>
                      <a:picLocks noChangeArrowheads="1" noChangeAspect="1"/>
                    </pic:cNvPicPr>
                  </pic:nvPicPr>
                  <pic:blipFill>
                    <a:blip r:embed="rId82"/>
                    <a:stretch>
                      <a:fillRect/>
                    </a:stretch>
                  </pic:blipFill>
                  <pic:spPr bwMode="auto">
                    <a:xfrm>
                      <a:off x="0" y="0"/>
                      <a:ext cx="4267200" cy="2844800"/>
                    </a:xfrm>
                    <a:prstGeom prst="rect">
                      <a:avLst/>
                    </a:prstGeom>
                    <a:noFill/>
                    <a:ln w="9525">
                      <a:noFill/>
                      <a:headEnd/>
                      <a:tailEnd/>
                    </a:ln>
                  </pic:spPr>
                </pic:pic>
              </a:graphicData>
            </a:graphic>
          </wp:inline>
        </w:drawing>
      </w:r>
    </w:p>
    <w:p>
      <w:pPr>
        <w:pStyle w:val="ImageCaption"/>
      </w:pPr>
      <w:r>
        <w:t xml:space="preserve">Autocorrelation function of model residuals showing minimal temporal correlation after accounting for AR(1) structure within deployment days. Blue dashed lines indicate 95% confidence bounds for white noise.</w:t>
      </w:r>
    </w:p>
    <w:bookmarkEnd w:id="85"/>
    <w:bookmarkEnd w:id="86"/>
    <w:bookmarkEnd w:id="87"/>
    <w:bookmarkStart w:id="93" w:name="Xe530c608eb66f1228e691d7525299f243c2fd54"/>
    <w:p>
      <w:pPr>
        <w:pStyle w:val="Heading2"/>
      </w:pPr>
      <w:r>
        <w:t xml:space="preserve">Sensitivity Analysis: 24-Hour Butterfly Change</w:t>
      </w:r>
    </w:p>
    <w:p>
      <w:pPr>
        <w:pStyle w:val="FirstParagraph"/>
      </w:pPr>
      <w:r>
        <w:t xml:space="preserve">To assess the robustness of our findings, we conducted a sensitivity analysis examining butterfly cluster changes over 24-hour periods rather than sunset-specific intervals. This analysis evaluated the same 72 candidate models using identical GAMM specifications with deployment random intercepts and AR(1) temporal correlation. Notably, model selection converged on the same structural form as the primary sunset analysis. Model M31, incorporating a tensor smooth interaction between maximum wind gust and cumulative direct sun exposure, emerged as the decisively best-fit model with 50.7% of the total model weight (Table </w:t>
      </w:r>
      <w:hyperlink w:anchor="tab:24hr-model-selection-table">
        <w:r>
          <w:rPr>
            <w:rStyle w:val="Hyperlink"/>
          </w:rPr>
          <w:t xml:space="preserve">6</w:t>
        </w:r>
      </w:hyperlink>
      <w:r>
        <w:t xml:space="preserve">). Alternative models showed substantially weaker support, with the next best model achieving only 8.4% weight and</w:t>
      </w:r>
      <w:r>
        <w:t xml:space="preserve"> </w:t>
      </w:r>
      <m:oMath>
        <m:r>
          <m:rPr>
            <m:sty m:val="p"/>
          </m:rPr>
          <m:t>Δ</m:t>
        </m:r>
      </m:oMath>
      <w:r>
        <w:t xml:space="preserve">AICc = 3.6.</w:t>
      </w:r>
    </w:p>
    <w:bookmarkStart w:id="88" w:name="tab:24hr-model-selection-table"/>
    <w:p>
      <w:pPr>
        <w:pStyle w:val="TableCaption"/>
      </w:pPr>
      <w:r>
        <w:t xml:space="preserve">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w:t>
      </w:r>
    </w:p>
    <w:tbl>
      <w:tblPr>
        <w:tblStyle w:val="Table"/>
        <w:tblW w:type="auto" w:w="0"/>
        <w:tblLook w:firstRow="1" w:lastRow="0" w:firstColumn="0" w:lastColumn="0" w:noHBand="0" w:noVBand="0" w:val="0020"/>
        <w:tblCaption w:val="Top five models from 24-hour sensitivity analysis ranked by AICc. The best-fit model (M31) included a tensor smooth interaction between maximum wind gust and cumulative butterflies in direct sun, matching the structure identified in the sunset-specific analysis but applied to 24-hour period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Description</w:t>
            </w:r>
          </w:p>
        </w:tc>
        <w:tc>
          <w:tcPr/>
          <w:p>
            <w:pPr>
              <w:pStyle w:val="Compact"/>
              <w:jc w:val="center"/>
            </w:pPr>
            <w:r>
              <w:t xml:space="preserve">AICc</w:t>
            </w:r>
          </w:p>
        </w:tc>
        <w:tc>
          <w:tcPr/>
          <w:p>
            <w:pPr>
              <w:pStyle w:val="Compact"/>
              <w:jc w:val="center"/>
            </w:pPr>
            <m:oMath>
              <m:r>
                <m:rPr>
                  <m:sty m:val="p"/>
                </m:rPr>
                <m:t>Δ</m:t>
              </m:r>
            </m:oMath>
            <w:r>
              <w:t xml:space="preserve">AICc</w:t>
            </w:r>
          </w:p>
        </w:tc>
        <w:tc>
          <w:tcPr/>
          <w:p>
            <w:pPr>
              <w:pStyle w:val="Compact"/>
              <w:jc w:val="center"/>
            </w:pPr>
            <w:r>
              <w:t xml:space="preserve">Weight</w:t>
            </w:r>
          </w:p>
        </w:tc>
        <w:tc>
          <w:tcPr/>
          <w:p>
            <w:pPr>
              <w:pStyle w:val="Compact"/>
              <w:jc w:val="center"/>
            </w:pPr>
            <w:r>
              <w:t xml:space="preserve">adj.</w:t>
            </w:r>
            <w:r>
              <w:t xml:space="preserve"> </w:t>
            </w:r>
            <m:oMath>
              <m:sSup>
                <m:e>
                  <m:r>
                    <m:t>R</m:t>
                  </m:r>
                </m:e>
                <m:sup>
                  <m:r>
                    <m:t>2</m:t>
                  </m:r>
                </m:sup>
              </m:sSup>
            </m:oMath>
          </w:p>
        </w:tc>
      </w:tr>
      <w:tr>
        <w:tc>
          <w:tcPr/>
          <w:p>
            <w:pPr>
              <w:pStyle w:val="Compact"/>
              <w:jc w:val="left"/>
            </w:pPr>
            <w:r>
              <w:t xml:space="preserve">M31</w:t>
            </w:r>
          </w:p>
        </w:tc>
        <w:tc>
          <w:tcPr/>
          <w:p>
            <w:pPr>
              <w:pStyle w:val="Compact"/>
              <w:jc w:val="left"/>
            </w:pPr>
            <w:r>
              <w:t xml:space="preserve">Wind</w:t>
            </w:r>
            <w:r>
              <w:t xml:space="preserve"> </w:t>
            </w:r>
            <m:oMath>
              <m:r>
                <m:rPr>
                  <m:sty m:val="p"/>
                </m:rPr>
                <m:t>×</m:t>
              </m:r>
            </m:oMath>
            <w:r>
              <w:t xml:space="preserve"> </w:t>
            </w:r>
            <w:r>
              <w:t xml:space="preserve">sun exposure (smooth)</w:t>
            </w:r>
          </w:p>
        </w:tc>
        <w:tc>
          <w:tcPr/>
          <w:p>
            <w:pPr>
              <w:pStyle w:val="Compact"/>
              <w:jc w:val="center"/>
            </w:pPr>
            <w:r>
              <w:t xml:space="preserve">636.3</w:t>
            </w:r>
          </w:p>
        </w:tc>
        <w:tc>
          <w:tcPr/>
          <w:p>
            <w:pPr>
              <w:pStyle w:val="Compact"/>
              <w:jc w:val="center"/>
            </w:pPr>
            <w:r>
              <w:t xml:space="preserve">0.0</w:t>
            </w:r>
          </w:p>
        </w:tc>
        <w:tc>
          <w:tcPr/>
          <w:p>
            <w:pPr>
              <w:pStyle w:val="Compact"/>
              <w:jc w:val="center"/>
            </w:pPr>
            <w:r>
              <w:t xml:space="preserve">0.507</w:t>
            </w:r>
          </w:p>
        </w:tc>
        <w:tc>
          <w:tcPr/>
          <w:p>
            <w:pPr>
              <w:pStyle w:val="Compact"/>
              <w:jc w:val="center"/>
            </w:pPr>
            <w:r>
              <w:t xml:space="preserve">0.235</w:t>
            </w:r>
          </w:p>
        </w:tc>
      </w:tr>
      <w:tr>
        <w:tc>
          <w:tcPr/>
          <w:p>
            <w:pPr>
              <w:pStyle w:val="Compact"/>
              <w:jc w:val="left"/>
            </w:pPr>
            <w:r>
              <w:t xml:space="preserve">M23</w:t>
            </w:r>
          </w:p>
        </w:tc>
        <w:tc>
          <w:tcPr/>
          <w:p>
            <w:pPr>
              <w:pStyle w:val="Compact"/>
              <w:jc w:val="left"/>
            </w:pPr>
            <w:r>
              <w:t xml:space="preserve">Temperature</w:t>
            </w:r>
            <w:r>
              <w:t xml:space="preserve"> </w:t>
            </w:r>
            <m:oMath>
              <m:r>
                <m:rPr>
                  <m:sty m:val="p"/>
                </m:rPr>
                <m:t>×</m:t>
              </m:r>
            </m:oMath>
            <w:r>
              <w:t xml:space="preserve"> </w:t>
            </w:r>
            <w:r>
              <w:t xml:space="preserve">wind (smooth)</w:t>
            </w:r>
          </w:p>
        </w:tc>
        <w:tc>
          <w:tcPr/>
          <w:p>
            <w:pPr>
              <w:pStyle w:val="Compact"/>
              <w:jc w:val="center"/>
            </w:pPr>
            <w:r>
              <w:t xml:space="preserve">639.9</w:t>
            </w:r>
          </w:p>
        </w:tc>
        <w:tc>
          <w:tcPr/>
          <w:p>
            <w:pPr>
              <w:pStyle w:val="Compact"/>
              <w:jc w:val="center"/>
            </w:pPr>
            <w:r>
              <w:t xml:space="preserve">3.6</w:t>
            </w:r>
          </w:p>
        </w:tc>
        <w:tc>
          <w:tcPr/>
          <w:p>
            <w:pPr>
              <w:pStyle w:val="Compact"/>
              <w:jc w:val="center"/>
            </w:pPr>
            <w:r>
              <w:t xml:space="preserve">0.084</w:t>
            </w:r>
          </w:p>
        </w:tc>
        <w:tc>
          <w:tcPr/>
          <w:p>
            <w:pPr>
              <w:pStyle w:val="Compact"/>
              <w:jc w:val="center"/>
            </w:pPr>
            <w:r>
              <w:t xml:space="preserve">–</w:t>
            </w:r>
          </w:p>
        </w:tc>
      </w:tr>
      <w:tr>
        <w:tc>
          <w:tcPr/>
          <w:p>
            <w:pPr>
              <w:pStyle w:val="Compact"/>
              <w:jc w:val="left"/>
            </w:pPr>
            <w:r>
              <w:t xml:space="preserve">M29</w:t>
            </w:r>
          </w:p>
        </w:tc>
        <w:tc>
          <w:tcPr/>
          <w:p>
            <w:pPr>
              <w:pStyle w:val="Compact"/>
              <w:jc w:val="left"/>
            </w:pPr>
            <w:r>
              <w:t xml:space="preserve">Temperature</w:t>
            </w:r>
            <w:r>
              <w:t xml:space="preserve"> </w:t>
            </w:r>
            <m:oMath>
              <m:r>
                <m:rPr>
                  <m:sty m:val="p"/>
                </m:rPr>
                <m:t>×</m:t>
              </m:r>
            </m:oMath>
            <w:r>
              <w:t xml:space="preserve"> </w:t>
            </w:r>
            <w:r>
              <w:t xml:space="preserve">sun exposure (smooth)</w:t>
            </w:r>
          </w:p>
        </w:tc>
        <w:tc>
          <w:tcPr/>
          <w:p>
            <w:pPr>
              <w:pStyle w:val="Compact"/>
              <w:jc w:val="center"/>
            </w:pPr>
            <w:r>
              <w:t xml:space="preserve">640.8</w:t>
            </w:r>
          </w:p>
        </w:tc>
        <w:tc>
          <w:tcPr/>
          <w:p>
            <w:pPr>
              <w:pStyle w:val="Compact"/>
              <w:jc w:val="center"/>
            </w:pPr>
            <w:r>
              <w:t xml:space="preserve">4.4</w:t>
            </w:r>
          </w:p>
        </w:tc>
        <w:tc>
          <w:tcPr/>
          <w:p>
            <w:pPr>
              <w:pStyle w:val="Compact"/>
              <w:jc w:val="center"/>
            </w:pPr>
            <w:r>
              <w:t xml:space="preserve">0.056</w:t>
            </w:r>
          </w:p>
        </w:tc>
        <w:tc>
          <w:tcPr/>
          <w:p>
            <w:pPr>
              <w:pStyle w:val="Compact"/>
              <w:jc w:val="center"/>
            </w:pPr>
            <w:r>
              <w:t xml:space="preserve">–</w:t>
            </w:r>
          </w:p>
        </w:tc>
      </w:tr>
      <w:tr>
        <w:tc>
          <w:tcPr/>
          <w:p>
            <w:pPr>
              <w:pStyle w:val="Compact"/>
              <w:jc w:val="left"/>
            </w:pPr>
            <w:r>
              <w:t xml:space="preserve">M19</w:t>
            </w:r>
          </w:p>
        </w:tc>
        <w:tc>
          <w:tcPr/>
          <w:p>
            <w:pPr>
              <w:pStyle w:val="Compact"/>
              <w:jc w:val="left"/>
            </w:pPr>
            <w:r>
              <w:t xml:space="preserve">Min. temp.</w:t>
            </w:r>
            <w:r>
              <w:t xml:space="preserve"> </w:t>
            </w:r>
            <m:oMath>
              <m:r>
                <m:rPr>
                  <m:sty m:val="p"/>
                </m:rPr>
                <m:t>×</m:t>
              </m:r>
            </m:oMath>
            <w:r>
              <w:t xml:space="preserve"> </w:t>
            </w:r>
            <w:r>
              <w:t xml:space="preserve">sun exposure (smooth)</w:t>
            </w:r>
          </w:p>
        </w:tc>
        <w:tc>
          <w:tcPr/>
          <w:p>
            <w:pPr>
              <w:pStyle w:val="Compact"/>
              <w:jc w:val="center"/>
            </w:pPr>
            <w:r>
              <w:t xml:space="preserve">641.1</w:t>
            </w:r>
          </w:p>
        </w:tc>
        <w:tc>
          <w:tcPr/>
          <w:p>
            <w:pPr>
              <w:pStyle w:val="Compact"/>
              <w:jc w:val="center"/>
            </w:pPr>
            <w:r>
              <w:t xml:space="preserve">4.8</w:t>
            </w:r>
          </w:p>
        </w:tc>
        <w:tc>
          <w:tcPr/>
          <w:p>
            <w:pPr>
              <w:pStyle w:val="Compact"/>
              <w:jc w:val="center"/>
            </w:pPr>
            <w:r>
              <w:t xml:space="preserve">0.047</w:t>
            </w:r>
          </w:p>
        </w:tc>
        <w:tc>
          <w:tcPr/>
          <w:p>
            <w:pPr>
              <w:pStyle w:val="Compact"/>
              <w:jc w:val="center"/>
            </w:pPr>
            <w:r>
              <w:t xml:space="preserve">–</w:t>
            </w:r>
          </w:p>
        </w:tc>
      </w:tr>
      <w:tr>
        <w:tc>
          <w:tcPr/>
          <w:p>
            <w:pPr>
              <w:pStyle w:val="Compact"/>
              <w:jc w:val="left"/>
            </w:pPr>
            <w:r>
              <w:t xml:space="preserve">M51</w:t>
            </w:r>
          </w:p>
        </w:tc>
        <w:tc>
          <w:tcPr/>
          <w:p>
            <w:pPr>
              <w:pStyle w:val="Compact"/>
              <w:jc w:val="left"/>
            </w:pPr>
            <w:r>
              <w:t xml:space="preserve">Wind + sun + wind</w:t>
            </w:r>
            <m:oMath>
              <m:r>
                <m:rPr>
                  <m:sty m:val="p"/>
                </m:rPr>
                <m:t>×</m:t>
              </m:r>
            </m:oMath>
            <w:r>
              <w:t xml:space="preserve">sun (smooth)</w:t>
            </w:r>
          </w:p>
        </w:tc>
        <w:tc>
          <w:tcPr/>
          <w:p>
            <w:pPr>
              <w:pStyle w:val="Compact"/>
              <w:jc w:val="center"/>
            </w:pPr>
            <w:r>
              <w:t xml:space="preserve">641.7</w:t>
            </w:r>
          </w:p>
        </w:tc>
        <w:tc>
          <w:tcPr/>
          <w:p>
            <w:pPr>
              <w:pStyle w:val="Compact"/>
              <w:jc w:val="center"/>
            </w:pPr>
            <w:r>
              <w:t xml:space="preserve">5.4</w:t>
            </w:r>
          </w:p>
        </w:tc>
        <w:tc>
          <w:tcPr/>
          <w:p>
            <w:pPr>
              <w:pStyle w:val="Compact"/>
              <w:jc w:val="center"/>
            </w:pPr>
            <w:r>
              <w:t xml:space="preserve">0.034</w:t>
            </w:r>
          </w:p>
        </w:tc>
        <w:tc>
          <w:tcPr/>
          <w:p>
            <w:pPr>
              <w:pStyle w:val="Compact"/>
              <w:jc w:val="center"/>
            </w:pPr>
            <w:r>
              <w:t xml:space="preserve">–</w:t>
            </w:r>
          </w:p>
        </w:tc>
      </w:tr>
    </w:tbl>
    <w:bookmarkEnd w:id="88"/>
    <w:p>
      <w:pPr>
        <w:pStyle w:val="BodyText"/>
      </w:pPr>
      <w:r>
        <w:t xml:space="preserve">The 24-hour analysis revealed qualitatively similar interaction patterns to the sunset-specific model, though with attenuated effect magnitudes reflecting the longer temporal window (Figure </w:t>
      </w:r>
      <w:hyperlink w:anchor="fig:interaction_wind_sun_24hr">
        <w:r>
          <w:rPr>
            <w:rStyle w:val="Hyperlink"/>
          </w:rPr>
          <w:t xml:space="preserve">12</w:t>
        </w:r>
      </w:hyperlink>
      <w:r>
        <w:t xml:space="preserve">). Under low wind conditions (approximately 2 m/s) with minimal butterflies in direct sun, clusters increased over the subsequent 24 hours. This effect reversed sharply as butterfly counts increased under low winds, resulting in rapid cluster size decreases. When no butterflies occupied direct sun positions, cluster sizes remained relatively stable across wind speed values. Intermediate values for both wind speed and sun exposure produced cluster size increases. The convergent model selection and consistent interaction patterns across temporal scales strengthen confidence in the identified environmental relationships, while interpretation requires similar caution near data boundaries and regions with sparse observations.</w:t>
      </w:r>
    </w:p>
    <w:bookmarkStart w:id="92" w:name="fig:interaction_wind_sun_24hr"/>
    <w:p>
      <w:pPr>
        <w:pStyle w:val="CaptionedFigure"/>
      </w:pPr>
      <w:r>
        <w:drawing>
          <wp:inline>
            <wp:extent cx="4267200" cy="3657600"/>
            <wp:effectExtent b="0" l="0" r="0" t="0"/>
            <wp:docPr descr="" title="" id="90" name="Picture"/>
            <a:graphic>
              <a:graphicData uri="http://schemas.openxmlformats.org/drawingml/2006/picture">
                <pic:pic>
                  <pic:nvPicPr>
                    <pic:cNvPr descr="supplemental/results/24hr/figures/interaction_wind_x_sun_binned.png" id="91" name="Picture"/>
                    <pic:cNvPicPr>
                      <a:picLocks noChangeArrowheads="1" noChangeAspect="1"/>
                    </pic:cNvPicPr>
                  </pic:nvPicPr>
                  <pic:blipFill>
                    <a:blip r:embed="rId89"/>
                    <a:stretch>
                      <a:fillRect/>
                    </a:stretch>
                  </pic:blipFill>
                  <pic:spPr bwMode="auto">
                    <a:xfrm>
                      <a:off x="0" y="0"/>
                      <a:ext cx="4267200" cy="3657600"/>
                    </a:xfrm>
                    <a:prstGeom prst="rect">
                      <a:avLst/>
                    </a:prstGeom>
                    <a:noFill/>
                    <a:ln w="9525">
                      <a:noFill/>
                      <a:headEnd/>
                      <a:tailEnd/>
                    </a:ln>
                  </pic:spPr>
                </pic:pic>
              </a:graphicData>
            </a:graphic>
          </wp:inline>
        </w:drawing>
      </w:r>
    </w:p>
    <w:p>
      <w:pPr>
        <w:pStyle w:val="ImageCaption"/>
      </w:pPr>
      <w:r>
        <w:t xml:space="preserve">Tensor smooth interaction between maximum wind gust (m/s) and cumulative butterflies in direct sun on 24-hour cluster size changes. Color gradient indicates partial effect magnitude on square-root transformed scale (red = positive, blue = negative). Black points show observed data distribution. Gray regions indicate areas beyond reliable interpolation range. The interaction pattern mirrors that observed in the sunset-specific analysis, supporting the robustness of identified environmental relationships.</w:t>
      </w:r>
    </w:p>
    <w:bookmarkEnd w:id="92"/>
    <w:bookmarkEnd w:id="93"/>
    <w:bookmarkEnd w:id="94"/>
    <w:bookmarkStart w:id="105" w:name="discussion"/>
    <w:p>
      <w:pPr>
        <w:pStyle w:val="Heading1"/>
      </w:pPr>
      <w:r>
        <w:t xml:space="preserve">Discussion</w:t>
      </w:r>
    </w:p>
    <w:p>
      <w:pPr>
        <w:pStyle w:val="FirstParagraph"/>
      </w:pPr>
      <w:r>
        <w:t xml:space="preserve">Our study provides the first direct empirical test of the long-standing hypothesis that wind disrupts overwintering monarch butterfly clusters. For over three decades, conservation practice has operated under the assumption that wind speeds exceeding 2 m/s force butterflies to abandon their roosts, either by physically dislodging them or triggering behavioral departures</w:t>
      </w:r>
      <w:r>
        <w:t xml:space="preserve"> </w:t>
      </w:r>
      <w:r>
        <w:t xml:space="preserve">(Kingston L. H. Leong 2016)</w:t>
      </w:r>
      <w:r>
        <w:t xml:space="preserve">. Our findings challenge this fundamental assumption and suggest a more complex relationship between monarchs and their overwintering environment.</w:t>
      </w:r>
    </w:p>
    <w:bookmarkStart w:id="95" w:name="evidence-against-wind-disruption"/>
    <w:p>
      <w:pPr>
        <w:pStyle w:val="Heading2"/>
      </w:pPr>
      <w:r>
        <w:t xml:space="preserve">Evidence Against Wind Disruption</w:t>
      </w:r>
    </w:p>
    <w:p>
      <w:pPr>
        <w:pStyle w:val="FirstParagraph"/>
      </w:pPr>
      <w:r>
        <w:t xml:space="preserve">The evidence against the wind disruption hypothesis emerges from multiple, independent lines of analysis. Most strikingly, every single observation period in our day-to-day analysis experienced maximum wind speeds exceeding the proposed 2 m/s threshold (range: 2.0–12.8 m/s), yet monarch clusters persisted throughout the 78-day study period. If the hypothesis were correct, we should have observed either mass departures when temperatures permitted flight or butterflies physically dislodged and littering the ground when too cold to fly, as described in the literature</w:t>
      </w:r>
      <w:r>
        <w:t xml:space="preserve"> </w:t>
      </w:r>
      <w:r>
        <w:t xml:space="preserve">(K. L. H. Leong 1999)</w:t>
      </w:r>
      <w:r>
        <w:t xml:space="preserve">. We observed neither.</w:t>
      </w:r>
    </w:p>
    <w:p>
      <w:pPr>
        <w:pStyle w:val="BodyText"/>
      </w:pPr>
      <w:r>
        <w:t xml:space="preserve">Our bivariate analyses provide additional refutation. When we examined the simple relationship between wind speed and cluster size changes, we found essentially no correlation at either temporal scale (30-minute r = 0.04, n = 1,894; day-to-day r = 0.13, n = 96). These analyses tested the most basic prediction of the hypothesis that increasing wind speed should produce decreasing cluster sizes. The absence of this relationship across wind speeds ranging from calm conditions to six times the proposed threshold suggests that wind alone does not drive clustering decisions.</w:t>
      </w:r>
    </w:p>
    <w:p>
      <w:pPr>
        <w:pStyle w:val="BodyText"/>
      </w:pPr>
      <w:r>
        <w:t xml:space="preserve">Statistical power was not a limitation. Our analysis achieved 87.5% power to detect moderate effects and 98.5% power for large effects. The wind disruption hypothesis predicts substantial, observable impacts, not subtle statistical signals. Our failure to detect these effects, despite adequate power and validated methodology that successfully identified other environmental signals, provides strong evidence against the hypothesis rather than merely absence of evidence.</w:t>
      </w:r>
    </w:p>
    <w:bookmarkEnd w:id="95"/>
    <w:bookmarkStart w:id="96" w:name="X5e474d4f5f2269e0b3db1229fb789e6c77fbc2d"/>
    <w:p>
      <w:pPr>
        <w:pStyle w:val="Heading2"/>
      </w:pPr>
      <w:r>
        <w:t xml:space="preserve">Thermoregulation as an Alternative Explanation</w:t>
      </w:r>
    </w:p>
    <w:p>
      <w:pPr>
        <w:pStyle w:val="FirstParagraph"/>
      </w:pPr>
      <w:r>
        <w:t xml:space="preserve">While wind alone showed no disruptive effect, our models revealed that monarchs respond to environmental conditions through complex interactions, particularly between wind and solar exposure. This interaction emerged as the dominant environmental signal in both temporal analyses (30-minute F = 4.67, p &lt; 0.001; day-to-day F = 4.10, p &lt; 0.001), suggesting that the relationship between wind and monarch behavior depends critically on light conditions.</w:t>
      </w:r>
    </w:p>
    <w:p>
      <w:pPr>
        <w:pStyle w:val="BodyText"/>
      </w:pPr>
      <w:r>
        <w:t xml:space="preserve">The wind-light interaction reveals three patterns. First, when butterflies experienced no direct sunlight, wind speed had no discernible effect on cluster dynamics across the entire observed range (0 to 12.4 m/s). Second, when butterflies were exposed to direct sun in calm conditions, cluster sizes consistently decreased. Third, at intermediate levels of both wind and sun exposure, cluster sizes increased rather than decreased.</w:t>
      </w:r>
    </w:p>
    <w:p>
      <w:pPr>
        <w:pStyle w:val="BodyText"/>
      </w:pPr>
      <w:r>
        <w:t xml:space="preserve">One interpretation of these patterns invokes thermoregulation. When exposed to direct sun in calm conditions, butterflies may depart to avoid overheating, as</w:t>
      </w:r>
      <w:r>
        <w:t xml:space="preserve"> </w:t>
      </w:r>
      <w:r>
        <w:t xml:space="preserve">Masters, Malcolm, and Brower (1988)</w:t>
      </w:r>
      <w:r>
        <w:t xml:space="preserve"> </w:t>
      </w:r>
      <w:r>
        <w:t xml:space="preserve">demonstrated that monarchs in direct sunlight can elevate body temperature above ambient conditions within minutes. The counterintuitive increases in cluster size at intermediate wind and sun levels could occur if wind provides convective cooling that counteracts solar heating.</w:t>
      </w:r>
      <w:r>
        <w:t xml:space="preserve"> </w:t>
      </w:r>
      <w:r>
        <w:t xml:space="preserve">Masters, Malcolm, and Brower (1988)</w:t>
      </w:r>
      <w:r>
        <w:t xml:space="preserve"> </w:t>
      </w:r>
      <w:r>
        <w:t xml:space="preserve">showed that monarchs can dissipate heat while gliding using airflow across their bodies; environmental wind might provide similar cooling without the energetic cost of flight. Shaded butterflies experience no solar heat gain, so wind would provide no thermal benefit, potentially explaining the absence of wind effects in shade. However, other behavioral mechanisms could produce these same patterns.</w:t>
      </w:r>
    </w:p>
    <w:p>
      <w:pPr>
        <w:pStyle w:val="BodyText"/>
      </w:pPr>
      <w:r>
        <w:t xml:space="preserve">Additional observations align with thermal management. Time since sunrise revealed strong diurnal patterns (30-minute F = 9.85, p &lt; 0.001), with butterflies departing clusters in late morning and early afternoon, then reforming aggregations later in the day. This pattern persisted after controlling for temperature and sunlight, potentially reflecting endogenous circadian rhythms, though it also aligns with predictable daily thermal cycles. The midday dispersal may reflect routine activities such as patrolling flights or nectaring. Monarchs have been observed gliding during these dispersal periods, which could facilitate thermoregulatory cooling while accomplishing other essential behaviors. Our study could not follow individual butterflies once they departed cluster locations, so these activities remain speculative. Similar temporal patterns have been consistently documented at California overwintering sites</w:t>
      </w:r>
      <w:r>
        <w:t xml:space="preserve"> </w:t>
      </w:r>
      <w:r>
        <w:t xml:space="preserve">(Tuskes and Brower 1978; Chaplin and Wells 1982)</w:t>
      </w:r>
      <w:r>
        <w:t xml:space="preserve">, and the Xerces Society’s standardized monitoring protocols explicitly restrict counting to specific time windows to account for these diurnal movements</w:t>
      </w:r>
      <w:r>
        <w:t xml:space="preserve"> </w:t>
      </w:r>
      <w:r>
        <w:t xml:space="preserve">(Xerces Society 2017)</w:t>
      </w:r>
      <w:r>
        <w:t xml:space="preserve">.</w:t>
      </w:r>
    </w:p>
    <w:p>
      <w:pPr>
        <w:pStyle w:val="BodyText"/>
      </w:pPr>
      <w:r>
        <w:t xml:space="preserve">Our models explained 6.4% of variance in 30-minute cluster changes and 39.7% of variance in day-to-day roost fidelity. The environmental factors that did explain variance were predominantly thermal in nature: the wind-light interaction, direct sunlight exposure, and diurnal patterns of dispersal and aggregation. While substantial variation remains unexplained, the environmental signals we detected suggest thermal factors may play a more important role than wind avoidance in organizing clustering behavior. Without direct body temperature measurements under varying environmental conditions, thermoregulation remains one plausible interpretation among potentially others, and further research is needed to confirm the underlying mechanisms.</w:t>
      </w:r>
    </w:p>
    <w:bookmarkEnd w:id="96"/>
    <w:bookmarkStart w:id="97" w:name="limitations-and-context"/>
    <w:p>
      <w:pPr>
        <w:pStyle w:val="Heading2"/>
      </w:pPr>
      <w:r>
        <w:t xml:space="preserve">Limitations and Context</w:t>
      </w:r>
    </w:p>
    <w:p>
      <w:pPr>
        <w:pStyle w:val="FirstParagraph"/>
      </w:pPr>
      <w:r>
        <w:t xml:space="preserve">Several factors shape the interpretation of our findings. First, our data come from a single overwintering season (2023–2024) when monarch populations were relatively typical</w:t>
      </w:r>
      <w:r>
        <w:t xml:space="preserve"> </w:t>
      </w:r>
      <w:r>
        <w:t xml:space="preserve">(Xerces Society 2025a)</w:t>
      </w:r>
      <w:r>
        <w:t xml:space="preserve">. The following season saw near-complete absence of monarchs at our study sites, coinciding with the second-lowest overwintering population on record</w:t>
      </w:r>
      <w:r>
        <w:t xml:space="preserve"> </w:t>
      </w:r>
      <w:r>
        <w:t xml:space="preserve">(Xerces Society 2025b)</w:t>
      </w:r>
      <w:r>
        <w:t xml:space="preserve">. This dramatic population crash prevented temporal replication but underscores the urgency of understanding overwintering ecology with the data we have.</w:t>
      </w:r>
    </w:p>
    <w:p>
      <w:pPr>
        <w:pStyle w:val="BodyText"/>
      </w:pPr>
      <w:r>
        <w:t xml:space="preserve">Second, our study observed relatively small clusters where butterflies maintained direct contact with eucalyptus substrates. The wind disruption hypothesis was developed during an era of massive aggregations containing hundreds of thousands of individuals, where many butterflies attached only to other butterflies in multi-layered formations</w:t>
      </w:r>
      <w:r>
        <w:t xml:space="preserve"> </w:t>
      </w:r>
      <w:r>
        <w:t xml:space="preserve">(Kingston. L. H. Leong 1990; L. P. Brower et al. 2008)</w:t>
      </w:r>
      <w:r>
        <w:t xml:space="preserve">. If substrate attachment provides greater wind resistance than butterfly-to-butterfly attachment, wind might affect these different clustering configurations differently. The hypothesis may have been accurate for the extreme densities of past decades but less relevant to today’s smaller populations.</w:t>
      </w:r>
    </w:p>
    <w:p>
      <w:pPr>
        <w:pStyle w:val="BodyText"/>
      </w:pPr>
      <w:r>
        <w:t xml:space="preserve">Finally, our models explained relatively little variance overall (30-minute 6.4%; day-to-day 39.7%), reflecting both the complexity of butterfly behavior and our focus on testing specific hypotheses rather than comprehensively explaining movement patterns. However, the strong signals we did detect and our adequate statistical power give confidence in our main conclusion that wind alone does not disrupt monarch clusters as previously believed.</w:t>
      </w:r>
    </w:p>
    <w:bookmarkEnd w:id="97"/>
    <w:bookmarkStart w:id="102" w:name="implications-for-conservation"/>
    <w:p>
      <w:pPr>
        <w:pStyle w:val="Heading2"/>
      </w:pPr>
      <w:r>
        <w:t xml:space="preserve">Implications for Conservation</w:t>
      </w:r>
    </w:p>
    <w:p>
      <w:pPr>
        <w:pStyle w:val="FirstParagraph"/>
      </w:pPr>
      <w:r>
        <w:t xml:space="preserve">Our findings suggest that wind protection, long considered a limiting environmental factor in overwintering monarch conservation, may constrain habitat suitability far less than previously believed. This realization carries important implications for how we understand, manage, and restore overwintering sites.</w:t>
      </w:r>
    </w:p>
    <w:bookmarkStart w:id="98" w:name="X779991813e6d29fd4b23ab6962c819f64e77611"/>
    <w:p>
      <w:pPr>
        <w:pStyle w:val="Heading3"/>
      </w:pPr>
      <w:r>
        <w:t xml:space="preserve">Expanded Habitat Availability and Population Limitations</w:t>
      </w:r>
    </w:p>
    <w:p>
      <w:pPr>
        <w:pStyle w:val="FirstParagraph"/>
      </w:pPr>
      <w:r>
        <w:t xml:space="preserve">The absence of wind disruption despite frequent threshold exceedances indicates that suitable habitat within existing groves may be more extensive than currently recognized. Areas previously dismissed due to wind exposure might support clusters if they provide appropriate thermal and light conditions. With western monarch populations at historically low levels, this raises an important question: are we observing limited suitable habitat, or limited butterflies to occupy potentially suitable space? At historical abundances, monarchs may have utilized far more locations within groves than currently expressed. The small clusters we documented may represent only a fraction of available habitat, with suitable but unoccupied areas going unrecognized simply because too few butterflies exist to reveal these possibilities.</w:t>
      </w:r>
    </w:p>
    <w:bookmarkEnd w:id="98"/>
    <w:bookmarkStart w:id="99" w:name="simplified-management-requirements"/>
    <w:p>
      <w:pPr>
        <w:pStyle w:val="Heading3"/>
      </w:pPr>
      <w:r>
        <w:t xml:space="preserve">Simplified Management Requirements</w:t>
      </w:r>
    </w:p>
    <w:p>
      <w:pPr>
        <w:pStyle w:val="FirstParagraph"/>
      </w:pPr>
      <w:r>
        <w:t xml:space="preserve">Previous management frameworks required protecting extensive buffer zones around clustering sites. For example,</w:t>
      </w:r>
      <w:r>
        <w:t xml:space="preserve"> </w:t>
      </w:r>
      <w:r>
        <w:t xml:space="preserve">Althouse &amp; Meade, Inc. and Creekside Science (2023)</w:t>
      </w:r>
      <w:r>
        <w:t xml:space="preserve"> </w:t>
      </w:r>
      <w:r>
        <w:t xml:space="preserve">recommended maintaining trees up to six tree heights from clustering locations to ensure adequate wind protection. For mature eucalyptus reaching 40 meters, this translates to protecting all trees within approximately 240 meters, creating substantial complexity in coastal California where overwintering sites often involve diverse stakeholders and contentious land use decisions.</w:t>
      </w:r>
    </w:p>
    <w:p>
      <w:pPr>
        <w:pStyle w:val="BodyText"/>
      </w:pPr>
      <w:r>
        <w:t xml:space="preserve">If wind protection plays a less critical role than assumed, these extensive buffer requirements may no longer be necessary. Trees distant from core groves, previously considered essential for wind breaks, may contribute far less than previously thought. This simplification focuses conservation efforts more precisely on immediate grove structure rather than attempting to control wind patterns across vast surrounding areas.</w:t>
      </w:r>
    </w:p>
    <w:p>
      <w:pPr>
        <w:pStyle w:val="BodyText"/>
      </w:pPr>
      <w:r>
        <w:t xml:space="preserve">However, a precautionary approach remains warranted. Where buffer trees exist as healthy, mature specimens, maintaining them represents prudent hedging against incomplete understanding. This temporal asymmetry, where removing trees or modifying canopy structure is always possible while accelerating large tree growth is not, argues for maintaining existing trees wherever possible. Previous recommendations to plant trees, maintain them for longevity, and develop succession plans remain entirely valid, even if the mechanistic understanding of why these practices work requires updating.</w:t>
      </w:r>
    </w:p>
    <w:bookmarkEnd w:id="99"/>
    <w:bookmarkStart w:id="100" w:name="X01928d3ee782e4efd9074380e21e7e191f9fcdf"/>
    <w:p>
      <w:pPr>
        <w:pStyle w:val="Heading3"/>
      </w:pPr>
      <w:r>
        <w:t xml:space="preserve">Proactive Habitat Creation Through Canopy Management</w:t>
      </w:r>
    </w:p>
    <w:p>
      <w:pPr>
        <w:pStyle w:val="FirstParagraph"/>
      </w:pPr>
      <w:r>
        <w:t xml:space="preserve">If monarchs respond primarily to light and thermal patterns rather than strict wind thresholds, strategic canopy modification may create new overwintering habitat. The wind protection framework offered little beyond planting trees and waiting decades for maturation. Light-based management might enable shorter-timeframe interventions.</w:t>
      </w:r>
    </w:p>
    <w:p>
      <w:pPr>
        <w:pStyle w:val="BodyText"/>
      </w:pPr>
      <w:r>
        <w:t xml:space="preserve">Real-world examples support this possibility. At Monarch Lane in Los Osos, strategic canopy opening resulted in monarchs appearing and persisting</w:t>
      </w:r>
      <w:r>
        <w:t xml:space="preserve"> </w:t>
      </w:r>
      <w:r>
        <w:t xml:space="preserve">(K. L. H. Leong 1999; Xerces Society 2025a)</w:t>
      </w:r>
      <w:r>
        <w:t xml:space="preserve">. At Andrew Molera State Park in Big Sur, clearing an overgrown grove increased butterfly counts from zero to over one thousand (E. Pelton, personal communication). Conversely, tree planting at Pacific Grove required approximately 15 years of canopy maturation before monarchs returned (S. Weiss, personal communication). These patterns suggest that appropriate canopy structure, including carefully designed openings creating dappled light, can attract butterflies far more quickly than waiting for tree growth alone.</w:t>
      </w:r>
    </w:p>
    <w:p>
      <w:pPr>
        <w:pStyle w:val="BodyText"/>
      </w:pPr>
      <w:r>
        <w:t xml:space="preserve">Unidentified eucalyptus stands or overly dense groves might thus be converted to functional habitat through selective thinning. However, additional research is needed before implementing large-scale canopy modifications, particularly at established overwintering sites. Rather than passive waiting, managers might proactively create suitable conditions by strategically opening existing canopies at appropriate locations, representing a significant departure from previous approaches focused almost entirely on wind protection and tree growth.</w:t>
      </w:r>
    </w:p>
    <w:bookmarkEnd w:id="100"/>
    <w:bookmarkStart w:id="101" w:name="X6f5880cae6620efb75cfe0ff90375409810e607"/>
    <w:p>
      <w:pPr>
        <w:pStyle w:val="Heading3"/>
      </w:pPr>
      <w:r>
        <w:t xml:space="preserve">Long-term Optimism Despite Current Uncertainty</w:t>
      </w:r>
    </w:p>
    <w:p>
      <w:pPr>
        <w:pStyle w:val="FirstParagraph"/>
      </w:pPr>
      <w:r>
        <w:t xml:space="preserve">While this study reduces certainty regarding some aspects of overwintering ecology, the long-term trajectory points toward management practices that may be simpler to implement, grounded in empirical evidence, and potentially more effective. The strict 2 m/s threshold created an overly constraining understanding of habitat requirements, suggesting suitable sites were overly limited. Our results indicate monarchs may be more resilient to environmental variation than previously believed, potentially revealing more opportunities for habitat creation and maintenance.</w:t>
      </w:r>
    </w:p>
    <w:p>
      <w:pPr>
        <w:pStyle w:val="BodyText"/>
      </w:pPr>
      <w:r>
        <w:t xml:space="preserve">The fundamental conservation tools remain unchanged: maintaining existing groves, planting and managing trees for longevity, and developing succession plans for aging forests. But we may now recognize more locations where habitat might be suitable and fewer absolute constraints on where sites can be maintained or created. As</w:t>
      </w:r>
      <w:r>
        <w:t xml:space="preserve"> </w:t>
      </w:r>
      <w:r>
        <w:t xml:space="preserve">Saniee and Villablanca (2022)</w:t>
      </w:r>
      <w:r>
        <w:t xml:space="preserve"> </w:t>
      </w:r>
      <w:r>
        <w:t xml:space="preserve">suggest, managing canopy structure to create appropriate light patterns and temperature gradients may prove more important than achieving specific wind speed thresholds. This perspective aligns with our finding that interactions between environmental factors, rather than single variables in isolation, shape clustering behavior.</w:t>
      </w:r>
    </w:p>
    <w:p>
      <w:pPr>
        <w:pStyle w:val="BodyText"/>
      </w:pPr>
      <w:r>
        <w:t xml:space="preserve">Conservation efforts should continue protecting forest structure at overwintering sites while research clarifies the specific environmental factors, particularly light patterns and thermal regimes, that monarchs select for when choosing roost locations.</w:t>
      </w:r>
    </w:p>
    <w:bookmarkEnd w:id="101"/>
    <w:bookmarkEnd w:id="102"/>
    <w:bookmarkStart w:id="103" w:name="future-research-directions"/>
    <w:p>
      <w:pPr>
        <w:pStyle w:val="Heading2"/>
      </w:pPr>
      <w:r>
        <w:t xml:space="preserve">Future Research Directions</w:t>
      </w:r>
    </w:p>
    <w:p>
      <w:pPr>
        <w:pStyle w:val="FirstParagraph"/>
      </w:pPr>
      <w:r>
        <w:t xml:space="preserve">Our findings open several important avenues for future research. While the wind-light interaction we observed suggests complex relationships between environmental factors and clustering behavior, the strong effect of light exposure itself points toward canopy structure as a potentially primary driver of habitat selection. This conclusion finds support in</w:t>
      </w:r>
      <w:r>
        <w:t xml:space="preserve"> </w:t>
      </w:r>
      <w:r>
        <w:t xml:space="preserve">Saniee and Villablanca (2022)</w:t>
      </w:r>
      <w:r>
        <w:t xml:space="preserve">, who found that while temperature and humidity failed to support the microclimate hypothesis at aggregation locations, solar radiation was one of the few environmental factors that distinguished occupied sites from other grove locations. Similarly,</w:t>
      </w:r>
      <w:r>
        <w:t xml:space="preserve"> </w:t>
      </w:r>
      <w:r>
        <w:t xml:space="preserve">Stuart B. Weiss et al. (1991)</w:t>
      </w:r>
      <w:r>
        <w:t xml:space="preserve"> </w:t>
      </w:r>
      <w:r>
        <w:t xml:space="preserve">found that successful overwintering sites maintain consistent canopy openness around 20%, while unsuccessful sites show greater variability. Combined with our findings, this suggests that predictable light patterns created by canopy structure may provide a stable, reliable environmental cue that monarchs can consistently locate and respond to year after year. Unlike weather conditions that fluctuate unpredictably, the spatial pattern of light created by canopy architecture remains relatively constant across seasons, offering a dependable signal for site selection. Monarchs possess sophisticated visual systems that enable sun compass navigation during migration</w:t>
      </w:r>
      <w:r>
        <w:t xml:space="preserve"> </w:t>
      </w:r>
      <w:r>
        <w:t xml:space="preserve">(Nguyen et al. 2021; Mouritsen and Frost 2002)</w:t>
      </w:r>
      <w:r>
        <w:t xml:space="preserve">, capabilities that would allow them to detect and respond to consistent light patterns within groves. Future research should prioritize characterizing canopy structure and the resulting light regimes at both occupied and unoccupied sites to determine whether specific light patterns predict roost site selection and fidelity.</w:t>
      </w:r>
    </w:p>
    <w:p>
      <w:pPr>
        <w:pStyle w:val="BodyText"/>
      </w:pPr>
      <w:r>
        <w:t xml:space="preserve">Beyond environmental factors, social dynamics may explain additional variation in our models. The strong effect of previous butterfly count on subsequent changes suggests that monarchs do not distribute randomly within groves but rather exhibit overdispersed clustering patterns where the presence of butterflies attracts others. This positive feedback mechanism, where initial settlement increases the probability of others joining, could create self-reinforcing aggregation patterns independent of immediate environmental conditions</w:t>
      </w:r>
      <w:r>
        <w:t xml:space="preserve"> </w:t>
      </w:r>
      <w:r>
        <w:t xml:space="preserve">(Berdahl et al. 2013)</w:t>
      </w:r>
      <w:r>
        <w:t xml:space="preserve">.</w:t>
      </w:r>
    </w:p>
    <w:p>
      <w:pPr>
        <w:pStyle w:val="BodyText"/>
      </w:pPr>
      <w:r>
        <w:t xml:space="preserve">Finally, testing these patterns across the broader overwintering range would establish their generality. Sites with different tree species, latitudes, and especially population densities could reveal whether wind responses vary with clustering configuration or if our findings represent fundamental aspects of monarch overwintering behavior.</w:t>
      </w:r>
    </w:p>
    <w:bookmarkEnd w:id="103"/>
    <w:bookmarkStart w:id="104" w:name="conclusions"/>
    <w:p>
      <w:pPr>
        <w:pStyle w:val="Heading2"/>
      </w:pPr>
      <w:r>
        <w:t xml:space="preserve">Conclusions</w:t>
      </w:r>
    </w:p>
    <w:p>
      <w:pPr>
        <w:pStyle w:val="FirstParagraph"/>
      </w:pPr>
      <w:r>
        <w:t xml:space="preserve">Our direct test of the wind disruption hypothesis found no evidence that wind speeds above 2 m/s force monarchs to abandon their clusters. Every observation in our day-to-day analysis exceeded this threshold, yet clusters persisted. Bivariate analyses showed no relationship between wind and cluster changes. Model selection consistently identified other factors as more important. These multiple lines of evidence converge on a clear conclusion. Wind alone does not disrupt overwintering monarch butterflies as has been assumed for over three decades.</w:t>
      </w:r>
    </w:p>
    <w:p>
      <w:pPr>
        <w:pStyle w:val="BodyText"/>
      </w:pPr>
      <w:r>
        <w:t xml:space="preserve">Instead, our results suggest that thermal factors may play a more important role in clustering dynamics than previously recognized. Monarchs responded strongly to direct sunlight and diurnal patterns, both factors that could influence body temperature. The unexpected wind-light interaction, where moderate wind combined with sun exposure sometimes increased cluster sizes, suggests that environmental conditions interact in complex ways that simple threshold-based management approaches cannot capture.</w:t>
      </w:r>
    </w:p>
    <w:p>
      <w:pPr>
        <w:pStyle w:val="BodyText"/>
      </w:pPr>
      <w:r>
        <w:t xml:space="preserve">These findings arrive at a critical moment for monarch conservation. With western populations at historic lows, every assumption about habitat requirements deserves scrutiny. While questions remain about the precise mechanisms, our findings demonstrate that current management guidelines based on wind speed thresholds are not supported by empirical evidence. Moving forward, conservation efforts should prioritize maintaining existing overwintering groves while additional research clarifies what environmental factors monarchs select for when choosing roost sites. As we face the challenge of preserving overwintering habitat for a declining population, evidence-based understanding of monarch ecology becomes not just scientifically important, but essential for preserving the remarkable phenomenon of monarch migration in western North America.</w:t>
      </w:r>
    </w:p>
    <w:bookmarkEnd w:id="104"/>
    <w:bookmarkEnd w:id="105"/>
    <w:bookmarkStart w:id="220" w:name="references"/>
    <w:p>
      <w:pPr>
        <w:pStyle w:val="Heading1"/>
      </w:pPr>
      <w:r>
        <w:t xml:space="preserve">References</w:t>
      </w:r>
    </w:p>
    <w:bookmarkStart w:id="219" w:name="refs"/>
    <w:bookmarkStart w:id="107"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106">
        <w:r>
          <w:rPr>
            <w:rStyle w:val="Hyperlink"/>
          </w:rPr>
          <w:t xml:space="preserve">https://doi.org/10.2307/2388612</w:t>
        </w:r>
      </w:hyperlink>
      <w:r>
        <w:t xml:space="preserve">.</w:t>
      </w:r>
    </w:p>
    <w:bookmarkEnd w:id="107"/>
    <w:bookmarkStart w:id="108"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108"/>
    <w:bookmarkStart w:id="110"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109">
        <w:r>
          <w:rPr>
            <w:rStyle w:val="Hyperlink"/>
          </w:rPr>
          <w:t xml:space="preserve">https://doi.org/10.1016/0022-1910(76)90046-9</w:t>
        </w:r>
      </w:hyperlink>
      <w:r>
        <w:t xml:space="preserve">.</w:t>
      </w:r>
    </w:p>
    <w:bookmarkEnd w:id="110"/>
    <w:bookmarkStart w:id="112"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111">
        <w:r>
          <w:rPr>
            <w:rStyle w:val="Hyperlink"/>
          </w:rPr>
          <w:t xml:space="preserve">https://doi.org/10.1086/698656</w:t>
        </w:r>
      </w:hyperlink>
      <w:r>
        <w:t xml:space="preserve">.</w:t>
      </w:r>
    </w:p>
    <w:bookmarkEnd w:id="112"/>
    <w:bookmarkStart w:id="114"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113">
        <w:r>
          <w:rPr>
            <w:rStyle w:val="Hyperlink"/>
          </w:rPr>
          <w:t xml:space="preserve">https://doi.org/10.1016/0022-1910(79)90112-4</w:t>
        </w:r>
      </w:hyperlink>
      <w:r>
        <w:t xml:space="preserve">.</w:t>
      </w:r>
    </w:p>
    <w:bookmarkEnd w:id="114"/>
    <w:bookmarkStart w:id="116"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115">
        <w:r>
          <w:rPr>
            <w:rStyle w:val="Hyperlink"/>
          </w:rPr>
          <w:t xml:space="preserve">https://doi.org/10.1126/science.1225883</w:t>
        </w:r>
      </w:hyperlink>
      <w:r>
        <w:t xml:space="preserve">.</w:t>
      </w:r>
    </w:p>
    <w:bookmarkEnd w:id="116"/>
    <w:bookmarkStart w:id="118"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117">
        <w:r>
          <w:rPr>
            <w:rStyle w:val="Hyperlink"/>
          </w:rPr>
          <w:t xml:space="preserve">https://www.ncbi.nlm.nih.gov/pubmed/8551296</w:t>
        </w:r>
      </w:hyperlink>
      <w:r>
        <w:t xml:space="preserve">.</w:t>
      </w:r>
    </w:p>
    <w:bookmarkEnd w:id="118"/>
    <w:bookmarkStart w:id="120"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119">
        <w:r>
          <w:rPr>
            <w:rStyle w:val="Hyperlink"/>
          </w:rPr>
          <w:t xml:space="preserve">https://doi.org/10.1007/BF00329753</w:t>
        </w:r>
      </w:hyperlink>
      <w:r>
        <w:t xml:space="preserve">.</w:t>
      </w:r>
    </w:p>
    <w:bookmarkEnd w:id="120"/>
    <w:bookmarkStart w:id="122"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121">
        <w:r>
          <w:rPr>
            <w:rStyle w:val="Hyperlink"/>
          </w:rPr>
          <w:t xml:space="preserve">https://www.semanticscholar.org/paper/Heritability-of-spider-ballooning-motivation-under-Bonte-Lens/d6118c2cd143572bc4f098b5916186ec63c0f12a</w:t>
        </w:r>
      </w:hyperlink>
      <w:r>
        <w:t xml:space="preserve">.</w:t>
      </w:r>
    </w:p>
    <w:bookmarkEnd w:id="122"/>
    <w:bookmarkStart w:id="124"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123">
        <w:r>
          <w:rPr>
            <w:rStyle w:val="Hyperlink"/>
          </w:rPr>
          <w:t xml:space="preserve">https://www.semanticscholar.org/paper/Understanding-and-misunderstanding-the-migration-of-Brower/79380ddbf559e310fef9bb8919c03c63ccddecb7</w:t>
        </w:r>
      </w:hyperlink>
      <w:r>
        <w:t xml:space="preserve">.</w:t>
      </w:r>
    </w:p>
    <w:bookmarkEnd w:id="124"/>
    <w:bookmarkStart w:id="125"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125"/>
    <w:bookmarkStart w:id="127"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126">
        <w:r>
          <w:rPr>
            <w:rStyle w:val="Hyperlink"/>
          </w:rPr>
          <w:t xml:space="preserve">https://doi.org/10.2307/2387997</w:t>
        </w:r>
      </w:hyperlink>
      <w:r>
        <w:t xml:space="preserve">.</w:t>
      </w:r>
    </w:p>
    <w:bookmarkEnd w:id="127"/>
    <w:bookmarkStart w:id="129"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128">
        <w:r>
          <w:rPr>
            <w:rStyle w:val="Hyperlink"/>
          </w:rPr>
          <w:t xml:space="preserve">https://doi.org/10.1111/j.1365-2311.1982.tb00664.x</w:t>
        </w:r>
      </w:hyperlink>
      <w:r>
        <w:t xml:space="preserve">.</w:t>
      </w:r>
    </w:p>
    <w:bookmarkEnd w:id="129"/>
    <w:bookmarkStart w:id="131"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130">
        <w:r>
          <w:rPr>
            <w:rStyle w:val="Hyperlink"/>
          </w:rPr>
          <w:t xml:space="preserve">https://doi.org/10.1016/j.jinsphys.2011.05.004</w:t>
        </w:r>
      </w:hyperlink>
      <w:r>
        <w:t xml:space="preserve">.</w:t>
      </w:r>
    </w:p>
    <w:bookmarkEnd w:id="131"/>
    <w:bookmarkStart w:id="133"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132">
        <w:r>
          <w:rPr>
            <w:rStyle w:val="Hyperlink"/>
          </w:rPr>
          <w:t xml:space="preserve">https://hero.epa.gov/hero/index.cfm/reference/details/reference_id/52731</w:t>
        </w:r>
      </w:hyperlink>
      <w:r>
        <w:t xml:space="preserve">.</w:t>
      </w:r>
    </w:p>
    <w:bookmarkEnd w:id="133"/>
    <w:bookmarkStart w:id="135"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134">
        <w:r>
          <w:rPr>
            <w:rStyle w:val="Hyperlink"/>
          </w:rPr>
          <w:t xml:space="preserve">https://doi.org/10.1002/eap.1975</w:t>
        </w:r>
      </w:hyperlink>
      <w:r>
        <w:t xml:space="preserve">.</w:t>
      </w:r>
    </w:p>
    <w:bookmarkEnd w:id="135"/>
    <w:bookmarkStart w:id="137"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136">
        <w:r>
          <w:rPr>
            <w:rStyle w:val="Hyperlink"/>
          </w:rPr>
          <w:t xml:space="preserve">https://doi.org/10.1016/j.jtherbio.2014.05.004</w:t>
        </w:r>
      </w:hyperlink>
      <w:r>
        <w:t xml:space="preserve">.</w:t>
      </w:r>
    </w:p>
    <w:bookmarkEnd w:id="137"/>
    <w:bookmarkStart w:id="139"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138">
        <w:r>
          <w:rPr>
            <w:rStyle w:val="Hyperlink"/>
          </w:rPr>
          <w:t xml:space="preserve">https://doi.org/10.3390/insects9040167</w:t>
        </w:r>
      </w:hyperlink>
      <w:r>
        <w:t xml:space="preserve">.</w:t>
      </w:r>
    </w:p>
    <w:bookmarkEnd w:id="139"/>
    <w:bookmarkStart w:id="141"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40">
        <w:r>
          <w:rPr>
            <w:rStyle w:val="Hyperlink"/>
          </w:rPr>
          <w:t xml:space="preserve">https://doi.org/10.1111/csp2.432</w:t>
        </w:r>
      </w:hyperlink>
      <w:r>
        <w:t xml:space="preserve">.</w:t>
      </w:r>
    </w:p>
    <w:bookmarkEnd w:id="141"/>
    <w:bookmarkStart w:id="143"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42">
        <w:r>
          <w:rPr>
            <w:rStyle w:val="Hyperlink"/>
          </w:rPr>
          <w:t xml:space="preserve">https://doi.org/10.1046/j.1365-2311.2002.00454.x</w:t>
        </w:r>
      </w:hyperlink>
      <w:r>
        <w:t xml:space="preserve">.</w:t>
      </w:r>
    </w:p>
    <w:bookmarkEnd w:id="143"/>
    <w:bookmarkStart w:id="145"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44">
        <w:r>
          <w:rPr>
            <w:rStyle w:val="Hyperlink"/>
          </w:rPr>
          <w:t xml:space="preserve">https://doi.org/10.1080/02541858.1997.11448445</w:t>
        </w:r>
      </w:hyperlink>
      <w:r>
        <w:t xml:space="preserve">.</w:t>
      </w:r>
    </w:p>
    <w:bookmarkEnd w:id="145"/>
    <w:bookmarkStart w:id="147"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46">
        <w:r>
          <w:rPr>
            <w:rStyle w:val="Hyperlink"/>
          </w:rPr>
          <w:t xml:space="preserve">https://doi.org/10.1098/rspb.2001.1765</w:t>
        </w:r>
      </w:hyperlink>
      <w:r>
        <w:t xml:space="preserve">.</w:t>
      </w:r>
    </w:p>
    <w:bookmarkEnd w:id="147"/>
    <w:bookmarkStart w:id="149"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48">
        <w:r>
          <w:rPr>
            <w:rStyle w:val="Hyperlink"/>
          </w:rPr>
          <w:t xml:space="preserve">https://www.frontiersin.org/articles/10.3389/fevo.2019.00266</w:t>
        </w:r>
      </w:hyperlink>
      <w:r>
        <w:t xml:space="preserve">.</w:t>
      </w:r>
    </w:p>
    <w:bookmarkEnd w:id="149"/>
    <w:bookmarkStart w:id="150"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50"/>
    <w:bookmarkStart w:id="152"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51">
        <w:r>
          <w:rPr>
            <w:rStyle w:val="Hyperlink"/>
          </w:rPr>
          <w:t xml:space="preserve">https://xerces.org/protecting-californias-butterfly-groves</w:t>
        </w:r>
      </w:hyperlink>
      <w:r>
        <w:t xml:space="preserve">.</w:t>
      </w:r>
    </w:p>
    <w:bookmarkEnd w:id="152"/>
    <w:bookmarkStart w:id="154"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53">
        <w:r>
          <w:rPr>
            <w:rStyle w:val="Hyperlink"/>
          </w:rPr>
          <w:t xml:space="preserve">https://www.xerces.org</w:t>
        </w:r>
      </w:hyperlink>
      <w:r>
        <w:t xml:space="preserve">.</w:t>
      </w:r>
    </w:p>
    <w:bookmarkEnd w:id="154"/>
    <w:bookmarkStart w:id="156"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55">
        <w:r>
          <w:rPr>
            <w:rStyle w:val="Hyperlink"/>
          </w:rPr>
          <w:t xml:space="preserve">https://doi.org/10.1007/BF00298260</w:t>
        </w:r>
      </w:hyperlink>
      <w:r>
        <w:t xml:space="preserve">.</w:t>
      </w:r>
    </w:p>
    <w:bookmarkEnd w:id="156"/>
    <w:bookmarkStart w:id="158"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57">
        <w:r>
          <w:rPr>
            <w:rStyle w:val="Hyperlink"/>
          </w:rPr>
          <w:t xml:space="preserve">https://doi.org/10.1242/jeb.073668</w:t>
        </w:r>
      </w:hyperlink>
      <w:r>
        <w:t xml:space="preserve">.</w:t>
      </w:r>
    </w:p>
    <w:bookmarkEnd w:id="158"/>
    <w:bookmarkStart w:id="160"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59">
        <w:r>
          <w:rPr>
            <w:rStyle w:val="Hyperlink"/>
          </w:rPr>
          <w:t xml:space="preserve">https://doi.org/10.1111/aen.12175</w:t>
        </w:r>
      </w:hyperlink>
      <w:r>
        <w:t xml:space="preserve">.</w:t>
      </w:r>
    </w:p>
    <w:bookmarkEnd w:id="160"/>
    <w:bookmarkStart w:id="161"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61"/>
    <w:bookmarkStart w:id="162"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62"/>
    <w:bookmarkStart w:id="164"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63">
        <w:r>
          <w:rPr>
            <w:rStyle w:val="Hyperlink"/>
          </w:rPr>
          <w:t xml:space="preserve">https://doi.org/10.1093/aesa/84.3.263</w:t>
        </w:r>
      </w:hyperlink>
      <w:r>
        <w:t xml:space="preserve">.</w:t>
      </w:r>
    </w:p>
    <w:bookmarkEnd w:id="164"/>
    <w:bookmarkStart w:id="166"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65">
        <w:r>
          <w:rPr>
            <w:rStyle w:val="Hyperlink"/>
          </w:rPr>
          <w:t xml:space="preserve">https://doi.org/10.1093/aesa/83.5.906</w:t>
        </w:r>
      </w:hyperlink>
      <w:r>
        <w:t xml:space="preserve">.</w:t>
      </w:r>
    </w:p>
    <w:bookmarkEnd w:id="166"/>
    <w:bookmarkStart w:id="168"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67">
        <w:r>
          <w:rPr>
            <w:rStyle w:val="Hyperlink"/>
          </w:rPr>
          <w:t xml:space="preserve">https://doi.org/10.1038/s41598-017-14510-w</w:t>
        </w:r>
      </w:hyperlink>
      <w:r>
        <w:t xml:space="preserve">.</w:t>
      </w:r>
    </w:p>
    <w:bookmarkEnd w:id="168"/>
    <w:bookmarkStart w:id="170"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69">
        <w:r>
          <w:rPr>
            <w:rStyle w:val="Hyperlink"/>
          </w:rPr>
          <w:t xml:space="preserve">https://doi.org/10.2307/1940444</w:t>
        </w:r>
      </w:hyperlink>
      <w:r>
        <w:t xml:space="preserve">.</w:t>
      </w:r>
    </w:p>
    <w:bookmarkEnd w:id="170"/>
    <w:bookmarkStart w:id="172"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71">
        <w:r>
          <w:rPr>
            <w:rStyle w:val="Hyperlink"/>
          </w:rPr>
          <w:t xml:space="preserve">https://doi.org/10.1002/ecy.3634</w:t>
        </w:r>
      </w:hyperlink>
      <w:r>
        <w:t xml:space="preserve">.</w:t>
      </w:r>
    </w:p>
    <w:bookmarkEnd w:id="172"/>
    <w:bookmarkStart w:id="174"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73">
        <w:r>
          <w:rPr>
            <w:rStyle w:val="Hyperlink"/>
          </w:rPr>
          <w:t xml:space="preserve">https://doi.org/10.1073/pnas.152137299</w:t>
        </w:r>
      </w:hyperlink>
      <w:r>
        <w:t xml:space="preserve">.</w:t>
      </w:r>
    </w:p>
    <w:bookmarkEnd w:id="174"/>
    <w:bookmarkStart w:id="176"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75">
        <w:r>
          <w:rPr>
            <w:rStyle w:val="Hyperlink"/>
          </w:rPr>
          <w:t xml:space="preserve">https://doi.org/10.1111/j.1366-9516.2005.00146.x</w:t>
        </w:r>
      </w:hyperlink>
      <w:r>
        <w:t xml:space="preserve">.</w:t>
      </w:r>
    </w:p>
    <w:bookmarkEnd w:id="176"/>
    <w:bookmarkStart w:id="178"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77">
        <w:r>
          <w:rPr>
            <w:rStyle w:val="Hyperlink"/>
          </w:rPr>
          <w:t xml:space="preserve">https://doi.org/10.1098/rspb.2020.2988</w:t>
        </w:r>
      </w:hyperlink>
      <w:r>
        <w:t xml:space="preserve">.</w:t>
      </w:r>
    </w:p>
    <w:bookmarkEnd w:id="178"/>
    <w:bookmarkStart w:id="179"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79"/>
    <w:bookmarkStart w:id="181"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80">
        <w:r>
          <w:rPr>
            <w:rStyle w:val="Hyperlink"/>
          </w:rPr>
          <w:t xml:space="preserve">https://www.frontiersin.org/articles/10.3389/fevo.2019.00258</w:t>
        </w:r>
      </w:hyperlink>
      <w:r>
        <w:t xml:space="preserve">.</w:t>
      </w:r>
    </w:p>
    <w:bookmarkEnd w:id="181"/>
    <w:bookmarkStart w:id="183"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82">
        <w:r>
          <w:rPr>
            <w:rStyle w:val="Hyperlink"/>
          </w:rPr>
          <w:t xml:space="preserve">https://doi.org/10.1016/j.cub.2018.02.067</w:t>
        </w:r>
      </w:hyperlink>
      <w:r>
        <w:t xml:space="preserve">.</w:t>
      </w:r>
    </w:p>
    <w:bookmarkEnd w:id="183"/>
    <w:bookmarkStart w:id="185"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84">
        <w:r>
          <w:rPr>
            <w:rStyle w:val="Hyperlink"/>
          </w:rPr>
          <w:t xml:space="preserve">https://www.frontiersin.org/articles/10.3389/fcosc.2022.844299</w:t>
        </w:r>
      </w:hyperlink>
      <w:r>
        <w:t xml:space="preserve">.</w:t>
      </w:r>
    </w:p>
    <w:bookmarkEnd w:id="185"/>
    <w:bookmarkStart w:id="187"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86">
        <w:r>
          <w:rPr>
            <w:rStyle w:val="Hyperlink"/>
          </w:rPr>
          <w:t xml:space="preserve">https://doi.org/10.1016/j.biocon.2017.08.019</w:t>
        </w:r>
      </w:hyperlink>
      <w:r>
        <w:t xml:space="preserve">.</w:t>
      </w:r>
    </w:p>
    <w:bookmarkEnd w:id="187"/>
    <w:bookmarkStart w:id="189"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88">
        <w:r>
          <w:rPr>
            <w:rStyle w:val="Hyperlink"/>
          </w:rPr>
          <w:t xml:space="preserve">https://doi.org/10.1002/ece3.5607</w:t>
        </w:r>
      </w:hyperlink>
      <w:r>
        <w:t xml:space="preserve">.</w:t>
      </w:r>
    </w:p>
    <w:bookmarkEnd w:id="189"/>
    <w:bookmarkStart w:id="191"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90">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91"/>
    <w:bookmarkStart w:id="193"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92">
        <w:r>
          <w:rPr>
            <w:rStyle w:val="Hyperlink"/>
          </w:rPr>
          <w:t xml:space="preserve">https://www.goletamonarchpress.com/2019/06/city-awarded-3-9-million-in-funding-for-the-monarch-butterfly-habitat-management-plan/</w:t>
        </w:r>
      </w:hyperlink>
      <w:r>
        <w:t xml:space="preserve">.</w:t>
      </w:r>
    </w:p>
    <w:bookmarkEnd w:id="193"/>
    <w:bookmarkStart w:id="195"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94">
        <w:r>
          <w:rPr>
            <w:rStyle w:val="Hyperlink"/>
          </w:rPr>
          <w:t xml:space="preserve">https://doi.org/10.1111/j.1365-2311.1978.tb00912.x</w:t>
        </w:r>
      </w:hyperlink>
      <w:r>
        <w:t xml:space="preserve">.</w:t>
      </w:r>
    </w:p>
    <w:bookmarkEnd w:id="195"/>
    <w:bookmarkStart w:id="196"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96"/>
    <w:bookmarkStart w:id="197"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97"/>
    <w:bookmarkStart w:id="199"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98">
        <w:r>
          <w:rPr>
            <w:rStyle w:val="Hyperlink"/>
          </w:rPr>
          <w:t xml:space="preserve">https://doi.org/10.1007/s00265-020-02842-z</w:t>
        </w:r>
      </w:hyperlink>
      <w:r>
        <w:t xml:space="preserve">.</w:t>
      </w:r>
    </w:p>
    <w:bookmarkEnd w:id="199"/>
    <w:bookmarkStart w:id="201"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200">
        <w:r>
          <w:rPr>
            <w:rStyle w:val="Hyperlink"/>
          </w:rPr>
          <w:t xml:space="preserve">https://doi.org/10.1016/j.biocon.2014.09.041</w:t>
        </w:r>
      </w:hyperlink>
      <w:r>
        <w:t xml:space="preserve">.</w:t>
      </w:r>
    </w:p>
    <w:bookmarkEnd w:id="201"/>
    <w:bookmarkStart w:id="202"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202"/>
    <w:bookmarkStart w:id="204"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203">
        <w:r>
          <w:rPr>
            <w:rStyle w:val="Hyperlink"/>
          </w:rPr>
          <w:t xml:space="preserve">http://www.creeksidescience.com</w:t>
        </w:r>
      </w:hyperlink>
      <w:r>
        <w:t xml:space="preserve">.</w:t>
      </w:r>
    </w:p>
    <w:bookmarkEnd w:id="204"/>
    <w:bookmarkStart w:id="206"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205">
        <w:r>
          <w:rPr>
            <w:rStyle w:val="Hyperlink"/>
          </w:rPr>
          <w:t xml:space="preserve">https://doi.org/10.1111/j.1523-1739.1991.tb00121.x</w:t>
        </w:r>
      </w:hyperlink>
      <w:r>
        <w:t xml:space="preserve">.</w:t>
      </w:r>
    </w:p>
    <w:bookmarkEnd w:id="206"/>
    <w:bookmarkStart w:id="208"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207">
        <w:r>
          <w:rPr>
            <w:rStyle w:val="Hyperlink"/>
          </w:rPr>
          <w:t xml:space="preserve">https://www.xerces.org/sites/default/files/2018-05/16-015_01_XercesSoc_State-of-Monarch-Overwintering-Sites-in-California_web.pdf</w:t>
        </w:r>
      </w:hyperlink>
      <w:r>
        <w:t xml:space="preserve">.</w:t>
      </w:r>
    </w:p>
    <w:bookmarkEnd w:id="208"/>
    <w:bookmarkStart w:id="209" w:name="Xbc0d6ddcce5b5a7ab9f2d41af22dac159b4acdd"/>
    <w:p>
      <w:pPr>
        <w:pStyle w:val="Bibliography"/>
      </w:pPr>
      <w:r>
        <w:t xml:space="preserve">———. 2017.</w:t>
      </w:r>
      <w:r>
        <w:t xml:space="preserve"> </w:t>
      </w:r>
      <w:r>
        <w:t xml:space="preserve">“Step-by-</w:t>
      </w:r>
      <w:r>
        <w:t xml:space="preserve">Step Western Monarch Thanksgiving Count Monitoring Guide</w:t>
      </w:r>
      <w:r>
        <w:t xml:space="preserve">.”</w:t>
      </w:r>
    </w:p>
    <w:bookmarkEnd w:id="209"/>
    <w:bookmarkStart w:id="210"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53">
        <w:r>
          <w:rPr>
            <w:rStyle w:val="Hyperlink"/>
          </w:rPr>
          <w:t xml:space="preserve">www.xerces.org</w:t>
        </w:r>
      </w:hyperlink>
      <w:r>
        <w:t xml:space="preserve">.</w:t>
      </w:r>
    </w:p>
    <w:bookmarkEnd w:id="210"/>
    <w:bookmarkStart w:id="212"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211">
        <w:r>
          <w:rPr>
            <w:rStyle w:val="Hyperlink"/>
          </w:rPr>
          <w:t xml:space="preserve">WesternMonarchCount.com</w:t>
        </w:r>
      </w:hyperlink>
      <w:r>
        <w:t xml:space="preserve">.</w:t>
      </w:r>
    </w:p>
    <w:bookmarkEnd w:id="212"/>
    <w:bookmarkStart w:id="214"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213">
        <w:r>
          <w:rPr>
            <w:rStyle w:val="Hyperlink"/>
          </w:rPr>
          <w:t xml:space="preserve">https://www.xerces.org/press/western-monarch-butterfly-population-declines-to-near-record-low</w:t>
        </w:r>
      </w:hyperlink>
      <w:r>
        <w:t xml:space="preserve">.</w:t>
      </w:r>
    </w:p>
    <w:bookmarkEnd w:id="214"/>
    <w:bookmarkStart w:id="216"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215">
        <w:r>
          <w:rPr>
            <w:rStyle w:val="Hyperlink"/>
          </w:rPr>
          <w:t xml:space="preserve">https://doi.org/10.1111/ecog.01994</w:t>
        </w:r>
      </w:hyperlink>
      <w:r>
        <w:t xml:space="preserve">.</w:t>
      </w:r>
    </w:p>
    <w:bookmarkEnd w:id="216"/>
    <w:bookmarkStart w:id="218"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217">
        <w:r>
          <w:rPr>
            <w:rStyle w:val="Hyperlink"/>
          </w:rPr>
          <w:t xml:space="preserve">https://doi.org/10.1111/j.1440-6055.1982.tb01803.x</w:t>
        </w:r>
      </w:hyperlink>
      <w:r>
        <w:t xml:space="preserve">.</w:t>
      </w:r>
    </w:p>
    <w:bookmarkEnd w:id="218"/>
    <w:bookmarkEnd w:id="219"/>
    <w:bookmarkEnd w:id="2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89" Target="media/rId89.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59" Target="media/rId59.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hyperlink" Id="rId203" Target="http://www.creeksidescience.com" TargetMode="External" /><Relationship Type="http://schemas.openxmlformats.org/officeDocument/2006/relationships/hyperlink" Id="rId211" Target="https://WesternMonarchCount.com" TargetMode="External" /><Relationship Type="http://schemas.openxmlformats.org/officeDocument/2006/relationships/hyperlink" Id="rId190"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34" Target="https://doi.org/10.1002/eap.1975" TargetMode="External" /><Relationship Type="http://schemas.openxmlformats.org/officeDocument/2006/relationships/hyperlink" Id="rId188" Target="https://doi.org/10.1002/ece3.5607" TargetMode="External" /><Relationship Type="http://schemas.openxmlformats.org/officeDocument/2006/relationships/hyperlink" Id="rId171" Target="https://doi.org/10.1002/ecy.3634" TargetMode="External" /><Relationship Type="http://schemas.openxmlformats.org/officeDocument/2006/relationships/hyperlink" Id="rId155" Target="https://doi.org/10.1007/BF00298260" TargetMode="External" /><Relationship Type="http://schemas.openxmlformats.org/officeDocument/2006/relationships/hyperlink" Id="rId119" Target="https://doi.org/10.1007/BF00329753" TargetMode="External" /><Relationship Type="http://schemas.openxmlformats.org/officeDocument/2006/relationships/hyperlink" Id="rId198" Target="https://doi.org/10.1007/s00265-020-02842-z" TargetMode="External" /><Relationship Type="http://schemas.openxmlformats.org/officeDocument/2006/relationships/hyperlink" Id="rId109" Target="https://doi.org/10.1016/0022-1910(76)90046-9" TargetMode="External" /><Relationship Type="http://schemas.openxmlformats.org/officeDocument/2006/relationships/hyperlink" Id="rId113" Target="https://doi.org/10.1016/0022-1910(79)90112-4" TargetMode="External" /><Relationship Type="http://schemas.openxmlformats.org/officeDocument/2006/relationships/hyperlink" Id="rId200" Target="https://doi.org/10.1016/j.biocon.2014.09.041" TargetMode="External" /><Relationship Type="http://schemas.openxmlformats.org/officeDocument/2006/relationships/hyperlink" Id="rId186" Target="https://doi.org/10.1016/j.biocon.2017.08.019" TargetMode="External" /><Relationship Type="http://schemas.openxmlformats.org/officeDocument/2006/relationships/hyperlink" Id="rId182" Target="https://doi.org/10.1016/j.cub.2018.02.067" TargetMode="External" /><Relationship Type="http://schemas.openxmlformats.org/officeDocument/2006/relationships/hyperlink" Id="rId130" Target="https://doi.org/10.1016/j.jinsphys.2011.05.004" TargetMode="External" /><Relationship Type="http://schemas.openxmlformats.org/officeDocument/2006/relationships/hyperlink" Id="rId136" Target="https://doi.org/10.1016/j.jtherbio.2014.05.004" TargetMode="External" /><Relationship Type="http://schemas.openxmlformats.org/officeDocument/2006/relationships/hyperlink" Id="rId167" Target="https://doi.org/10.1038/s41598-017-14510-w" TargetMode="External" /><Relationship Type="http://schemas.openxmlformats.org/officeDocument/2006/relationships/hyperlink" Id="rId142" Target="https://doi.org/10.1046/j.1365-2311.2002.00454.x" TargetMode="External" /><Relationship Type="http://schemas.openxmlformats.org/officeDocument/2006/relationships/hyperlink" Id="rId173" Target="https://doi.org/10.1073/pnas.152137299" TargetMode="External" /><Relationship Type="http://schemas.openxmlformats.org/officeDocument/2006/relationships/hyperlink" Id="rId144" Target="https://doi.org/10.1080/02541858.1997.11448445" TargetMode="External" /><Relationship Type="http://schemas.openxmlformats.org/officeDocument/2006/relationships/hyperlink" Id="rId111" Target="https://doi.org/10.1086/698656" TargetMode="External" /><Relationship Type="http://schemas.openxmlformats.org/officeDocument/2006/relationships/hyperlink" Id="rId165" Target="https://doi.org/10.1093/aesa/83.5.906" TargetMode="External" /><Relationship Type="http://schemas.openxmlformats.org/officeDocument/2006/relationships/hyperlink" Id="rId163" Target="https://doi.org/10.1093/aesa/84.3.263" TargetMode="External" /><Relationship Type="http://schemas.openxmlformats.org/officeDocument/2006/relationships/hyperlink" Id="rId146" Target="https://doi.org/10.1098/rspb.2001.1765" TargetMode="External" /><Relationship Type="http://schemas.openxmlformats.org/officeDocument/2006/relationships/hyperlink" Id="rId177" Target="https://doi.org/10.1098/rspb.2020.2988" TargetMode="External" /><Relationship Type="http://schemas.openxmlformats.org/officeDocument/2006/relationships/hyperlink" Id="rId159" Target="https://doi.org/10.1111/aen.12175" TargetMode="External" /><Relationship Type="http://schemas.openxmlformats.org/officeDocument/2006/relationships/hyperlink" Id="rId140" Target="https://doi.org/10.1111/csp2.432" TargetMode="External" /><Relationship Type="http://schemas.openxmlformats.org/officeDocument/2006/relationships/hyperlink" Id="rId215" Target="https://doi.org/10.1111/ecog.01994" TargetMode="External" /><Relationship Type="http://schemas.openxmlformats.org/officeDocument/2006/relationships/hyperlink" Id="rId194" Target="https://doi.org/10.1111/j.1365-2311.1978.tb00912.x" TargetMode="External" /><Relationship Type="http://schemas.openxmlformats.org/officeDocument/2006/relationships/hyperlink" Id="rId128" Target="https://doi.org/10.1111/j.1365-2311.1982.tb00664.x" TargetMode="External" /><Relationship Type="http://schemas.openxmlformats.org/officeDocument/2006/relationships/hyperlink" Id="rId175" Target="https://doi.org/10.1111/j.1366-9516.2005.00146.x" TargetMode="External" /><Relationship Type="http://schemas.openxmlformats.org/officeDocument/2006/relationships/hyperlink" Id="rId217" Target="https://doi.org/10.1111/j.1440-6055.1982.tb01803.x" TargetMode="External" /><Relationship Type="http://schemas.openxmlformats.org/officeDocument/2006/relationships/hyperlink" Id="rId205" Target="https://doi.org/10.1111/j.1523-1739.1991.tb00121.x" TargetMode="External" /><Relationship Type="http://schemas.openxmlformats.org/officeDocument/2006/relationships/hyperlink" Id="rId115" Target="https://doi.org/10.1126/science.1225883" TargetMode="External" /><Relationship Type="http://schemas.openxmlformats.org/officeDocument/2006/relationships/hyperlink" Id="rId157" Target="https://doi.org/10.1242/jeb.073668" TargetMode="External" /><Relationship Type="http://schemas.openxmlformats.org/officeDocument/2006/relationships/hyperlink" Id="rId169" Target="https://doi.org/10.2307/1940444" TargetMode="External" /><Relationship Type="http://schemas.openxmlformats.org/officeDocument/2006/relationships/hyperlink" Id="rId126" Target="https://doi.org/10.2307/2387997" TargetMode="External" /><Relationship Type="http://schemas.openxmlformats.org/officeDocument/2006/relationships/hyperlink" Id="rId106" Target="https://doi.org/10.2307/2388612" TargetMode="External" /><Relationship Type="http://schemas.openxmlformats.org/officeDocument/2006/relationships/hyperlink" Id="rId138" Target="https://doi.org/10.3390/insects9040167" TargetMode="External" /><Relationship Type="http://schemas.openxmlformats.org/officeDocument/2006/relationships/hyperlink" Id="rId132" Target="https://hero.epa.gov/hero/index.cfm/reference/details/reference_id/52731"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184" Target="https://www.frontiersin.org/articles/10.3389/fcosc.2022.844299" TargetMode="External" /><Relationship Type="http://schemas.openxmlformats.org/officeDocument/2006/relationships/hyperlink" Id="rId180" Target="https://www.frontiersin.org/articles/10.3389/fevo.2019.00258" TargetMode="External" /><Relationship Type="http://schemas.openxmlformats.org/officeDocument/2006/relationships/hyperlink" Id="rId148" Target="https://www.frontiersin.org/articles/10.3389/fevo.2019.00266" TargetMode="External" /><Relationship Type="http://schemas.openxmlformats.org/officeDocument/2006/relationships/hyperlink" Id="rId192" Target="https://www.goletamonarchpress.com/2019/06/city-awarded-3-9-million-in-funding-for-the-monarch-butterfly-habitat-management-plan/" TargetMode="External" /><Relationship Type="http://schemas.openxmlformats.org/officeDocument/2006/relationships/hyperlink" Id="rId117" Target="https://www.ncbi.nlm.nih.gov/pubmed/8551296" TargetMode="External" /><Relationship Type="http://schemas.openxmlformats.org/officeDocument/2006/relationships/hyperlink" Id="rId121" Target="https://www.semanticscholar.org/paper/Heritability-of-spider-ballooning-motivation-under-Bonte-Lens/d6118c2cd143572bc4f098b5916186ec63c0f12a" TargetMode="External" /><Relationship Type="http://schemas.openxmlformats.org/officeDocument/2006/relationships/hyperlink" Id="rId123" Target="https://www.semanticscholar.org/paper/Understanding-and-misunderstanding-the-migration-of-Brower/79380ddbf559e310fef9bb8919c03c63ccddecb7" TargetMode="External" /><Relationship Type="http://schemas.openxmlformats.org/officeDocument/2006/relationships/hyperlink" Id="rId153" Target="https://www.xerces.org" TargetMode="External" /><Relationship Type="http://schemas.openxmlformats.org/officeDocument/2006/relationships/hyperlink" Id="rId213" Target="https://www.xerces.org/press/western-monarch-butterfly-population-declines-to-near-record-low" TargetMode="External" /><Relationship Type="http://schemas.openxmlformats.org/officeDocument/2006/relationships/hyperlink" Id="rId207" Target="https://www.xerces.org/sites/default/files/2018-05/16-015_01_XercesSoc_State-of-Monarch-Overwintering-Sites-in-California_web.pdf" TargetMode="External" /><Relationship Type="http://schemas.openxmlformats.org/officeDocument/2006/relationships/hyperlink" Id="rId151"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203" Target="http://www.creeksidescience.com" TargetMode="External" /><Relationship Type="http://schemas.openxmlformats.org/officeDocument/2006/relationships/hyperlink" Id="rId211" Target="https://WesternMonarchCount.com" TargetMode="External" /><Relationship Type="http://schemas.openxmlformats.org/officeDocument/2006/relationships/hyperlink" Id="rId190"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134" Target="https://doi.org/10.1002/eap.1975" TargetMode="External" /><Relationship Type="http://schemas.openxmlformats.org/officeDocument/2006/relationships/hyperlink" Id="rId188" Target="https://doi.org/10.1002/ece3.5607" TargetMode="External" /><Relationship Type="http://schemas.openxmlformats.org/officeDocument/2006/relationships/hyperlink" Id="rId171" Target="https://doi.org/10.1002/ecy.3634" TargetMode="External" /><Relationship Type="http://schemas.openxmlformats.org/officeDocument/2006/relationships/hyperlink" Id="rId155" Target="https://doi.org/10.1007/BF00298260" TargetMode="External" /><Relationship Type="http://schemas.openxmlformats.org/officeDocument/2006/relationships/hyperlink" Id="rId119" Target="https://doi.org/10.1007/BF00329753" TargetMode="External" /><Relationship Type="http://schemas.openxmlformats.org/officeDocument/2006/relationships/hyperlink" Id="rId198" Target="https://doi.org/10.1007/s00265-020-02842-z" TargetMode="External" /><Relationship Type="http://schemas.openxmlformats.org/officeDocument/2006/relationships/hyperlink" Id="rId109" Target="https://doi.org/10.1016/0022-1910(76)90046-9" TargetMode="External" /><Relationship Type="http://schemas.openxmlformats.org/officeDocument/2006/relationships/hyperlink" Id="rId113" Target="https://doi.org/10.1016/0022-1910(79)90112-4" TargetMode="External" /><Relationship Type="http://schemas.openxmlformats.org/officeDocument/2006/relationships/hyperlink" Id="rId200" Target="https://doi.org/10.1016/j.biocon.2014.09.041" TargetMode="External" /><Relationship Type="http://schemas.openxmlformats.org/officeDocument/2006/relationships/hyperlink" Id="rId186" Target="https://doi.org/10.1016/j.biocon.2017.08.019" TargetMode="External" /><Relationship Type="http://schemas.openxmlformats.org/officeDocument/2006/relationships/hyperlink" Id="rId182" Target="https://doi.org/10.1016/j.cub.2018.02.067" TargetMode="External" /><Relationship Type="http://schemas.openxmlformats.org/officeDocument/2006/relationships/hyperlink" Id="rId130" Target="https://doi.org/10.1016/j.jinsphys.2011.05.004" TargetMode="External" /><Relationship Type="http://schemas.openxmlformats.org/officeDocument/2006/relationships/hyperlink" Id="rId136" Target="https://doi.org/10.1016/j.jtherbio.2014.05.004" TargetMode="External" /><Relationship Type="http://schemas.openxmlformats.org/officeDocument/2006/relationships/hyperlink" Id="rId167" Target="https://doi.org/10.1038/s41598-017-14510-w" TargetMode="External" /><Relationship Type="http://schemas.openxmlformats.org/officeDocument/2006/relationships/hyperlink" Id="rId142" Target="https://doi.org/10.1046/j.1365-2311.2002.00454.x" TargetMode="External" /><Relationship Type="http://schemas.openxmlformats.org/officeDocument/2006/relationships/hyperlink" Id="rId173" Target="https://doi.org/10.1073/pnas.152137299" TargetMode="External" /><Relationship Type="http://schemas.openxmlformats.org/officeDocument/2006/relationships/hyperlink" Id="rId144" Target="https://doi.org/10.1080/02541858.1997.11448445" TargetMode="External" /><Relationship Type="http://schemas.openxmlformats.org/officeDocument/2006/relationships/hyperlink" Id="rId111" Target="https://doi.org/10.1086/698656" TargetMode="External" /><Relationship Type="http://schemas.openxmlformats.org/officeDocument/2006/relationships/hyperlink" Id="rId165" Target="https://doi.org/10.1093/aesa/83.5.906" TargetMode="External" /><Relationship Type="http://schemas.openxmlformats.org/officeDocument/2006/relationships/hyperlink" Id="rId163" Target="https://doi.org/10.1093/aesa/84.3.263" TargetMode="External" /><Relationship Type="http://schemas.openxmlformats.org/officeDocument/2006/relationships/hyperlink" Id="rId146" Target="https://doi.org/10.1098/rspb.2001.1765" TargetMode="External" /><Relationship Type="http://schemas.openxmlformats.org/officeDocument/2006/relationships/hyperlink" Id="rId177" Target="https://doi.org/10.1098/rspb.2020.2988" TargetMode="External" /><Relationship Type="http://schemas.openxmlformats.org/officeDocument/2006/relationships/hyperlink" Id="rId159" Target="https://doi.org/10.1111/aen.12175" TargetMode="External" /><Relationship Type="http://schemas.openxmlformats.org/officeDocument/2006/relationships/hyperlink" Id="rId140" Target="https://doi.org/10.1111/csp2.432" TargetMode="External" /><Relationship Type="http://schemas.openxmlformats.org/officeDocument/2006/relationships/hyperlink" Id="rId215" Target="https://doi.org/10.1111/ecog.01994" TargetMode="External" /><Relationship Type="http://schemas.openxmlformats.org/officeDocument/2006/relationships/hyperlink" Id="rId194" Target="https://doi.org/10.1111/j.1365-2311.1978.tb00912.x" TargetMode="External" /><Relationship Type="http://schemas.openxmlformats.org/officeDocument/2006/relationships/hyperlink" Id="rId128" Target="https://doi.org/10.1111/j.1365-2311.1982.tb00664.x" TargetMode="External" /><Relationship Type="http://schemas.openxmlformats.org/officeDocument/2006/relationships/hyperlink" Id="rId175" Target="https://doi.org/10.1111/j.1366-9516.2005.00146.x" TargetMode="External" /><Relationship Type="http://schemas.openxmlformats.org/officeDocument/2006/relationships/hyperlink" Id="rId217" Target="https://doi.org/10.1111/j.1440-6055.1982.tb01803.x" TargetMode="External" /><Relationship Type="http://schemas.openxmlformats.org/officeDocument/2006/relationships/hyperlink" Id="rId205" Target="https://doi.org/10.1111/j.1523-1739.1991.tb00121.x" TargetMode="External" /><Relationship Type="http://schemas.openxmlformats.org/officeDocument/2006/relationships/hyperlink" Id="rId115" Target="https://doi.org/10.1126/science.1225883" TargetMode="External" /><Relationship Type="http://schemas.openxmlformats.org/officeDocument/2006/relationships/hyperlink" Id="rId157" Target="https://doi.org/10.1242/jeb.073668" TargetMode="External" /><Relationship Type="http://schemas.openxmlformats.org/officeDocument/2006/relationships/hyperlink" Id="rId169" Target="https://doi.org/10.2307/1940444" TargetMode="External" /><Relationship Type="http://schemas.openxmlformats.org/officeDocument/2006/relationships/hyperlink" Id="rId126" Target="https://doi.org/10.2307/2387997" TargetMode="External" /><Relationship Type="http://schemas.openxmlformats.org/officeDocument/2006/relationships/hyperlink" Id="rId106" Target="https://doi.org/10.2307/2388612" TargetMode="External" /><Relationship Type="http://schemas.openxmlformats.org/officeDocument/2006/relationships/hyperlink" Id="rId138" Target="https://doi.org/10.3390/insects9040167" TargetMode="External" /><Relationship Type="http://schemas.openxmlformats.org/officeDocument/2006/relationships/hyperlink" Id="rId132" Target="https://hero.epa.gov/hero/index.cfm/reference/details/reference_id/52731"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184" Target="https://www.frontiersin.org/articles/10.3389/fcosc.2022.844299" TargetMode="External" /><Relationship Type="http://schemas.openxmlformats.org/officeDocument/2006/relationships/hyperlink" Id="rId180" Target="https://www.frontiersin.org/articles/10.3389/fevo.2019.00258" TargetMode="External" /><Relationship Type="http://schemas.openxmlformats.org/officeDocument/2006/relationships/hyperlink" Id="rId148" Target="https://www.frontiersin.org/articles/10.3389/fevo.2019.00266" TargetMode="External" /><Relationship Type="http://schemas.openxmlformats.org/officeDocument/2006/relationships/hyperlink" Id="rId192" Target="https://www.goletamonarchpress.com/2019/06/city-awarded-3-9-million-in-funding-for-the-monarch-butterfly-habitat-management-plan/" TargetMode="External" /><Relationship Type="http://schemas.openxmlformats.org/officeDocument/2006/relationships/hyperlink" Id="rId117" Target="https://www.ncbi.nlm.nih.gov/pubmed/8551296" TargetMode="External" /><Relationship Type="http://schemas.openxmlformats.org/officeDocument/2006/relationships/hyperlink" Id="rId121" Target="https://www.semanticscholar.org/paper/Heritability-of-spider-ballooning-motivation-under-Bonte-Lens/d6118c2cd143572bc4f098b5916186ec63c0f12a" TargetMode="External" /><Relationship Type="http://schemas.openxmlformats.org/officeDocument/2006/relationships/hyperlink" Id="rId123" Target="https://www.semanticscholar.org/paper/Understanding-and-misunderstanding-the-migration-of-Brower/79380ddbf559e310fef9bb8919c03c63ccddecb7" TargetMode="External" /><Relationship Type="http://schemas.openxmlformats.org/officeDocument/2006/relationships/hyperlink" Id="rId153" Target="https://www.xerces.org" TargetMode="External" /><Relationship Type="http://schemas.openxmlformats.org/officeDocument/2006/relationships/hyperlink" Id="rId213" Target="https://www.xerces.org/press/western-monarch-butterfly-population-declines-to-near-record-low" TargetMode="External" /><Relationship Type="http://schemas.openxmlformats.org/officeDocument/2006/relationships/hyperlink" Id="rId207" Target="https://www.xerces.org/sites/default/files/2018-05/16-015_01_XercesSoc_State-of-Monarch-Overwintering-Sites-in-California_web.pdf" TargetMode="External" /><Relationship Type="http://schemas.openxmlformats.org/officeDocument/2006/relationships/hyperlink" Id="rId151"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2025-10-10T20:17:26Z</dcterms:created>
  <dcterms:modified xsi:type="dcterms:W3CDTF">2025-10-10T20:17:26Z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