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42.png" ContentType="image/png"/>
  <Override PartName="/word/media/rId38.png" ContentType="image/png"/>
  <Override PartName="/word/media/rId33.png" ContentType="image/png"/>
  <Override PartName="/word/media/rId29.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8"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7"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3"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8074.03</w:t>
            </w:r>
          </w:p>
        </w:tc>
        <w:tc>
          <w:tcPr/>
          <w:p>
            <w:pPr>
              <w:pStyle w:val="Compact"/>
              <w:jc w:val="right"/>
            </w:pPr>
            <w:r>
              <w:t xml:space="preserve">0.00</w:t>
            </w:r>
          </w:p>
        </w:tc>
        <w:tc>
          <w:tcPr/>
          <w:p>
            <w:pPr>
              <w:pStyle w:val="Compact"/>
              <w:jc w:val="right"/>
            </w:pPr>
            <w:r>
              <w:t xml:space="preserve">0.86</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3.83</w:t>
            </w:r>
          </w:p>
        </w:tc>
        <w:tc>
          <w:tcPr/>
          <w:p>
            <w:pPr>
              <w:pStyle w:val="Compact"/>
              <w:jc w:val="right"/>
            </w:pPr>
            <w:r>
              <w:t xml:space="preserve">0.13</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8.87</w:t>
            </w:r>
          </w:p>
        </w:tc>
        <w:tc>
          <w:tcPr/>
          <w:p>
            <w:pPr>
              <w:pStyle w:val="Compact"/>
              <w:jc w:val="right"/>
            </w:pPr>
            <w:r>
              <w:t xml:space="preserve">0.01</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8084.05</w:t>
            </w:r>
          </w:p>
        </w:tc>
        <w:tc>
          <w:tcPr/>
          <w:p>
            <w:pPr>
              <w:pStyle w:val="Compact"/>
              <w:jc w:val="right"/>
            </w:pPr>
            <w:r>
              <w:t xml:space="preserve">10.02</w:t>
            </w:r>
          </w:p>
        </w:tc>
        <w:tc>
          <w:tcPr/>
          <w:p>
            <w:pPr>
              <w:pStyle w:val="Compact"/>
              <w:jc w:val="right"/>
            </w:pPr>
            <w:r>
              <w:t xml:space="preserve">0.01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w:t>
            </w:r>
          </w:p>
        </w:tc>
        <w:tc>
          <w:tcPr/>
          <w:p>
            <w:pPr>
              <w:pStyle w:val="Compact"/>
              <w:jc w:val="right"/>
            </w:pPr>
            <w:r>
              <w:t xml:space="preserve">18.69</w:t>
            </w:r>
          </w:p>
        </w:tc>
        <w:tc>
          <w:tcPr/>
          <w:p>
            <w:pPr>
              <w:pStyle w:val="Compact"/>
              <w:jc w:val="right"/>
            </w:pPr>
            <w:r>
              <w:t xml:space="preserve">0.00</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conditional relationship where wind effects depended on solar exposure conditions (Figure </w:t>
      </w:r>
      <w:hyperlink w:anchor="fig:interaction_wind_sun">
        <w:r>
          <w:rPr>
            <w:rStyle w:val="Hyperlink"/>
          </w:rPr>
          <w:t xml:space="preserve">1.2</w:t>
        </w:r>
      </w:hyperlink>
      <w:r>
        <w:t xml:space="preserve">). This interaction term improved model fit substantially, suggesting that the influence of wind on cluster dynamics varies with the thermal environment experienced by roosting monarchs.</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maximum wind gust speed and butterflies in direct sun on abundance changes. The tensor smooth interaction reveals how wind effects vary with solar exposure conditions.</w:t>
      </w:r>
    </w:p>
    <w:bookmarkEnd w:id="36"/>
    <w:bookmarkEnd w:id="37"/>
    <w:bookmarkStart w:id="46"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 Basis dimension checks indicated adequate smoothing parameter selection, with all k-indices near 1.0 and p-values &gt; 0.05, except for time since sunrise which showed marginal evidence of potential undersmoothing (k-index = 0.96, p = 0.065).</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5" w:name="fig:acf_diagnostics"/>
    <w:p>
      <w:pPr>
        <w:pStyle w:val="CaptionedFigure"/>
      </w:pPr>
      <w:r>
        <w:drawing>
          <wp:inline>
            <wp:extent cx="4267200" cy="2844800"/>
            <wp:effectExtent b="0" l="0" r="0" t="0"/>
            <wp:docPr descr="" title="" id="43" name="Picture"/>
            <a:graphic>
              <a:graphicData uri="http://schemas.openxmlformats.org/drawingml/2006/picture">
                <pic:pic>
                  <pic:nvPicPr>
                    <pic:cNvPr descr="supplemental/results/30_min/figures/diag_acf.png" id="44" name="Picture"/>
                    <pic:cNvPicPr>
                      <a:picLocks noChangeArrowheads="1" noChangeAspect="1"/>
                    </pic:cNvPicPr>
                  </pic:nvPicPr>
                  <pic:blipFill>
                    <a:blip r:embed="rId42"/>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5"/>
    <w:bookmarkEnd w:id="46"/>
    <w:bookmarkStart w:id="52"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whether exceeding the proposed 2 m/s wind speed threshold drives butterfly movement, as suggested by previous literature. The best threshold model (T50) maintained the same structure as our primary analysis but showed notably weaker performance (Table </w:t>
      </w:r>
      <w:hyperlink w:anchor="tab:exports">
        <w:r>
          <w:rPr>
            <w:rStyle w:val="Hyperlink"/>
          </w:rPr>
          <w:t xml:space="preserve">1.2</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Furthermore, the wind threshold term showed weak statistical support even in the best model (p = 0.0001), and non-significant effects in alternative model specifications (e.g., T24: p = 0.372).</w:t>
      </w:r>
    </w:p>
    <w:bookmarkStart w:id="47" w:name="tab:exports"/>
    <w:p>
      <w:pPr>
        <w:pStyle w:val="TableCaption"/>
      </w:pPr>
      <w:r>
        <w:t xml:space="preserve">Model selection results from sensitivity analysis using wind threshold predictor (minutes with wind speed &gt; 2 m/s). Poor model performance (high &lt;U+0394&gt;AIC values) demonstrates lack of support for the 2 m/s disruption threshold.</w:t>
      </w:r>
    </w:p>
    <w:tbl>
      <w:tblPr>
        <w:tblStyle w:val="Table"/>
        <w:tblW w:type="auto" w:w="0"/>
        <w:tblLook w:firstRow="1" w:lastRow="0" w:firstColumn="0" w:lastColumn="0" w:noHBand="0" w:noVBand="0" w:val="0020"/>
        <w:tblCaption w:val="Model selection results from sensitivity analysis using wind threshold predictor (minutes with wind speed &gt; 2 m/s). Poor model performance (high &lt;U+0394&gt;AIC values) demonstrates lack of support for the 2 m/s disruption threshold."/>
      </w:tblPr>
      <w:tblGrid>
        <w:gridCol w:w="1320"/>
        <w:gridCol w:w="1320"/>
        <w:gridCol w:w="1320"/>
        <w:gridCol w:w="1320"/>
        <w:gridCol w:w="1320"/>
        <w:gridCol w:w="1320"/>
      </w:tblGrid>
      <w:tr>
        <w:trPr>
          <w:tblHeader w:val="on"/>
        </w:trPr>
        <w:tc>
          <w:tcPr/>
          <w:p>
            <w:pPr>
              <w:pStyle w:val="Compact"/>
              <w:jc w:val="left"/>
            </w:pPr>
            <w:r>
              <w:t xml:space="preserve">Model ID</w:t>
            </w:r>
          </w:p>
        </w:tc>
        <w:tc>
          <w:tcPr/>
          <w:p>
            <w:pPr>
              <w:pStyle w:val="Compact"/>
              <w:jc w:val="left"/>
            </w:pPr>
            <w:r>
              <w:t xml:space="preserve">Terms included</w:t>
            </w:r>
          </w:p>
        </w:tc>
        <w:tc>
          <w:tcPr/>
          <w:p>
            <w:pPr>
              <w:pStyle w:val="Compact"/>
              <w:jc w:val="right"/>
            </w:pPr>
            <w:r>
              <w:t xml:space="preserve">AIC value</w:t>
            </w:r>
          </w:p>
        </w:tc>
        <w:tc>
          <w:tcPr/>
          <w:p>
            <w:pPr>
              <w:pStyle w:val="Compact"/>
              <w:jc w:val="right"/>
            </w:pPr>
            <w:r>
              <w:t xml:space="preserve">&lt;U+0394&gt;AIC</w:t>
            </w:r>
          </w:p>
        </w:tc>
        <w:tc>
          <w:tcPr/>
          <w:p>
            <w:pPr>
              <w:pStyle w:val="Compact"/>
              <w:jc w:val="right"/>
            </w:pPr>
            <w:r>
              <w:t xml:space="preserve">Weight</w:t>
            </w:r>
          </w:p>
        </w:tc>
        <w:tc>
          <w:tcPr/>
          <w:p>
            <w:pPr>
              <w:pStyle w:val="Compact"/>
              <w:jc w:val="left"/>
            </w:pPr>
            <w:r>
              <w:t xml:space="preserve">Wind threshold p-value</w:t>
            </w:r>
          </w:p>
        </w:tc>
      </w:tr>
      <w:tr>
        <w:tc>
          <w:tcPr/>
          <w:p>
            <w:pPr>
              <w:pStyle w:val="Compact"/>
              <w:jc w:val="left"/>
            </w:pPr>
            <w:r>
              <w:t xml:space="preserve">T24</w:t>
            </w:r>
          </w:p>
        </w:tc>
        <w:tc>
          <w:tcPr/>
          <w:p>
            <w:pPr>
              <w:pStyle w:val="Compact"/>
              <w:jc w:val="left"/>
            </w:pPr>
            <w:r>
              <w:t xml:space="preserve">- Previous butterfly count\n- Minutes above 2 m/s\n- Temperature\n- Butterflies in direct sun\n- Time since sunrise</w:t>
            </w:r>
          </w:p>
        </w:tc>
        <w:tc>
          <w:tcPr/>
          <w:p>
            <w:pPr>
              <w:pStyle w:val="Compact"/>
              <w:jc w:val="right"/>
            </w:pPr>
            <w:r>
              <w:t xml:space="preserve">8089.408</w:t>
            </w:r>
          </w:p>
        </w:tc>
        <w:tc>
          <w:tcPr/>
          <w:p>
            <w:pPr>
              <w:pStyle w:val="Compact"/>
              <w:jc w:val="right"/>
            </w:pPr>
            <w:r>
              <w:t xml:space="preserve">7.560</w:t>
            </w:r>
          </w:p>
        </w:tc>
        <w:tc>
          <w:tcPr/>
          <w:p>
            <w:pPr>
              <w:pStyle w:val="Compact"/>
              <w:jc w:val="right"/>
            </w:pPr>
            <w:r>
              <w:t xml:space="preserve">0.0205</w:t>
            </w:r>
          </w:p>
        </w:tc>
        <w:tc>
          <w:tcPr/>
          <w:p>
            <w:pPr>
              <w:pStyle w:val="Compact"/>
              <w:jc w:val="left"/>
            </w:pPr>
            <w:r>
              <w:t xml:space="preserve">0.372</w:t>
            </w:r>
          </w:p>
        </w:tc>
      </w:tr>
      <w:tr>
        <w:tc>
          <w:tcPr/>
          <w:p>
            <w:pPr>
              <w:pStyle w:val="Compact"/>
              <w:jc w:val="left"/>
            </w:pPr>
            <w:r>
              <w:t xml:space="preserve">T44</w:t>
            </w:r>
          </w:p>
        </w:tc>
        <w:tc>
          <w:tcPr/>
          <w:p>
            <w:pPr>
              <w:pStyle w:val="Compact"/>
              <w:jc w:val="left"/>
            </w:pPr>
            <w:r>
              <w:t xml:space="preserve">- Minutes above 2 m/s\n- Temperature\n- Butterflies in direct sun\n- Time since sunrise</w:t>
            </w:r>
          </w:p>
        </w:tc>
        <w:tc>
          <w:tcPr/>
          <w:p>
            <w:pPr>
              <w:pStyle w:val="Compact"/>
              <w:jc w:val="right"/>
            </w:pPr>
            <w:r>
              <w:t xml:space="preserve">8108.379</w:t>
            </w:r>
          </w:p>
        </w:tc>
        <w:tc>
          <w:tcPr/>
          <w:p>
            <w:pPr>
              <w:pStyle w:val="Compact"/>
              <w:jc w:val="right"/>
            </w:pPr>
            <w:r>
              <w:t xml:space="preserve">26.530</w:t>
            </w:r>
          </w:p>
        </w:tc>
        <w:tc>
          <w:tcPr/>
          <w:p>
            <w:pPr>
              <w:pStyle w:val="Compact"/>
              <w:jc w:val="right"/>
            </w:pPr>
            <w:r>
              <w:t xml:space="preserve">0.0000</w:t>
            </w:r>
          </w:p>
        </w:tc>
        <w:tc>
          <w:tcPr/>
          <w:p>
            <w:pPr>
              <w:pStyle w:val="Compact"/>
              <w:jc w:val="left"/>
            </w:pPr>
            <w:r>
              <w:t xml:space="preserve">0.256</w:t>
            </w:r>
          </w:p>
        </w:tc>
      </w:tr>
      <w:tr>
        <w:tc>
          <w:tcPr/>
          <w:p>
            <w:pPr>
              <w:pStyle w:val="Compact"/>
              <w:jc w:val="left"/>
            </w:pPr>
            <w:r>
              <w:t xml:space="preserve">T21</w:t>
            </w:r>
          </w:p>
        </w:tc>
        <w:tc>
          <w:tcPr/>
          <w:p>
            <w:pPr>
              <w:pStyle w:val="Compact"/>
              <w:jc w:val="left"/>
            </w:pPr>
            <w:r>
              <w:t xml:space="preserve">- Previous butterfly count\n- Minutes above 2 m/s\n- Temperature\n- Butterflies in direct sun</w:t>
            </w:r>
          </w:p>
        </w:tc>
        <w:tc>
          <w:tcPr/>
          <w:p>
            <w:pPr>
              <w:pStyle w:val="Compact"/>
              <w:jc w:val="right"/>
            </w:pPr>
            <w:r>
              <w:t xml:space="preserve">8110.567</w:t>
            </w:r>
          </w:p>
        </w:tc>
        <w:tc>
          <w:tcPr/>
          <w:p>
            <w:pPr>
              <w:pStyle w:val="Compact"/>
              <w:jc w:val="right"/>
            </w:pPr>
            <w:r>
              <w:t xml:space="preserve">28.719</w:t>
            </w:r>
          </w:p>
        </w:tc>
        <w:tc>
          <w:tcPr/>
          <w:p>
            <w:pPr>
              <w:pStyle w:val="Compact"/>
              <w:jc w:val="right"/>
            </w:pPr>
            <w:r>
              <w:t xml:space="preserve">0.0000</w:t>
            </w:r>
          </w:p>
        </w:tc>
        <w:tc>
          <w:tcPr/>
          <w:p>
            <w:pPr>
              <w:pStyle w:val="Compact"/>
              <w:jc w:val="left"/>
            </w:pPr>
            <w:r>
              <w:t xml:space="preserve">0.0528</w:t>
            </w:r>
          </w:p>
        </w:tc>
      </w:tr>
      <w:tr>
        <w:tc>
          <w:tcPr/>
          <w:p>
            <w:pPr>
              <w:pStyle w:val="Compact"/>
              <w:jc w:val="left"/>
            </w:pPr>
            <w:r>
              <w:t xml:space="preserve">T43</w:t>
            </w:r>
          </w:p>
        </w:tc>
        <w:tc>
          <w:tcPr/>
          <w:p>
            <w:pPr>
              <w:pStyle w:val="Compact"/>
              <w:jc w:val="left"/>
            </w:pPr>
            <w:r>
              <w:t xml:space="preserve">- Minutes above 2 m/s\n- Temperature (linear)\n- Butterflies in direct sun\n- Time since sunrise</w:t>
            </w:r>
          </w:p>
        </w:tc>
        <w:tc>
          <w:tcPr/>
          <w:p>
            <w:pPr>
              <w:pStyle w:val="Compact"/>
              <w:jc w:val="right"/>
            </w:pPr>
            <w:r>
              <w:t xml:space="preserve">8115.505</w:t>
            </w:r>
          </w:p>
        </w:tc>
        <w:tc>
          <w:tcPr/>
          <w:p>
            <w:pPr>
              <w:pStyle w:val="Compact"/>
              <w:jc w:val="right"/>
            </w:pPr>
            <w:r>
              <w:t xml:space="preserve">33.657</w:t>
            </w:r>
          </w:p>
        </w:tc>
        <w:tc>
          <w:tcPr/>
          <w:p>
            <w:pPr>
              <w:pStyle w:val="Compact"/>
              <w:jc w:val="right"/>
            </w:pPr>
            <w:r>
              <w:t xml:space="preserve">0.0000</w:t>
            </w:r>
          </w:p>
        </w:tc>
        <w:tc>
          <w:tcPr/>
          <w:p>
            <w:pPr>
              <w:pStyle w:val="Compact"/>
              <w:jc w:val="left"/>
            </w:pPr>
            <w:r>
              <w:t xml:space="preserve">0.275</w:t>
            </w:r>
          </w:p>
        </w:tc>
      </w:tr>
      <w:tr>
        <w:tc>
          <w:tcPr/>
          <w:p>
            <w:pPr>
              <w:pStyle w:val="Compact"/>
              <w:jc w:val="left"/>
            </w:pPr>
            <w:r>
              <w:t xml:space="preserve">T19</w:t>
            </w:r>
          </w:p>
        </w:tc>
        <w:tc>
          <w:tcPr/>
          <w:p>
            <w:pPr>
              <w:pStyle w:val="Compact"/>
              <w:jc w:val="left"/>
            </w:pPr>
            <w:r>
              <w:t xml:space="preserve">- Previous butterfly count\n- Minutes above 2 m/s\n- Temperature (linear)\n- Butterflies in direct sun</w:t>
            </w:r>
          </w:p>
        </w:tc>
        <w:tc>
          <w:tcPr/>
          <w:p>
            <w:pPr>
              <w:pStyle w:val="Compact"/>
              <w:jc w:val="right"/>
            </w:pPr>
            <w:r>
              <w:t xml:space="preserve">8119.798</w:t>
            </w:r>
          </w:p>
        </w:tc>
        <w:tc>
          <w:tcPr/>
          <w:p>
            <w:pPr>
              <w:pStyle w:val="Compact"/>
              <w:jc w:val="right"/>
            </w:pPr>
            <w:r>
              <w:t xml:space="preserve">37.949</w:t>
            </w:r>
          </w:p>
        </w:tc>
        <w:tc>
          <w:tcPr/>
          <w:p>
            <w:pPr>
              <w:pStyle w:val="Compact"/>
              <w:jc w:val="right"/>
            </w:pPr>
            <w:r>
              <w:t xml:space="preserve">0.0000</w:t>
            </w:r>
          </w:p>
        </w:tc>
        <w:tc>
          <w:tcPr/>
          <w:p>
            <w:pPr>
              <w:pStyle w:val="Compact"/>
              <w:jc w:val="left"/>
            </w:pPr>
            <w:r>
              <w:t xml:space="preserve">0.0776</w:t>
            </w:r>
          </w:p>
        </w:tc>
      </w:tr>
    </w:tbl>
    <w:bookmarkEnd w:id="47"/>
    <w:p>
      <w:pPr>
        <w:pStyle w:val="BodyText"/>
      </w:pPr>
      <w:r>
        <w:t xml:space="preserve">The interaction plot from the threshold analysis provides additional evidence against meaningful wind effects on monarch clustering behavior (Figure </w:t>
      </w:r>
      <w:hyperlink w:anchor="fig:threshold_interaction">
        <w:r>
          <w:rPr>
            <w:rStyle w:val="Hyperlink"/>
          </w:rPr>
          <w:t xml:space="preserve">1.5</w:t>
        </w:r>
      </w:hyperlink>
      <w:r>
        <w:t xml:space="preserve">). The relatively flat response surface across different combinations of wind exposure duration and solar conditions suggests that time above the 2 m/s threshold does not substantially influence butterfly abundance changes, regardless of thermal conditions. This lack of clear pattern, combined with the poor model performance, supports our conclusion that direct measurement of wind speed provides more appropriate characterization than binary threshold approaches, though neither reveals biologically important effects on monarch cluster dynamics.</w:t>
      </w:r>
    </w:p>
    <w:bookmarkStart w:id="51" w:name="fig:threshold_interaction"/>
    <w:p>
      <w:pPr>
        <w:pStyle w:val="CaptionedFigure"/>
      </w:pPr>
      <w:r>
        <w:drawing>
          <wp:inline>
            <wp:extent cx="4267200" cy="3657600"/>
            <wp:effectExtent b="0" l="0" r="0" t="0"/>
            <wp:docPr descr="" title="" id="49" name="Picture"/>
            <a:graphic>
              <a:graphicData uri="http://schemas.openxmlformats.org/drawingml/2006/picture">
                <pic:pic>
                  <pic:nvPicPr>
                    <pic:cNvPr descr="supplemental/results/30_min_threshold/figures/interaction_wind_x_sun_binned.png" id="50" name="Picture"/>
                    <pic:cNvPicPr>
                      <a:picLocks noChangeArrowheads="1" noChangeAspect="1"/>
                    </pic:cNvPicPr>
                  </pic:nvPicPr>
                  <pic:blipFill>
                    <a:blip r:embed="rId48"/>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minutes above 2 m/s wind threshold and butterflies in direct sun from sensitivity analysis. The minimal variation in response across wind exposure categories provides evidence against the threshold disruption hypothesis.</w:t>
      </w:r>
    </w:p>
    <w:bookmarkEnd w:id="51"/>
    <w:bookmarkEnd w:id="52"/>
    <w:bookmarkEnd w:id="53"/>
    <w:bookmarkStart w:id="55"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1.3</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4"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4"/>
    <w:bookmarkEnd w:id="55"/>
    <w:bookmarkStart w:id="56"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6"/>
    <w:bookmarkEnd w:id="57"/>
    <w:bookmarkStart w:id="71" w:name="discussion"/>
    <w:p>
      <w:pPr>
        <w:pStyle w:val="Heading2"/>
      </w:pPr>
      <w:r>
        <w:t xml:space="preserve">Discussion</w:t>
      </w:r>
    </w:p>
    <w:bookmarkStart w:id="58"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8"/>
    <w:bookmarkStart w:id="62"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59"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59"/>
    <w:bookmarkStart w:id="60"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0"/>
    <w:bookmarkStart w:id="61"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1"/>
    <w:bookmarkEnd w:id="62"/>
    <w:bookmarkStart w:id="63"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3"/>
    <w:bookmarkStart w:id="64"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4"/>
    <w:bookmarkStart w:id="69"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8" w:name="fig:weiss_canopy"/>
    <w:p>
      <w:pPr>
        <w:pStyle w:val="CaptionedFigure"/>
      </w:pPr>
      <w:r>
        <w:drawing>
          <wp:inline>
            <wp:extent cx="4267200" cy="2517273"/>
            <wp:effectExtent b="0" l="0" r="0" t="0"/>
            <wp:docPr descr="" title="" id="66" name="Picture"/>
            <a:graphic>
              <a:graphicData uri="http://schemas.openxmlformats.org/drawingml/2006/picture">
                <pic:pic>
                  <pic:nvPicPr>
                    <pic:cNvPr descr="figures/discussion/weiss_adapted_boxplot.png" id="67" name="Picture"/>
                    <pic:cNvPicPr>
                      <a:picLocks noChangeArrowheads="1" noChangeAspect="1"/>
                    </pic:cNvPicPr>
                  </pic:nvPicPr>
                  <pic:blipFill>
                    <a:blip r:embed="rId65"/>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8"/>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69"/>
    <w:bookmarkStart w:id="70"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0"/>
    <w:bookmarkEnd w:id="71"/>
    <w:bookmarkStart w:id="187" w:name="references"/>
    <w:p>
      <w:pPr>
        <w:pStyle w:val="Heading2"/>
      </w:pPr>
      <w:r>
        <w:t xml:space="preserve">References</w:t>
      </w:r>
    </w:p>
    <w:bookmarkStart w:id="186" w:name="refs"/>
    <w:bookmarkStart w:id="73"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2">
        <w:r>
          <w:rPr>
            <w:rStyle w:val="Hyperlink"/>
          </w:rPr>
          <w:t xml:space="preserve">https://doi.org/10.2307/2388612</w:t>
        </w:r>
      </w:hyperlink>
      <w:r>
        <w:t xml:space="preserve">.</w:t>
      </w:r>
    </w:p>
    <w:bookmarkEnd w:id="73"/>
    <w:bookmarkStart w:id="74"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4"/>
    <w:bookmarkStart w:id="76"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5">
        <w:r>
          <w:rPr>
            <w:rStyle w:val="Hyperlink"/>
          </w:rPr>
          <w:t xml:space="preserve">https://doi.org/10.1016/0022-1910(76)90046-9</w:t>
        </w:r>
      </w:hyperlink>
      <w:r>
        <w:t xml:space="preserve">.</w:t>
      </w:r>
    </w:p>
    <w:bookmarkEnd w:id="76"/>
    <w:bookmarkStart w:id="78"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7">
        <w:r>
          <w:rPr>
            <w:rStyle w:val="Hyperlink"/>
          </w:rPr>
          <w:t xml:space="preserve">https://doi.org/10.1086/698656</w:t>
        </w:r>
      </w:hyperlink>
      <w:r>
        <w:t xml:space="preserve">.</w:t>
      </w:r>
    </w:p>
    <w:bookmarkEnd w:id="78"/>
    <w:bookmarkStart w:id="80"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79">
        <w:r>
          <w:rPr>
            <w:rStyle w:val="Hyperlink"/>
          </w:rPr>
          <w:t xml:space="preserve">https://doi.org/10.1016/0022-1910(79)90112-4</w:t>
        </w:r>
      </w:hyperlink>
      <w:r>
        <w:t xml:space="preserve">.</w:t>
      </w:r>
    </w:p>
    <w:bookmarkEnd w:id="80"/>
    <w:bookmarkStart w:id="82"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1">
        <w:r>
          <w:rPr>
            <w:rStyle w:val="Hyperlink"/>
          </w:rPr>
          <w:t xml:space="preserve">https://doi.org/10.1126/science.1225883</w:t>
        </w:r>
      </w:hyperlink>
      <w:r>
        <w:t xml:space="preserve">.</w:t>
      </w:r>
    </w:p>
    <w:bookmarkEnd w:id="82"/>
    <w:bookmarkStart w:id="84"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3">
        <w:r>
          <w:rPr>
            <w:rStyle w:val="Hyperlink"/>
          </w:rPr>
          <w:t xml:space="preserve">https://www.ncbi.nlm.nih.gov/pubmed/8551296</w:t>
        </w:r>
      </w:hyperlink>
      <w:r>
        <w:t xml:space="preserve">.</w:t>
      </w:r>
    </w:p>
    <w:bookmarkEnd w:id="84"/>
    <w:bookmarkStart w:id="86"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5">
        <w:r>
          <w:rPr>
            <w:rStyle w:val="Hyperlink"/>
          </w:rPr>
          <w:t xml:space="preserve">https://doi.org/10.1007/BF00329753</w:t>
        </w:r>
      </w:hyperlink>
      <w:r>
        <w:t xml:space="preserve">.</w:t>
      </w:r>
    </w:p>
    <w:bookmarkEnd w:id="86"/>
    <w:bookmarkStart w:id="88"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7">
        <w:r>
          <w:rPr>
            <w:rStyle w:val="Hyperlink"/>
          </w:rPr>
          <w:t xml:space="preserve">https://www.semanticscholar.org/paper/Heritability-of-spider-ballooning-motivation-under-Bonte-Lens/d6118c2cd143572bc4f098b5916186ec63c0f12a</w:t>
        </w:r>
      </w:hyperlink>
      <w:r>
        <w:t xml:space="preserve">.</w:t>
      </w:r>
    </w:p>
    <w:bookmarkEnd w:id="88"/>
    <w:bookmarkStart w:id="90"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89">
        <w:r>
          <w:rPr>
            <w:rStyle w:val="Hyperlink"/>
          </w:rPr>
          <w:t xml:space="preserve">https://www.semanticscholar.org/paper/Understanding-and-misunderstanding-the-migration-of-Brower/79380ddbf559e310fef9bb8919c03c63ccddecb7</w:t>
        </w:r>
      </w:hyperlink>
      <w:r>
        <w:t xml:space="preserve">.</w:t>
      </w:r>
    </w:p>
    <w:bookmarkEnd w:id="90"/>
    <w:bookmarkStart w:id="91"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1"/>
    <w:bookmarkStart w:id="93"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2">
        <w:r>
          <w:rPr>
            <w:rStyle w:val="Hyperlink"/>
          </w:rPr>
          <w:t xml:space="preserve">https://doi.org/10.2307/2387997</w:t>
        </w:r>
      </w:hyperlink>
      <w:r>
        <w:t xml:space="preserve">.</w:t>
      </w:r>
    </w:p>
    <w:bookmarkEnd w:id="93"/>
    <w:bookmarkStart w:id="95"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4">
        <w:r>
          <w:rPr>
            <w:rStyle w:val="Hyperlink"/>
          </w:rPr>
          <w:t xml:space="preserve">https://doi.org/10.1111/j.1365-2311.1982.tb00664.x</w:t>
        </w:r>
      </w:hyperlink>
      <w:r>
        <w:t xml:space="preserve">.</w:t>
      </w:r>
    </w:p>
    <w:bookmarkEnd w:id="95"/>
    <w:bookmarkStart w:id="97"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6">
        <w:r>
          <w:rPr>
            <w:rStyle w:val="Hyperlink"/>
          </w:rPr>
          <w:t xml:space="preserve">https://doi.org/10.1016/j.jinsphys.2011.05.004</w:t>
        </w:r>
      </w:hyperlink>
      <w:r>
        <w:t xml:space="preserve">.</w:t>
      </w:r>
    </w:p>
    <w:bookmarkEnd w:id="97"/>
    <w:bookmarkStart w:id="99"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8">
        <w:r>
          <w:rPr>
            <w:rStyle w:val="Hyperlink"/>
          </w:rPr>
          <w:t xml:space="preserve">https://hero.epa.gov/hero/index.cfm/reference/details/reference_id/52731</w:t>
        </w:r>
      </w:hyperlink>
      <w:r>
        <w:t xml:space="preserve">.</w:t>
      </w:r>
    </w:p>
    <w:bookmarkEnd w:id="99"/>
    <w:bookmarkStart w:id="101"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0">
        <w:r>
          <w:rPr>
            <w:rStyle w:val="Hyperlink"/>
          </w:rPr>
          <w:t xml:space="preserve">https://doi.org/10.1002/eap.1975</w:t>
        </w:r>
      </w:hyperlink>
      <w:r>
        <w:t xml:space="preserve">.</w:t>
      </w:r>
    </w:p>
    <w:bookmarkEnd w:id="101"/>
    <w:bookmarkStart w:id="103"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2">
        <w:r>
          <w:rPr>
            <w:rStyle w:val="Hyperlink"/>
          </w:rPr>
          <w:t xml:space="preserve">https://doi.org/10.1016/j.jtherbio.2014.05.004</w:t>
        </w:r>
      </w:hyperlink>
      <w:r>
        <w:t xml:space="preserve">.</w:t>
      </w:r>
    </w:p>
    <w:bookmarkEnd w:id="103"/>
    <w:bookmarkStart w:id="105"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4">
        <w:r>
          <w:rPr>
            <w:rStyle w:val="Hyperlink"/>
          </w:rPr>
          <w:t xml:space="preserve">https://doi.org/10.3390/insects9040167</w:t>
        </w:r>
      </w:hyperlink>
      <w:r>
        <w:t xml:space="preserve">.</w:t>
      </w:r>
    </w:p>
    <w:bookmarkEnd w:id="105"/>
    <w:bookmarkStart w:id="107"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6">
        <w:r>
          <w:rPr>
            <w:rStyle w:val="Hyperlink"/>
          </w:rPr>
          <w:t xml:space="preserve">https://doi.org/10.1111/csp2.432</w:t>
        </w:r>
      </w:hyperlink>
      <w:r>
        <w:t xml:space="preserve">.</w:t>
      </w:r>
    </w:p>
    <w:bookmarkEnd w:id="107"/>
    <w:bookmarkStart w:id="109"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8">
        <w:r>
          <w:rPr>
            <w:rStyle w:val="Hyperlink"/>
          </w:rPr>
          <w:t xml:space="preserve">https://doi.org/10.1006/anbe.1993.1120</w:t>
        </w:r>
      </w:hyperlink>
      <w:r>
        <w:t xml:space="preserve">.</w:t>
      </w:r>
    </w:p>
    <w:bookmarkEnd w:id="109"/>
    <w:bookmarkStart w:id="111"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0">
        <w:r>
          <w:rPr>
            <w:rStyle w:val="Hyperlink"/>
          </w:rPr>
          <w:t xml:space="preserve">https://doi.org/10.1046/j.1365-2311.2002.00454.x</w:t>
        </w:r>
      </w:hyperlink>
      <w:r>
        <w:t xml:space="preserve">.</w:t>
      </w:r>
    </w:p>
    <w:bookmarkEnd w:id="111"/>
    <w:bookmarkStart w:id="113"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2">
        <w:r>
          <w:rPr>
            <w:rStyle w:val="Hyperlink"/>
          </w:rPr>
          <w:t xml:space="preserve">https://doi.org/10.1080/02541858.1997.11448445</w:t>
        </w:r>
      </w:hyperlink>
      <w:r>
        <w:t xml:space="preserve">.</w:t>
      </w:r>
    </w:p>
    <w:bookmarkEnd w:id="113"/>
    <w:bookmarkStart w:id="115"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4">
        <w:r>
          <w:rPr>
            <w:rStyle w:val="Hyperlink"/>
          </w:rPr>
          <w:t xml:space="preserve">https://doi.org/10.1098/rspb.2001.1765</w:t>
        </w:r>
      </w:hyperlink>
      <w:r>
        <w:t xml:space="preserve">.</w:t>
      </w:r>
    </w:p>
    <w:bookmarkEnd w:id="115"/>
    <w:bookmarkStart w:id="117"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6">
        <w:r>
          <w:rPr>
            <w:rStyle w:val="Hyperlink"/>
          </w:rPr>
          <w:t xml:space="preserve">https://www.frontiersin.org/articles/10.3389/fevo.2019.00266</w:t>
        </w:r>
      </w:hyperlink>
      <w:r>
        <w:t xml:space="preserve">.</w:t>
      </w:r>
    </w:p>
    <w:bookmarkEnd w:id="117"/>
    <w:bookmarkStart w:id="118"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8"/>
    <w:bookmarkStart w:id="120"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19">
        <w:r>
          <w:rPr>
            <w:rStyle w:val="Hyperlink"/>
          </w:rPr>
          <w:t xml:space="preserve">https://xerces.org/protecting-californias-butterfly-groves</w:t>
        </w:r>
      </w:hyperlink>
      <w:r>
        <w:t xml:space="preserve">.</w:t>
      </w:r>
    </w:p>
    <w:bookmarkEnd w:id="120"/>
    <w:bookmarkStart w:id="122"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1">
        <w:r>
          <w:rPr>
            <w:rStyle w:val="Hyperlink"/>
          </w:rPr>
          <w:t xml:space="preserve">https://www.xerces.org</w:t>
        </w:r>
      </w:hyperlink>
      <w:r>
        <w:t xml:space="preserve">.</w:t>
      </w:r>
    </w:p>
    <w:bookmarkEnd w:id="122"/>
    <w:bookmarkStart w:id="124"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3">
        <w:r>
          <w:rPr>
            <w:rStyle w:val="Hyperlink"/>
          </w:rPr>
          <w:t xml:space="preserve">https://doi.org/10.1007/BF00298260</w:t>
        </w:r>
      </w:hyperlink>
      <w:r>
        <w:t xml:space="preserve">.</w:t>
      </w:r>
    </w:p>
    <w:bookmarkEnd w:id="124"/>
    <w:bookmarkStart w:id="126"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5">
        <w:r>
          <w:rPr>
            <w:rStyle w:val="Hyperlink"/>
          </w:rPr>
          <w:t xml:space="preserve">https://doi.org/10.1242/jeb.073668</w:t>
        </w:r>
      </w:hyperlink>
      <w:r>
        <w:t xml:space="preserve">.</w:t>
      </w:r>
    </w:p>
    <w:bookmarkEnd w:id="126"/>
    <w:bookmarkStart w:id="128"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7">
        <w:r>
          <w:rPr>
            <w:rStyle w:val="Hyperlink"/>
          </w:rPr>
          <w:t xml:space="preserve">https://doi.org/10.1111/aen.12175</w:t>
        </w:r>
      </w:hyperlink>
      <w:r>
        <w:t xml:space="preserve">.</w:t>
      </w:r>
    </w:p>
    <w:bookmarkEnd w:id="128"/>
    <w:bookmarkStart w:id="129"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29"/>
    <w:bookmarkStart w:id="130"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0"/>
    <w:bookmarkStart w:id="132"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1">
        <w:r>
          <w:rPr>
            <w:rStyle w:val="Hyperlink"/>
          </w:rPr>
          <w:t xml:space="preserve">https://doi.org/10.1093/aesa/84.3.263</w:t>
        </w:r>
      </w:hyperlink>
      <w:r>
        <w:t xml:space="preserve">.</w:t>
      </w:r>
    </w:p>
    <w:bookmarkEnd w:id="132"/>
    <w:bookmarkStart w:id="134"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3">
        <w:r>
          <w:rPr>
            <w:rStyle w:val="Hyperlink"/>
          </w:rPr>
          <w:t xml:space="preserve">https://doi.org/10.1093/aesa/83.5.906</w:t>
        </w:r>
      </w:hyperlink>
      <w:r>
        <w:t xml:space="preserve">.</w:t>
      </w:r>
    </w:p>
    <w:bookmarkEnd w:id="134"/>
    <w:bookmarkStart w:id="136"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5">
        <w:r>
          <w:rPr>
            <w:rStyle w:val="Hyperlink"/>
          </w:rPr>
          <w:t xml:space="preserve">https://doi.org/10.1038/s41598-017-14510-w</w:t>
        </w:r>
      </w:hyperlink>
      <w:r>
        <w:t xml:space="preserve">.</w:t>
      </w:r>
    </w:p>
    <w:bookmarkEnd w:id="136"/>
    <w:bookmarkStart w:id="138"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7">
        <w:r>
          <w:rPr>
            <w:rStyle w:val="Hyperlink"/>
          </w:rPr>
          <w:t xml:space="preserve">https://doi.org/10.2307/1940444</w:t>
        </w:r>
      </w:hyperlink>
      <w:r>
        <w:t xml:space="preserve">.</w:t>
      </w:r>
    </w:p>
    <w:bookmarkEnd w:id="138"/>
    <w:bookmarkStart w:id="140"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39">
        <w:r>
          <w:rPr>
            <w:rStyle w:val="Hyperlink"/>
          </w:rPr>
          <w:t xml:space="preserve">https://doi.org/10.1002/ecy.3634</w:t>
        </w:r>
      </w:hyperlink>
      <w:r>
        <w:t xml:space="preserve">.</w:t>
      </w:r>
    </w:p>
    <w:bookmarkEnd w:id="140"/>
    <w:bookmarkStart w:id="142"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1">
        <w:r>
          <w:rPr>
            <w:rStyle w:val="Hyperlink"/>
          </w:rPr>
          <w:t xml:space="preserve">https://doi.org/10.1073/pnas.152137299</w:t>
        </w:r>
      </w:hyperlink>
      <w:r>
        <w:t xml:space="preserve">.</w:t>
      </w:r>
    </w:p>
    <w:bookmarkEnd w:id="142"/>
    <w:bookmarkStart w:id="144"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3">
        <w:r>
          <w:rPr>
            <w:rStyle w:val="Hyperlink"/>
          </w:rPr>
          <w:t xml:space="preserve">https://doi.org/10.1111/j.1366-9516.2005.00146.x</w:t>
        </w:r>
      </w:hyperlink>
      <w:r>
        <w:t xml:space="preserve">.</w:t>
      </w:r>
    </w:p>
    <w:bookmarkEnd w:id="144"/>
    <w:bookmarkStart w:id="146"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5">
        <w:r>
          <w:rPr>
            <w:rStyle w:val="Hyperlink"/>
          </w:rPr>
          <w:t xml:space="preserve">https://doi.org/10.1098/rspb.2020.2988</w:t>
        </w:r>
      </w:hyperlink>
      <w:r>
        <w:t xml:space="preserve">.</w:t>
      </w:r>
    </w:p>
    <w:bookmarkEnd w:id="146"/>
    <w:bookmarkStart w:id="147"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7"/>
    <w:bookmarkStart w:id="149"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8">
        <w:r>
          <w:rPr>
            <w:rStyle w:val="Hyperlink"/>
          </w:rPr>
          <w:t xml:space="preserve">https://www.frontiersin.org/articles/10.3389/fevo.2019.00258</w:t>
        </w:r>
      </w:hyperlink>
      <w:r>
        <w:t xml:space="preserve">.</w:t>
      </w:r>
    </w:p>
    <w:bookmarkEnd w:id="149"/>
    <w:bookmarkStart w:id="151"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0">
        <w:r>
          <w:rPr>
            <w:rStyle w:val="Hyperlink"/>
          </w:rPr>
          <w:t xml:space="preserve">https://doi.org/10.1016/j.cub.2018.02.067</w:t>
        </w:r>
      </w:hyperlink>
      <w:r>
        <w:t xml:space="preserve">.</w:t>
      </w:r>
    </w:p>
    <w:bookmarkEnd w:id="151"/>
    <w:bookmarkStart w:id="153"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2">
        <w:r>
          <w:rPr>
            <w:rStyle w:val="Hyperlink"/>
          </w:rPr>
          <w:t xml:space="preserve">https://www.frontiersin.org/articles/10.3389/fcosc.2022.844299</w:t>
        </w:r>
      </w:hyperlink>
      <w:r>
        <w:t xml:space="preserve">.</w:t>
      </w:r>
    </w:p>
    <w:bookmarkEnd w:id="153"/>
    <w:bookmarkStart w:id="155"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4">
        <w:r>
          <w:rPr>
            <w:rStyle w:val="Hyperlink"/>
          </w:rPr>
          <w:t xml:space="preserve">https://doi.org/10.1016/j.biocon.2017.08.019</w:t>
        </w:r>
      </w:hyperlink>
      <w:r>
        <w:t xml:space="preserve">.</w:t>
      </w:r>
    </w:p>
    <w:bookmarkEnd w:id="155"/>
    <w:bookmarkStart w:id="157"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6">
        <w:r>
          <w:rPr>
            <w:rStyle w:val="Hyperlink"/>
          </w:rPr>
          <w:t xml:space="preserve">https://doi.org/10.1002/ece3.5607</w:t>
        </w:r>
      </w:hyperlink>
      <w:r>
        <w:t xml:space="preserve">.</w:t>
      </w:r>
    </w:p>
    <w:bookmarkEnd w:id="157"/>
    <w:bookmarkStart w:id="159"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8">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59"/>
    <w:bookmarkStart w:id="161"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0">
        <w:r>
          <w:rPr>
            <w:rStyle w:val="Hyperlink"/>
          </w:rPr>
          <w:t xml:space="preserve">https://www.goletamonarchpress.com/2019/06/city-awarded-3-9-million-in-funding-for-the-monarch-butterfly-habitat-management-plan/</w:t>
        </w:r>
      </w:hyperlink>
      <w:r>
        <w:t xml:space="preserve">.</w:t>
      </w:r>
    </w:p>
    <w:bookmarkEnd w:id="161"/>
    <w:bookmarkStart w:id="163"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2">
        <w:r>
          <w:rPr>
            <w:rStyle w:val="Hyperlink"/>
          </w:rPr>
          <w:t xml:space="preserve">https://doi.org/10.1111/j.1365-2311.1978.tb00912.x</w:t>
        </w:r>
      </w:hyperlink>
      <w:r>
        <w:t xml:space="preserve">.</w:t>
      </w:r>
    </w:p>
    <w:bookmarkEnd w:id="163"/>
    <w:bookmarkStart w:id="164"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4"/>
    <w:bookmarkStart w:id="165"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5"/>
    <w:bookmarkStart w:id="167"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6">
        <w:r>
          <w:rPr>
            <w:rStyle w:val="Hyperlink"/>
          </w:rPr>
          <w:t xml:space="preserve">https://doi.org/10.1007/s00265-020-02842-z</w:t>
        </w:r>
      </w:hyperlink>
      <w:r>
        <w:t xml:space="preserve">.</w:t>
      </w:r>
    </w:p>
    <w:bookmarkEnd w:id="167"/>
    <w:bookmarkStart w:id="169"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8">
        <w:r>
          <w:rPr>
            <w:rStyle w:val="Hyperlink"/>
          </w:rPr>
          <w:t xml:space="preserve">https://doi.org/10.1016/j.biocon.2014.09.041</w:t>
        </w:r>
      </w:hyperlink>
      <w:r>
        <w:t xml:space="preserve">.</w:t>
      </w:r>
    </w:p>
    <w:bookmarkEnd w:id="169"/>
    <w:bookmarkStart w:id="170"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0"/>
    <w:bookmarkStart w:id="172"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1">
        <w:r>
          <w:rPr>
            <w:rStyle w:val="Hyperlink"/>
          </w:rPr>
          <w:t xml:space="preserve">http://www.creeksidescience.com</w:t>
        </w:r>
      </w:hyperlink>
      <w:r>
        <w:t xml:space="preserve">.</w:t>
      </w:r>
    </w:p>
    <w:bookmarkEnd w:id="172"/>
    <w:bookmarkStart w:id="174"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3">
        <w:r>
          <w:rPr>
            <w:rStyle w:val="Hyperlink"/>
          </w:rPr>
          <w:t xml:space="preserve">https://doi.org/10.1111/j.1523-1739.1991.tb00121.x</w:t>
        </w:r>
      </w:hyperlink>
      <w:r>
        <w:t xml:space="preserve">.</w:t>
      </w:r>
    </w:p>
    <w:bookmarkEnd w:id="174"/>
    <w:bookmarkStart w:id="176"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5">
        <w:r>
          <w:rPr>
            <w:rStyle w:val="Hyperlink"/>
          </w:rPr>
          <w:t xml:space="preserve">https://www.xerces.org/sites/default/files/2018-05/16-015_01_XercesSoc_State-of-Monarch-Overwintering-Sites-in-California_web.pdf</w:t>
        </w:r>
      </w:hyperlink>
      <w:r>
        <w:t xml:space="preserve">.</w:t>
      </w:r>
    </w:p>
    <w:bookmarkEnd w:id="176"/>
    <w:bookmarkStart w:id="177"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1">
        <w:r>
          <w:rPr>
            <w:rStyle w:val="Hyperlink"/>
          </w:rPr>
          <w:t xml:space="preserve">www.xerces.org</w:t>
        </w:r>
      </w:hyperlink>
      <w:r>
        <w:t xml:space="preserve">.</w:t>
      </w:r>
    </w:p>
    <w:bookmarkEnd w:id="177"/>
    <w:bookmarkStart w:id="179"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8">
        <w:r>
          <w:rPr>
            <w:rStyle w:val="Hyperlink"/>
          </w:rPr>
          <w:t xml:space="preserve">WesternMonarchCount.com</w:t>
        </w:r>
      </w:hyperlink>
      <w:r>
        <w:t xml:space="preserve">.</w:t>
      </w:r>
    </w:p>
    <w:bookmarkEnd w:id="179"/>
    <w:bookmarkStart w:id="181"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0">
        <w:r>
          <w:rPr>
            <w:rStyle w:val="Hyperlink"/>
          </w:rPr>
          <w:t xml:space="preserve">https://www.xerces.org/press/western-monarch-butterfly-population-declines-to-near-record-low</w:t>
        </w:r>
      </w:hyperlink>
      <w:r>
        <w:t xml:space="preserve">.</w:t>
      </w:r>
    </w:p>
    <w:bookmarkEnd w:id="181"/>
    <w:bookmarkStart w:id="183"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2">
        <w:r>
          <w:rPr>
            <w:rStyle w:val="Hyperlink"/>
          </w:rPr>
          <w:t xml:space="preserve">https://doi.org/10.1111/ecog.01994</w:t>
        </w:r>
      </w:hyperlink>
      <w:r>
        <w:t xml:space="preserve">.</w:t>
      </w:r>
    </w:p>
    <w:bookmarkEnd w:id="183"/>
    <w:bookmarkStart w:id="185"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4">
        <w:r>
          <w:rPr>
            <w:rStyle w:val="Hyperlink"/>
          </w:rPr>
          <w:t xml:space="preserve">https://doi.org/10.1111/j.1440-6055.1982.tb01803.x</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2025-10-08T18:28:03Z</dcterms:created>
  <dcterms:modified xsi:type="dcterms:W3CDTF">2025-10-08T18:28:03Z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