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3.png" ContentType="image/png"/>
  <Override PartName="/word/media/rId38.png" ContentType="image/png"/>
  <Override PartName="/word/media/rId33.png" ContentType="image/png"/>
  <Override PartName="/word/media/rId2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9"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8"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4"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8074.03</w:t>
            </w:r>
          </w:p>
        </w:tc>
        <w:tc>
          <w:tcPr/>
          <w:p>
            <w:pPr>
              <w:pStyle w:val="Compact"/>
              <w:jc w:val="right"/>
            </w:pPr>
            <w:r>
              <w:t xml:space="preserve">0.00</w:t>
            </w:r>
          </w:p>
        </w:tc>
        <w:tc>
          <w:tcPr/>
          <w:p>
            <w:pPr>
              <w:pStyle w:val="Compact"/>
              <w:jc w:val="right"/>
            </w:pPr>
            <w:r>
              <w:t xml:space="preserve">0.86</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3.83</w:t>
            </w:r>
          </w:p>
        </w:tc>
        <w:tc>
          <w:tcPr/>
          <w:p>
            <w:pPr>
              <w:pStyle w:val="Compact"/>
              <w:jc w:val="right"/>
            </w:pPr>
            <w:r>
              <w:t xml:space="preserve">0.13</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8.87</w:t>
            </w:r>
          </w:p>
        </w:tc>
        <w:tc>
          <w:tcPr/>
          <w:p>
            <w:pPr>
              <w:pStyle w:val="Compact"/>
              <w:jc w:val="right"/>
            </w:pPr>
            <w:r>
              <w:t xml:space="preserve">0.01</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8084.05</w:t>
            </w:r>
          </w:p>
        </w:tc>
        <w:tc>
          <w:tcPr/>
          <w:p>
            <w:pPr>
              <w:pStyle w:val="Compact"/>
              <w:jc w:val="right"/>
            </w:pPr>
            <w:r>
              <w:t xml:space="preserve">10.02</w:t>
            </w:r>
          </w:p>
        </w:tc>
        <w:tc>
          <w:tcPr/>
          <w:p>
            <w:pPr>
              <w:pStyle w:val="Compact"/>
              <w:jc w:val="right"/>
            </w:pPr>
            <w:r>
              <w:t xml:space="preserve">0.01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w:t>
            </w:r>
          </w:p>
        </w:tc>
        <w:tc>
          <w:tcPr/>
          <w:p>
            <w:pPr>
              <w:pStyle w:val="Compact"/>
              <w:jc w:val="right"/>
            </w:pPr>
            <w:r>
              <w:t xml:space="preserve">18.69</w:t>
            </w:r>
          </w:p>
        </w:tc>
        <w:tc>
          <w:tcPr/>
          <w:p>
            <w:pPr>
              <w:pStyle w:val="Compact"/>
              <w:jc w:val="right"/>
            </w:pPr>
            <w:r>
              <w:t xml:space="preserve">0.00</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complex conditional relationship where wind effects depended on solar exposure conditions (Figure </w:t>
      </w:r>
      <w:hyperlink w:anchor="fig:interaction_wind_sun">
        <w:r>
          <w:rPr>
            <w:rStyle w:val="Hyperlink"/>
          </w:rPr>
          <w:t xml:space="preserve">1.2</w:t>
        </w:r>
      </w:hyperlink>
      <w:r>
        <w:t xml:space="preserve">). When butterflies in direct sun were held at zero (all butterflies in indirect light), cluster size changes showed no consistent trend across the observed wind speed range (0-12 m/s). Conversely, when wind was held constant, low numbers of butterflies in direct sun were associated with decreasing cluster sizes, while higher counts led to increasing cluster sizes. At low butterfly counts in direct sun, the wind effect showed distinct patterns: clusters decreased in size at very calm winds (&lt;1 m/s), showed no change from 1-3 m/s, and tended to increase from 4-8 m/s. At moderate wind speeds (1-3 m/s) and high butterfly counts (&gt;100), cluster sizes tended to decrease. However, as wind speeds exceeded 3 m/s at these same butterfly counts, the pattern reversed, with cluster sizes increasing. The red dashed line at 2 m/s indicates the behavioral threshold identified in previous analyses. Gray regions mask areas too distant from observed data points for reliable interpretation, and caution is warranted when interpreting the strongest partial effects at the edges of the data distribution, where observations are sparse and interpolation artifacts may occur. Notably, the overwhelming majority of observations occurred at very low butterfly counts in direct sun, emphasizing that most clustering behavior happens when few butterflies are exposed to direct sunlight.</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maximum wind speed (m/s) and butterflies in direct sun on cluster size changes. Color gradient indicates partial effect magnitude (red = positive, blue = negative). Black points show observed data distribution. Red dashed line marks the 2 m/s behavioral threshold. Gray regions indicate areas beyond reliable interpolation range.</w:t>
      </w:r>
    </w:p>
    <w:bookmarkEnd w:id="36"/>
    <w:bookmarkEnd w:id="37"/>
    <w:bookmarkStart w:id="47"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Basis dimension checks confirmed adequate smoothing parameter selection for all model terms (Table </w:t>
      </w:r>
      <w:hyperlink w:anchor="tab:gam_basis_check">
        <w:r>
          <w:rPr>
            <w:rStyle w:val="Hyperlink"/>
          </w:rPr>
          <w:t xml:space="preserve">1.2</w:t>
        </w:r>
      </w:hyperlink>
      <w:r>
        <w:t xml:space="preserve">). All smooth functions showed k-index values near 1.0, indicating sufficient basis dimensions to capture the underlying functional forms. None of the smooth terms showed evidence of undersmoothing (all p-values &gt; 0.05), with the possible exception of time within day which showed marginal evidence (k-index = 0.96, p = 0.065). These diagnostics confirm that the chosen basis dimensions adequately represent the complexity of the smooth relationships without overfitting.</w:t>
      </w:r>
    </w:p>
    <w:bookmarkStart w:id="42" w:name="tab:gam_basis_check"/>
    <w:p>
      <w:pPr>
        <w:pStyle w:val="TableCaption"/>
      </w:pPr>
      <w:r>
        <w:t xml:space="preserve">Basis dimension adequacy checks for smooth terms in best-fit GAMM model (M50). Low p-values (k-index &lt; 1) may indicate insufficient basis dimensions, particularly when edf approaches k’.</w:t>
      </w:r>
    </w:p>
    <w:tbl>
      <w:tblPr>
        <w:tblStyle w:val="Table"/>
        <w:tblW w:type="auto" w:w="0"/>
        <w:tblLook w:firstRow="1" w:lastRow="0" w:firstColumn="0" w:lastColumn="0" w:noHBand="0" w:noVBand="0" w:val="0020"/>
        <w:tblCaption w:val="Basis dimension adequacy checks for smooth terms in best-fit GAMM model (M50). Low p-values (k-index &lt; 1) may indicate insufficient basis dimensions, particularly when edf approaches k’."/>
      </w:tblPr>
      <w:tblGrid>
        <w:gridCol w:w="1584"/>
        <w:gridCol w:w="1584"/>
        <w:gridCol w:w="1584"/>
        <w:gridCol w:w="1584"/>
        <w:gridCol w:w="1584"/>
      </w:tblGrid>
      <w:tr>
        <w:trPr>
          <w:tblHeader w:val="on"/>
        </w:trPr>
        <w:tc>
          <w:tcPr/>
          <w:p>
            <w:pPr>
              <w:pStyle w:val="Compact"/>
              <w:jc w:val="left"/>
            </w:pPr>
            <w:r>
              <w:t xml:space="preserve">Smooth Term</w:t>
            </w:r>
          </w:p>
        </w:tc>
        <w:tc>
          <w:tcPr/>
          <w:p>
            <w:pPr>
              <w:pStyle w:val="Compact"/>
              <w:jc w:val="right"/>
            </w:pPr>
            <w:r>
              <w:t xml:space="preserve">k’</w:t>
            </w:r>
          </w:p>
        </w:tc>
        <w:tc>
          <w:tcPr/>
          <w:p>
            <w:pPr>
              <w:pStyle w:val="Compact"/>
              <w:jc w:val="right"/>
            </w:pPr>
            <w:r>
              <w:t xml:space="preserve">edf</w:t>
            </w:r>
          </w:p>
        </w:tc>
        <w:tc>
          <w:tcPr/>
          <w:p>
            <w:pPr>
              <w:pStyle w:val="Compact"/>
              <w:jc w:val="right"/>
            </w:pPr>
            <w:r>
              <w:t xml:space="preserve">k-index</w:t>
            </w:r>
          </w:p>
        </w:tc>
        <w:tc>
          <w:tcPr/>
          <w:p>
            <w:pPr>
              <w:pStyle w:val="Compact"/>
              <w:jc w:val="center"/>
            </w:pPr>
            <w:r>
              <w:t xml:space="preserve">p-value</w:t>
            </w:r>
          </w:p>
        </w:tc>
      </w:tr>
      <w:tr>
        <w:tc>
          <w:tcPr/>
          <w:p>
            <w:pPr>
              <w:pStyle w:val="Compact"/>
              <w:jc w:val="left"/>
            </w:pPr>
            <w:r>
              <w:t xml:space="preserve">s(total butterflies</w:t>
            </w:r>
            <w:r>
              <w:t xml:space="preserve"> </w:t>
            </w:r>
            <m:oMath>
              <m:sSub>
                <m:e>
                  <m:r>
                    <m:t>t</m:t>
                  </m:r>
                </m:e>
                <m:sub>
                  <m:r>
                    <m:t>l</m:t>
                  </m:r>
                  <m:r>
                    <m:t>a</m:t>
                  </m:r>
                  <m:r>
                    <m:t>g</m:t>
                  </m:r>
                </m:sub>
              </m:sSub>
            </m:oMath>
            <w:r>
              <w:t xml:space="preserve">)</w:t>
            </w:r>
          </w:p>
        </w:tc>
        <w:tc>
          <w:tcPr/>
          <w:p>
            <w:pPr>
              <w:pStyle w:val="Compact"/>
              <w:jc w:val="right"/>
            </w:pPr>
            <w:r>
              <w:t xml:space="preserve">9.00</w:t>
            </w:r>
          </w:p>
        </w:tc>
        <w:tc>
          <w:tcPr/>
          <w:p>
            <w:pPr>
              <w:pStyle w:val="Compact"/>
              <w:jc w:val="right"/>
            </w:pPr>
            <w:r>
              <w:t xml:space="preserve">2.41</w:t>
            </w:r>
          </w:p>
        </w:tc>
        <w:tc>
          <w:tcPr/>
          <w:p>
            <w:pPr>
              <w:pStyle w:val="Compact"/>
              <w:jc w:val="right"/>
            </w:pPr>
            <w:r>
              <w:t xml:space="preserve">1.00</w:t>
            </w:r>
          </w:p>
        </w:tc>
        <w:tc>
          <w:tcPr/>
          <w:p>
            <w:pPr>
              <w:pStyle w:val="Compact"/>
              <w:jc w:val="center"/>
            </w:pPr>
            <w:r>
              <w:t xml:space="preserve">0.735</w:t>
            </w:r>
          </w:p>
        </w:tc>
      </w:tr>
      <w:tr>
        <w:tc>
          <w:tcPr/>
          <w:p>
            <w:pPr>
              <w:pStyle w:val="Compact"/>
              <w:jc w:val="left"/>
            </w:pPr>
            <w:r>
              <w:t xml:space="preserve">s(temperature avg)</w:t>
            </w:r>
          </w:p>
        </w:tc>
        <w:tc>
          <w:tcPr/>
          <w:p>
            <w:pPr>
              <w:pStyle w:val="Compact"/>
              <w:jc w:val="right"/>
            </w:pPr>
            <w:r>
              <w:t xml:space="preserve">9.00</w:t>
            </w:r>
          </w:p>
        </w:tc>
        <w:tc>
          <w:tcPr/>
          <w:p>
            <w:pPr>
              <w:pStyle w:val="Compact"/>
              <w:jc w:val="right"/>
            </w:pPr>
            <w:r>
              <w:t xml:space="preserve">3.67</w:t>
            </w:r>
          </w:p>
        </w:tc>
        <w:tc>
          <w:tcPr/>
          <w:p>
            <w:pPr>
              <w:pStyle w:val="Compact"/>
              <w:jc w:val="right"/>
            </w:pPr>
            <w:r>
              <w:t xml:space="preserve">1.02</w:t>
            </w:r>
          </w:p>
        </w:tc>
        <w:tc>
          <w:tcPr/>
          <w:p>
            <w:pPr>
              <w:pStyle w:val="Compact"/>
              <w:jc w:val="center"/>
            </w:pPr>
            <w:r>
              <w:t xml:space="preserve">0.895</w:t>
            </w:r>
          </w:p>
        </w:tc>
      </w:tr>
      <w:tr>
        <w:tc>
          <w:tcPr/>
          <w:p>
            <w:pPr>
              <w:pStyle w:val="Compact"/>
              <w:jc w:val="left"/>
            </w:pPr>
            <w:r>
              <w:t xml:space="preserve">s(time within day</w:t>
            </w:r>
            <w:r>
              <w:t xml:space="preserve"> </w:t>
            </w:r>
            <m:oMath>
              <m:r>
                <m:t>t</m:t>
              </m:r>
            </m:oMath>
            <w:r>
              <w:t xml:space="preserve">)</w:t>
            </w:r>
          </w:p>
        </w:tc>
        <w:tc>
          <w:tcPr/>
          <w:p>
            <w:pPr>
              <w:pStyle w:val="Compact"/>
              <w:jc w:val="right"/>
            </w:pPr>
            <w:r>
              <w:t xml:space="preserve">9.00</w:t>
            </w:r>
          </w:p>
        </w:tc>
        <w:tc>
          <w:tcPr/>
          <w:p>
            <w:pPr>
              <w:pStyle w:val="Compact"/>
              <w:jc w:val="right"/>
            </w:pPr>
            <w:r>
              <w:t xml:space="preserve">4.87</w:t>
            </w:r>
          </w:p>
        </w:tc>
        <w:tc>
          <w:tcPr/>
          <w:p>
            <w:pPr>
              <w:pStyle w:val="Compact"/>
              <w:jc w:val="right"/>
            </w:pPr>
            <w:r>
              <w:t xml:space="preserve">0.96</w:t>
            </w:r>
          </w:p>
        </w:tc>
        <w:tc>
          <w:tcPr/>
          <w:p>
            <w:pPr>
              <w:pStyle w:val="Compact"/>
              <w:jc w:val="center"/>
            </w:pPr>
            <w:r>
              <w:t xml:space="preserve">0.065</w:t>
            </w:r>
          </w:p>
        </w:tc>
      </w:tr>
      <w:tr>
        <w:tc>
          <w:tcPr/>
          <w:p>
            <w:pPr>
              <w:pStyle w:val="Compact"/>
              <w:jc w:val="left"/>
            </w:pPr>
            <w:r>
              <w:t xml:space="preserve">ti(max gust, butterflies direct sun</w:t>
            </w:r>
            <w:r>
              <w:t xml:space="preserve"> </w:t>
            </w:r>
            <m:oMath>
              <m:sSub>
                <m:e>
                  <m:r>
                    <m:t>t</m:t>
                  </m:r>
                </m:e>
                <m:sub>
                  <m:r>
                    <m:t>l</m:t>
                  </m:r>
                  <m:r>
                    <m:t>a</m:t>
                  </m:r>
                  <m:r>
                    <m:t>g</m:t>
                  </m:r>
                </m:sub>
              </m:sSub>
            </m:oMath>
            <w:r>
              <w:t xml:space="preserve">)</w:t>
            </w:r>
          </w:p>
        </w:tc>
        <w:tc>
          <w:tcPr/>
          <w:p>
            <w:pPr>
              <w:pStyle w:val="Compact"/>
              <w:jc w:val="right"/>
            </w:pPr>
            <w:r>
              <w:t xml:space="preserve">16.00</w:t>
            </w:r>
          </w:p>
        </w:tc>
        <w:tc>
          <w:tcPr/>
          <w:p>
            <w:pPr>
              <w:pStyle w:val="Compact"/>
              <w:jc w:val="right"/>
            </w:pPr>
            <w:r>
              <w:t xml:space="preserve">7.35</w:t>
            </w:r>
          </w:p>
        </w:tc>
        <w:tc>
          <w:tcPr/>
          <w:p>
            <w:pPr>
              <w:pStyle w:val="Compact"/>
              <w:jc w:val="right"/>
            </w:pPr>
            <w:r>
              <w:t xml:space="preserve">0.99</w:t>
            </w:r>
          </w:p>
        </w:tc>
        <w:tc>
          <w:tcPr/>
          <w:p>
            <w:pPr>
              <w:pStyle w:val="Compact"/>
              <w:jc w:val="center"/>
            </w:pPr>
            <w:r>
              <w:t xml:space="preserve">0.490</w:t>
            </w:r>
          </w:p>
        </w:tc>
      </w:tr>
    </w:tbl>
    <w:bookmarkEnd w:id="42"/>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6" w:name="fig:acf_diagnostics"/>
    <w:p>
      <w:pPr>
        <w:pStyle w:val="CaptionedFigure"/>
      </w:pPr>
      <w:r>
        <w:drawing>
          <wp:inline>
            <wp:extent cx="4267200" cy="2844800"/>
            <wp:effectExtent b="0" l="0" r="0" t="0"/>
            <wp:docPr descr="" title="" id="44" name="Picture"/>
            <a:graphic>
              <a:graphicData uri="http://schemas.openxmlformats.org/drawingml/2006/picture">
                <pic:pic>
                  <pic:nvPicPr>
                    <pic:cNvPr descr="supplemental/results/30_min/figures/diag_acf.png" id="45" name="Picture"/>
                    <pic:cNvPicPr>
                      <a:picLocks noChangeArrowheads="1" noChangeAspect="1"/>
                    </pic:cNvPicPr>
                  </pic:nvPicPr>
                  <pic:blipFill>
                    <a:blip r:embed="rId43"/>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6"/>
    <w:bookmarkEnd w:id="47"/>
    <w:bookmarkStart w:id="53"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our second hypothesis that wind becomes disruptive above the 2 m/s threshold, which, if it represents a meaningful biological boundary, should predict declining monarch abundance at roosts experiencing sustained winds exceeding this threshold. The best threshold model (T50) maintained the same structure as our primary analysis but showed notably weaker performance (Table </w:t>
      </w:r>
      <w:hyperlink w:anchor="tab:threshold_model_selection">
        <w:r>
          <w:rPr>
            <w:rStyle w:val="Hyperlink"/>
          </w:rPr>
          <w:t xml:space="preserve">1.3</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Despite this weaker overall performance (adjusted</w:t>
      </w:r>
      <w:r>
        <w:t xml:space="preserve"> </w:t>
      </w:r>
      <m:oMath>
        <m:sSup>
          <m:e>
            <m:r>
              <m:t>R</m:t>
            </m:r>
          </m:e>
          <m:sup>
            <m:r>
              <m:t>2</m:t>
            </m:r>
          </m:sup>
        </m:sSup>
      </m:oMath>
      <w:r>
        <w:t xml:space="preserve"> </w:t>
      </w:r>
      <w:r>
        <w:t xml:space="preserve">= 0.061 compared to 0.064 in the primary analysis), the interaction term between minutes above threshold and butterflies in direct sun achieved statistical significance (p = 0.0001), and notably, T50 was the only model among the top five candidates to include any wind parameters. This suggests that while the threshold approach may not optimally characterize wind effects, the interaction with solar exposure warrants examination.</w:t>
      </w:r>
    </w:p>
    <w:bookmarkStart w:id="48" w:name="tab:threshold_model_selection"/>
    <w:p>
      <w:pPr>
        <w:pStyle w:val="TableCaption"/>
      </w:pPr>
      <w:r>
        <w:t xml:space="preserve">Top 5 models ranked by AIC (30-minute threshold analysis)</w:t>
      </w:r>
    </w:p>
    <w:tbl>
      <w:tblPr>
        <w:tblStyle w:val="Table"/>
        <w:tblW w:type="auto" w:w="0"/>
        <w:tblLook w:firstRow="1" w:lastRow="0" w:firstColumn="0" w:lastColumn="0" w:noHBand="0" w:noVBand="0" w:val="0020"/>
        <w:tblCaption w:val="Top 5 models ranked by AIC (30-minute threshold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T50</w:t>
            </w:r>
          </w:p>
        </w:tc>
        <w:tc>
          <w:tcPr/>
          <w:p>
            <w:pPr>
              <w:pStyle w:val="Compact"/>
              <w:jc w:val="left"/>
            </w:pPr>
            <w:r>
              <w:t xml:space="preserve">Previous butterfly count, Temperature, Time since sunrise, Interaction (tensor): Minutes above 2 m/s, Butterflies in direct sun</w:t>
            </w:r>
          </w:p>
        </w:tc>
        <w:tc>
          <w:tcPr/>
          <w:p>
            <w:pPr>
              <w:pStyle w:val="Compact"/>
              <w:jc w:val="right"/>
            </w:pPr>
            <w:r>
              <w:t xml:space="preserve">8077.23</w:t>
            </w:r>
          </w:p>
        </w:tc>
        <w:tc>
          <w:tcPr/>
          <w:p>
            <w:pPr>
              <w:pStyle w:val="Compact"/>
              <w:jc w:val="right"/>
            </w:pPr>
            <w:r>
              <w:t xml:space="preserve">0.00</w:t>
            </w:r>
          </w:p>
        </w:tc>
        <w:tc>
          <w:tcPr/>
          <w:p>
            <w:pPr>
              <w:pStyle w:val="Compact"/>
              <w:jc w:val="right"/>
            </w:pPr>
            <w:r>
              <w:t xml:space="preserve">0.55</w:t>
            </w:r>
          </w:p>
        </w:tc>
      </w:tr>
      <w:tr>
        <w:tc>
          <w:tcPr/>
          <w:p>
            <w:pPr>
              <w:pStyle w:val="Compact"/>
              <w:jc w:val="left"/>
            </w:pPr>
            <w:r>
              <w:t xml:space="preserve">T23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0.63</w:t>
            </w:r>
          </w:p>
        </w:tc>
        <w:tc>
          <w:tcPr/>
          <w:p>
            <w:pPr>
              <w:pStyle w:val="Compact"/>
              <w:jc w:val="right"/>
            </w:pPr>
            <w:r>
              <w:t xml:space="preserve">0.40</w:t>
            </w:r>
          </w:p>
        </w:tc>
      </w:tr>
      <w:tr>
        <w:tc>
          <w:tcPr/>
          <w:p>
            <w:pPr>
              <w:pStyle w:val="Compact"/>
              <w:jc w:val="left"/>
            </w:pPr>
            <w:r>
              <w:t xml:space="preserve">T22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5.67</w:t>
            </w:r>
          </w:p>
        </w:tc>
        <w:tc>
          <w:tcPr/>
          <w:p>
            <w:pPr>
              <w:pStyle w:val="Compact"/>
              <w:jc w:val="right"/>
            </w:pPr>
            <w:r>
              <w:t xml:space="preserve">0.03</w:t>
            </w:r>
          </w:p>
        </w:tc>
      </w:tr>
      <w:tr>
        <w:tc>
          <w:tcPr/>
          <w:p>
            <w:pPr>
              <w:pStyle w:val="Compact"/>
              <w:jc w:val="left"/>
            </w:pPr>
            <w:r>
              <w:t xml:space="preserve">T24</w:t>
            </w:r>
          </w:p>
        </w:tc>
        <w:tc>
          <w:tcPr/>
          <w:p>
            <w:pPr>
              <w:pStyle w:val="Compact"/>
              <w:jc w:val="left"/>
            </w:pPr>
            <w:r>
              <w:t xml:space="preserve">Previous butterfly count, Minutes above 2 m/s, Temperature, Butterflies in direct sun, Time since sunrise</w:t>
            </w:r>
          </w:p>
        </w:tc>
        <w:tc>
          <w:tcPr/>
          <w:p>
            <w:pPr>
              <w:pStyle w:val="Compact"/>
              <w:jc w:val="right"/>
            </w:pPr>
            <w:r>
              <w:t xml:space="preserve">8085.41</w:t>
            </w:r>
          </w:p>
        </w:tc>
        <w:tc>
          <w:tcPr/>
          <w:p>
            <w:pPr>
              <w:pStyle w:val="Compact"/>
              <w:jc w:val="right"/>
            </w:pPr>
            <w:r>
              <w:t xml:space="preserve">8.18</w:t>
            </w:r>
          </w:p>
        </w:tc>
        <w:tc>
          <w:tcPr/>
          <w:p>
            <w:pPr>
              <w:pStyle w:val="Compact"/>
              <w:jc w:val="right"/>
            </w:pPr>
            <w:r>
              <w:t xml:space="preserve">0.01</w:t>
            </w:r>
          </w:p>
        </w:tc>
      </w:tr>
      <w:tr>
        <w:tc>
          <w:tcPr/>
          <w:p>
            <w:pPr>
              <w:pStyle w:val="Compact"/>
              <w:jc w:val="left"/>
            </w:pPr>
            <w:r>
              <w:t xml:space="preserve">T47</w:t>
            </w:r>
          </w:p>
        </w:tc>
        <w:tc>
          <w:tcPr/>
          <w:p>
            <w:pPr>
              <w:pStyle w:val="Compact"/>
              <w:jc w:val="left"/>
            </w:pPr>
            <w:r>
              <w:t xml:space="preserve">Temperature, Butterflies in direct sun, Time since sunrise</w:t>
            </w:r>
          </w:p>
        </w:tc>
        <w:tc>
          <w:tcPr/>
          <w:p>
            <w:pPr>
              <w:pStyle w:val="Compact"/>
              <w:jc w:val="right"/>
            </w:pPr>
            <w:r>
              <w:t xml:space="preserve">8097.30</w:t>
            </w:r>
          </w:p>
        </w:tc>
        <w:tc>
          <w:tcPr/>
          <w:p>
            <w:pPr>
              <w:pStyle w:val="Compact"/>
              <w:jc w:val="right"/>
            </w:pPr>
            <w:r>
              <w:t xml:space="preserve">20.07</w:t>
            </w:r>
          </w:p>
        </w:tc>
        <w:tc>
          <w:tcPr/>
          <w:p>
            <w:pPr>
              <w:pStyle w:val="Compact"/>
              <w:jc w:val="right"/>
            </w:pPr>
            <w:r>
              <w:t xml:space="preserve">0.00</w:t>
            </w:r>
          </w:p>
        </w:tc>
      </w:tr>
    </w:tbl>
    <w:bookmarkEnd w:id="48"/>
    <w:p>
      <w:pPr>
        <w:pStyle w:val="BodyText"/>
      </w:pPr>
      <w:r>
        <w:t xml:space="preserve">The interaction plot from the threshold analysis reveals complex conditional relationships between wind exposure duration and solar conditions (Figure </w:t>
      </w:r>
      <w:hyperlink w:anchor="fig:threshold_interaction">
        <w:r>
          <w:rPr>
            <w:rStyle w:val="Hyperlink"/>
          </w:rPr>
          <w:t xml:space="preserve">1.5</w:t>
        </w:r>
      </w:hyperlink>
      <w:r>
        <w:t xml:space="preserve">). When butterflies in direct sun are held at zero (all butterflies in indirect light), cluster size changes show no apparent trend across the entire range of wind exposure duration, from no time above threshold to the full 30-minute observation period. This suggests that wind effects on shaded butterflies are minimal regardless of exposure duration.</w:t>
      </w:r>
    </w:p>
    <w:p>
      <w:pPr>
        <w:pStyle w:val="BodyText"/>
      </w:pPr>
      <w:r>
        <w:t xml:space="preserve">As butterfly counts in direct sun increase, distinct patterns emerge. At moderate counts (25-50 butterflies), cluster sizes tend to decrease when wind exposure extends from 15 to 25 minutes above threshold. However, at the extremes of sustained wind exposure (greater than 25 minutes), cluster sizes tend to increase. When wind exposure is minimal (0-5 minutes above threshold), increasing butterfly counts in sun show no effect on cluster size changes. The strongest effects appear at intermediate wind exposure durations (15-25 minutes) combined with moderate solar exposure levels.</w:t>
      </w:r>
    </w:p>
    <w:p>
      <w:pPr>
        <w:pStyle w:val="BodyText"/>
      </w:pPr>
      <w:r>
        <w:t xml:space="preserve">The same caveats apply regarding sparse data at the extremes and the limits of interpolation, particularly given that most observations occurred at low butterfly counts in direct sun.</w:t>
      </w:r>
    </w:p>
    <w:bookmarkStart w:id="52" w:name="fig:threshold_interaction"/>
    <w:p>
      <w:pPr>
        <w:pStyle w:val="CaptionedFigure"/>
      </w:pPr>
      <w:r>
        <w:drawing>
          <wp:inline>
            <wp:extent cx="4267200" cy="3657600"/>
            <wp:effectExtent b="0" l="0" r="0" t="0"/>
            <wp:docPr descr="" title="" id="50" name="Picture"/>
            <a:graphic>
              <a:graphicData uri="http://schemas.openxmlformats.org/drawingml/2006/picture">
                <pic:pic>
                  <pic:nvPicPr>
                    <pic:cNvPr descr="supplemental/results/30_min_threshold/figures/interaction_wind_x_sun_binned.png" id="51" name="Picture"/>
                    <pic:cNvPicPr>
                      <a:picLocks noChangeArrowheads="1" noChangeAspect="1"/>
                    </pic:cNvPicPr>
                  </pic:nvPicPr>
                  <pic:blipFill>
                    <a:blip r:embed="rId49"/>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minutes above 2 m/s wind threshold and butterflies in direct sun on cluster size changes. Color gradient indicates partial effect magnitude (red = positive, blue = negative). Black points show observed data distribution. Gray regions indicate areas beyond reliable interpolation range.</w:t>
      </w:r>
    </w:p>
    <w:bookmarkEnd w:id="52"/>
    <w:bookmarkEnd w:id="53"/>
    <w:bookmarkEnd w:id="54"/>
    <w:bookmarkStart w:id="56"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1.4</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5"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5"/>
    <w:bookmarkEnd w:id="56"/>
    <w:bookmarkStart w:id="57"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7"/>
    <w:bookmarkEnd w:id="58"/>
    <w:bookmarkStart w:id="72" w:name="discussion"/>
    <w:p>
      <w:pPr>
        <w:pStyle w:val="Heading2"/>
      </w:pPr>
      <w:r>
        <w:t xml:space="preserve">Discussion</w:t>
      </w:r>
    </w:p>
    <w:bookmarkStart w:id="59"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9"/>
    <w:bookmarkStart w:id="63"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60"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60"/>
    <w:bookmarkStart w:id="61"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1"/>
    <w:bookmarkStart w:id="62"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2"/>
    <w:bookmarkEnd w:id="63"/>
    <w:bookmarkStart w:id="64"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4"/>
    <w:bookmarkStart w:id="65"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5"/>
    <w:bookmarkStart w:id="70"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9" w:name="fig:weiss_canopy"/>
    <w:p>
      <w:pPr>
        <w:pStyle w:val="CaptionedFigure"/>
      </w:pPr>
      <w:r>
        <w:drawing>
          <wp:inline>
            <wp:extent cx="4267200" cy="2517273"/>
            <wp:effectExtent b="0" l="0" r="0" t="0"/>
            <wp:docPr descr="" title="" id="67" name="Picture"/>
            <a:graphic>
              <a:graphicData uri="http://schemas.openxmlformats.org/drawingml/2006/picture">
                <pic:pic>
                  <pic:nvPicPr>
                    <pic:cNvPr descr="figures/discussion/weiss_adapted_boxplot.png" id="68" name="Picture"/>
                    <pic:cNvPicPr>
                      <a:picLocks noChangeArrowheads="1" noChangeAspect="1"/>
                    </pic:cNvPicPr>
                  </pic:nvPicPr>
                  <pic:blipFill>
                    <a:blip r:embed="rId66"/>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9"/>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70"/>
    <w:bookmarkStart w:id="71"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1"/>
    <w:bookmarkEnd w:id="72"/>
    <w:bookmarkStart w:id="188" w:name="references"/>
    <w:p>
      <w:pPr>
        <w:pStyle w:val="Heading2"/>
      </w:pPr>
      <w:r>
        <w:t xml:space="preserve">References</w:t>
      </w:r>
    </w:p>
    <w:bookmarkStart w:id="187" w:name="refs"/>
    <w:bookmarkStart w:id="74"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3">
        <w:r>
          <w:rPr>
            <w:rStyle w:val="Hyperlink"/>
          </w:rPr>
          <w:t xml:space="preserve">https://doi.org/10.2307/2388612</w:t>
        </w:r>
      </w:hyperlink>
      <w:r>
        <w:t xml:space="preserve">.</w:t>
      </w:r>
    </w:p>
    <w:bookmarkEnd w:id="74"/>
    <w:bookmarkStart w:id="75"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5"/>
    <w:bookmarkStart w:id="77"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6">
        <w:r>
          <w:rPr>
            <w:rStyle w:val="Hyperlink"/>
          </w:rPr>
          <w:t xml:space="preserve">https://doi.org/10.1016/0022-1910(76)90046-9</w:t>
        </w:r>
      </w:hyperlink>
      <w:r>
        <w:t xml:space="preserve">.</w:t>
      </w:r>
    </w:p>
    <w:bookmarkEnd w:id="77"/>
    <w:bookmarkStart w:id="79"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8">
        <w:r>
          <w:rPr>
            <w:rStyle w:val="Hyperlink"/>
          </w:rPr>
          <w:t xml:space="preserve">https://doi.org/10.1086/698656</w:t>
        </w:r>
      </w:hyperlink>
      <w:r>
        <w:t xml:space="preserve">.</w:t>
      </w:r>
    </w:p>
    <w:bookmarkEnd w:id="79"/>
    <w:bookmarkStart w:id="81"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80">
        <w:r>
          <w:rPr>
            <w:rStyle w:val="Hyperlink"/>
          </w:rPr>
          <w:t xml:space="preserve">https://doi.org/10.1016/0022-1910(79)90112-4</w:t>
        </w:r>
      </w:hyperlink>
      <w:r>
        <w:t xml:space="preserve">.</w:t>
      </w:r>
    </w:p>
    <w:bookmarkEnd w:id="81"/>
    <w:bookmarkStart w:id="83"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2">
        <w:r>
          <w:rPr>
            <w:rStyle w:val="Hyperlink"/>
          </w:rPr>
          <w:t xml:space="preserve">https://doi.org/10.1126/science.1225883</w:t>
        </w:r>
      </w:hyperlink>
      <w:r>
        <w:t xml:space="preserve">.</w:t>
      </w:r>
    </w:p>
    <w:bookmarkEnd w:id="83"/>
    <w:bookmarkStart w:id="85"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4">
        <w:r>
          <w:rPr>
            <w:rStyle w:val="Hyperlink"/>
          </w:rPr>
          <w:t xml:space="preserve">https://www.ncbi.nlm.nih.gov/pubmed/8551296</w:t>
        </w:r>
      </w:hyperlink>
      <w:r>
        <w:t xml:space="preserve">.</w:t>
      </w:r>
    </w:p>
    <w:bookmarkEnd w:id="85"/>
    <w:bookmarkStart w:id="87"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6">
        <w:r>
          <w:rPr>
            <w:rStyle w:val="Hyperlink"/>
          </w:rPr>
          <w:t xml:space="preserve">https://doi.org/10.1007/BF00329753</w:t>
        </w:r>
      </w:hyperlink>
      <w:r>
        <w:t xml:space="preserve">.</w:t>
      </w:r>
    </w:p>
    <w:bookmarkEnd w:id="87"/>
    <w:bookmarkStart w:id="89"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8">
        <w:r>
          <w:rPr>
            <w:rStyle w:val="Hyperlink"/>
          </w:rPr>
          <w:t xml:space="preserve">https://www.semanticscholar.org/paper/Heritability-of-spider-ballooning-motivation-under-Bonte-Lens/d6118c2cd143572bc4f098b5916186ec63c0f12a</w:t>
        </w:r>
      </w:hyperlink>
      <w:r>
        <w:t xml:space="preserve">.</w:t>
      </w:r>
    </w:p>
    <w:bookmarkEnd w:id="89"/>
    <w:bookmarkStart w:id="91"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90">
        <w:r>
          <w:rPr>
            <w:rStyle w:val="Hyperlink"/>
          </w:rPr>
          <w:t xml:space="preserve">https://www.semanticscholar.org/paper/Understanding-and-misunderstanding-the-migration-of-Brower/79380ddbf559e310fef9bb8919c03c63ccddecb7</w:t>
        </w:r>
      </w:hyperlink>
      <w:r>
        <w:t xml:space="preserve">.</w:t>
      </w:r>
    </w:p>
    <w:bookmarkEnd w:id="91"/>
    <w:bookmarkStart w:id="92"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2"/>
    <w:bookmarkStart w:id="94"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3">
        <w:r>
          <w:rPr>
            <w:rStyle w:val="Hyperlink"/>
          </w:rPr>
          <w:t xml:space="preserve">https://doi.org/10.2307/2387997</w:t>
        </w:r>
      </w:hyperlink>
      <w:r>
        <w:t xml:space="preserve">.</w:t>
      </w:r>
    </w:p>
    <w:bookmarkEnd w:id="94"/>
    <w:bookmarkStart w:id="96"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5">
        <w:r>
          <w:rPr>
            <w:rStyle w:val="Hyperlink"/>
          </w:rPr>
          <w:t xml:space="preserve">https://doi.org/10.1111/j.1365-2311.1982.tb00664.x</w:t>
        </w:r>
      </w:hyperlink>
      <w:r>
        <w:t xml:space="preserve">.</w:t>
      </w:r>
    </w:p>
    <w:bookmarkEnd w:id="96"/>
    <w:bookmarkStart w:id="98"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7">
        <w:r>
          <w:rPr>
            <w:rStyle w:val="Hyperlink"/>
          </w:rPr>
          <w:t xml:space="preserve">https://doi.org/10.1016/j.jinsphys.2011.05.004</w:t>
        </w:r>
      </w:hyperlink>
      <w:r>
        <w:t xml:space="preserve">.</w:t>
      </w:r>
    </w:p>
    <w:bookmarkEnd w:id="98"/>
    <w:bookmarkStart w:id="100"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9">
        <w:r>
          <w:rPr>
            <w:rStyle w:val="Hyperlink"/>
          </w:rPr>
          <w:t xml:space="preserve">https://hero.epa.gov/hero/index.cfm/reference/details/reference_id/52731</w:t>
        </w:r>
      </w:hyperlink>
      <w:r>
        <w:t xml:space="preserve">.</w:t>
      </w:r>
    </w:p>
    <w:bookmarkEnd w:id="100"/>
    <w:bookmarkStart w:id="102"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1">
        <w:r>
          <w:rPr>
            <w:rStyle w:val="Hyperlink"/>
          </w:rPr>
          <w:t xml:space="preserve">https://doi.org/10.1002/eap.1975</w:t>
        </w:r>
      </w:hyperlink>
      <w:r>
        <w:t xml:space="preserve">.</w:t>
      </w:r>
    </w:p>
    <w:bookmarkEnd w:id="102"/>
    <w:bookmarkStart w:id="104"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3">
        <w:r>
          <w:rPr>
            <w:rStyle w:val="Hyperlink"/>
          </w:rPr>
          <w:t xml:space="preserve">https://doi.org/10.1016/j.jtherbio.2014.05.004</w:t>
        </w:r>
      </w:hyperlink>
      <w:r>
        <w:t xml:space="preserve">.</w:t>
      </w:r>
    </w:p>
    <w:bookmarkEnd w:id="104"/>
    <w:bookmarkStart w:id="106"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5">
        <w:r>
          <w:rPr>
            <w:rStyle w:val="Hyperlink"/>
          </w:rPr>
          <w:t xml:space="preserve">https://doi.org/10.3390/insects9040167</w:t>
        </w:r>
      </w:hyperlink>
      <w:r>
        <w:t xml:space="preserve">.</w:t>
      </w:r>
    </w:p>
    <w:bookmarkEnd w:id="106"/>
    <w:bookmarkStart w:id="108"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7">
        <w:r>
          <w:rPr>
            <w:rStyle w:val="Hyperlink"/>
          </w:rPr>
          <w:t xml:space="preserve">https://doi.org/10.1111/csp2.432</w:t>
        </w:r>
      </w:hyperlink>
      <w:r>
        <w:t xml:space="preserve">.</w:t>
      </w:r>
    </w:p>
    <w:bookmarkEnd w:id="108"/>
    <w:bookmarkStart w:id="110"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9">
        <w:r>
          <w:rPr>
            <w:rStyle w:val="Hyperlink"/>
          </w:rPr>
          <w:t xml:space="preserve">https://doi.org/10.1006/anbe.1993.1120</w:t>
        </w:r>
      </w:hyperlink>
      <w:r>
        <w:t xml:space="preserve">.</w:t>
      </w:r>
    </w:p>
    <w:bookmarkEnd w:id="110"/>
    <w:bookmarkStart w:id="112"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1">
        <w:r>
          <w:rPr>
            <w:rStyle w:val="Hyperlink"/>
          </w:rPr>
          <w:t xml:space="preserve">https://doi.org/10.1046/j.1365-2311.2002.00454.x</w:t>
        </w:r>
      </w:hyperlink>
      <w:r>
        <w:t xml:space="preserve">.</w:t>
      </w:r>
    </w:p>
    <w:bookmarkEnd w:id="112"/>
    <w:bookmarkStart w:id="114"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3">
        <w:r>
          <w:rPr>
            <w:rStyle w:val="Hyperlink"/>
          </w:rPr>
          <w:t xml:space="preserve">https://doi.org/10.1080/02541858.1997.11448445</w:t>
        </w:r>
      </w:hyperlink>
      <w:r>
        <w:t xml:space="preserve">.</w:t>
      </w:r>
    </w:p>
    <w:bookmarkEnd w:id="114"/>
    <w:bookmarkStart w:id="116"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5">
        <w:r>
          <w:rPr>
            <w:rStyle w:val="Hyperlink"/>
          </w:rPr>
          <w:t xml:space="preserve">https://doi.org/10.1098/rspb.2001.1765</w:t>
        </w:r>
      </w:hyperlink>
      <w:r>
        <w:t xml:space="preserve">.</w:t>
      </w:r>
    </w:p>
    <w:bookmarkEnd w:id="116"/>
    <w:bookmarkStart w:id="118"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7">
        <w:r>
          <w:rPr>
            <w:rStyle w:val="Hyperlink"/>
          </w:rPr>
          <w:t xml:space="preserve">https://www.frontiersin.org/articles/10.3389/fevo.2019.00266</w:t>
        </w:r>
      </w:hyperlink>
      <w:r>
        <w:t xml:space="preserve">.</w:t>
      </w:r>
    </w:p>
    <w:bookmarkEnd w:id="118"/>
    <w:bookmarkStart w:id="119"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9"/>
    <w:bookmarkStart w:id="121"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20">
        <w:r>
          <w:rPr>
            <w:rStyle w:val="Hyperlink"/>
          </w:rPr>
          <w:t xml:space="preserve">https://xerces.org/protecting-californias-butterfly-groves</w:t>
        </w:r>
      </w:hyperlink>
      <w:r>
        <w:t xml:space="preserve">.</w:t>
      </w:r>
    </w:p>
    <w:bookmarkEnd w:id="121"/>
    <w:bookmarkStart w:id="123"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2">
        <w:r>
          <w:rPr>
            <w:rStyle w:val="Hyperlink"/>
          </w:rPr>
          <w:t xml:space="preserve">https://www.xerces.org</w:t>
        </w:r>
      </w:hyperlink>
      <w:r>
        <w:t xml:space="preserve">.</w:t>
      </w:r>
    </w:p>
    <w:bookmarkEnd w:id="123"/>
    <w:bookmarkStart w:id="125"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4">
        <w:r>
          <w:rPr>
            <w:rStyle w:val="Hyperlink"/>
          </w:rPr>
          <w:t xml:space="preserve">https://doi.org/10.1007/BF00298260</w:t>
        </w:r>
      </w:hyperlink>
      <w:r>
        <w:t xml:space="preserve">.</w:t>
      </w:r>
    </w:p>
    <w:bookmarkEnd w:id="125"/>
    <w:bookmarkStart w:id="127"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6">
        <w:r>
          <w:rPr>
            <w:rStyle w:val="Hyperlink"/>
          </w:rPr>
          <w:t xml:space="preserve">https://doi.org/10.1242/jeb.073668</w:t>
        </w:r>
      </w:hyperlink>
      <w:r>
        <w:t xml:space="preserve">.</w:t>
      </w:r>
    </w:p>
    <w:bookmarkEnd w:id="127"/>
    <w:bookmarkStart w:id="129"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8">
        <w:r>
          <w:rPr>
            <w:rStyle w:val="Hyperlink"/>
          </w:rPr>
          <w:t xml:space="preserve">https://doi.org/10.1111/aen.12175</w:t>
        </w:r>
      </w:hyperlink>
      <w:r>
        <w:t xml:space="preserve">.</w:t>
      </w:r>
    </w:p>
    <w:bookmarkEnd w:id="129"/>
    <w:bookmarkStart w:id="130"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30"/>
    <w:bookmarkStart w:id="131"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1"/>
    <w:bookmarkStart w:id="133"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2">
        <w:r>
          <w:rPr>
            <w:rStyle w:val="Hyperlink"/>
          </w:rPr>
          <w:t xml:space="preserve">https://doi.org/10.1093/aesa/84.3.263</w:t>
        </w:r>
      </w:hyperlink>
      <w:r>
        <w:t xml:space="preserve">.</w:t>
      </w:r>
    </w:p>
    <w:bookmarkEnd w:id="133"/>
    <w:bookmarkStart w:id="135"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4">
        <w:r>
          <w:rPr>
            <w:rStyle w:val="Hyperlink"/>
          </w:rPr>
          <w:t xml:space="preserve">https://doi.org/10.1093/aesa/83.5.906</w:t>
        </w:r>
      </w:hyperlink>
      <w:r>
        <w:t xml:space="preserve">.</w:t>
      </w:r>
    </w:p>
    <w:bookmarkEnd w:id="135"/>
    <w:bookmarkStart w:id="137"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6">
        <w:r>
          <w:rPr>
            <w:rStyle w:val="Hyperlink"/>
          </w:rPr>
          <w:t xml:space="preserve">https://doi.org/10.1038/s41598-017-14510-w</w:t>
        </w:r>
      </w:hyperlink>
      <w:r>
        <w:t xml:space="preserve">.</w:t>
      </w:r>
    </w:p>
    <w:bookmarkEnd w:id="137"/>
    <w:bookmarkStart w:id="139"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8">
        <w:r>
          <w:rPr>
            <w:rStyle w:val="Hyperlink"/>
          </w:rPr>
          <w:t xml:space="preserve">https://doi.org/10.2307/1940444</w:t>
        </w:r>
      </w:hyperlink>
      <w:r>
        <w:t xml:space="preserve">.</w:t>
      </w:r>
    </w:p>
    <w:bookmarkEnd w:id="139"/>
    <w:bookmarkStart w:id="141"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40">
        <w:r>
          <w:rPr>
            <w:rStyle w:val="Hyperlink"/>
          </w:rPr>
          <w:t xml:space="preserve">https://doi.org/10.1002/ecy.3634</w:t>
        </w:r>
      </w:hyperlink>
      <w:r>
        <w:t xml:space="preserve">.</w:t>
      </w:r>
    </w:p>
    <w:bookmarkEnd w:id="141"/>
    <w:bookmarkStart w:id="143"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2">
        <w:r>
          <w:rPr>
            <w:rStyle w:val="Hyperlink"/>
          </w:rPr>
          <w:t xml:space="preserve">https://doi.org/10.1073/pnas.152137299</w:t>
        </w:r>
      </w:hyperlink>
      <w:r>
        <w:t xml:space="preserve">.</w:t>
      </w:r>
    </w:p>
    <w:bookmarkEnd w:id="143"/>
    <w:bookmarkStart w:id="145"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4">
        <w:r>
          <w:rPr>
            <w:rStyle w:val="Hyperlink"/>
          </w:rPr>
          <w:t xml:space="preserve">https://doi.org/10.1111/j.1366-9516.2005.00146.x</w:t>
        </w:r>
      </w:hyperlink>
      <w:r>
        <w:t xml:space="preserve">.</w:t>
      </w:r>
    </w:p>
    <w:bookmarkEnd w:id="145"/>
    <w:bookmarkStart w:id="147"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6">
        <w:r>
          <w:rPr>
            <w:rStyle w:val="Hyperlink"/>
          </w:rPr>
          <w:t xml:space="preserve">https://doi.org/10.1098/rspb.2020.2988</w:t>
        </w:r>
      </w:hyperlink>
      <w:r>
        <w:t xml:space="preserve">.</w:t>
      </w:r>
    </w:p>
    <w:bookmarkEnd w:id="147"/>
    <w:bookmarkStart w:id="148"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8"/>
    <w:bookmarkStart w:id="150"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9">
        <w:r>
          <w:rPr>
            <w:rStyle w:val="Hyperlink"/>
          </w:rPr>
          <w:t xml:space="preserve">https://www.frontiersin.org/articles/10.3389/fevo.2019.00258</w:t>
        </w:r>
      </w:hyperlink>
      <w:r>
        <w:t xml:space="preserve">.</w:t>
      </w:r>
    </w:p>
    <w:bookmarkEnd w:id="150"/>
    <w:bookmarkStart w:id="152"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1">
        <w:r>
          <w:rPr>
            <w:rStyle w:val="Hyperlink"/>
          </w:rPr>
          <w:t xml:space="preserve">https://doi.org/10.1016/j.cub.2018.02.067</w:t>
        </w:r>
      </w:hyperlink>
      <w:r>
        <w:t xml:space="preserve">.</w:t>
      </w:r>
    </w:p>
    <w:bookmarkEnd w:id="152"/>
    <w:bookmarkStart w:id="154"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3">
        <w:r>
          <w:rPr>
            <w:rStyle w:val="Hyperlink"/>
          </w:rPr>
          <w:t xml:space="preserve">https://www.frontiersin.org/articles/10.3389/fcosc.2022.844299</w:t>
        </w:r>
      </w:hyperlink>
      <w:r>
        <w:t xml:space="preserve">.</w:t>
      </w:r>
    </w:p>
    <w:bookmarkEnd w:id="154"/>
    <w:bookmarkStart w:id="156"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5">
        <w:r>
          <w:rPr>
            <w:rStyle w:val="Hyperlink"/>
          </w:rPr>
          <w:t xml:space="preserve">https://doi.org/10.1016/j.biocon.2017.08.019</w:t>
        </w:r>
      </w:hyperlink>
      <w:r>
        <w:t xml:space="preserve">.</w:t>
      </w:r>
    </w:p>
    <w:bookmarkEnd w:id="156"/>
    <w:bookmarkStart w:id="158"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7">
        <w:r>
          <w:rPr>
            <w:rStyle w:val="Hyperlink"/>
          </w:rPr>
          <w:t xml:space="preserve">https://doi.org/10.1002/ece3.5607</w:t>
        </w:r>
      </w:hyperlink>
      <w:r>
        <w:t xml:space="preserve">.</w:t>
      </w:r>
    </w:p>
    <w:bookmarkEnd w:id="158"/>
    <w:bookmarkStart w:id="160"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9">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60"/>
    <w:bookmarkStart w:id="162"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1">
        <w:r>
          <w:rPr>
            <w:rStyle w:val="Hyperlink"/>
          </w:rPr>
          <w:t xml:space="preserve">https://www.goletamonarchpress.com/2019/06/city-awarded-3-9-million-in-funding-for-the-monarch-butterfly-habitat-management-plan/</w:t>
        </w:r>
      </w:hyperlink>
      <w:r>
        <w:t xml:space="preserve">.</w:t>
      </w:r>
    </w:p>
    <w:bookmarkEnd w:id="162"/>
    <w:bookmarkStart w:id="164"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3">
        <w:r>
          <w:rPr>
            <w:rStyle w:val="Hyperlink"/>
          </w:rPr>
          <w:t xml:space="preserve">https://doi.org/10.1111/j.1365-2311.1978.tb00912.x</w:t>
        </w:r>
      </w:hyperlink>
      <w:r>
        <w:t xml:space="preserve">.</w:t>
      </w:r>
    </w:p>
    <w:bookmarkEnd w:id="164"/>
    <w:bookmarkStart w:id="165"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5"/>
    <w:bookmarkStart w:id="166"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6"/>
    <w:bookmarkStart w:id="168"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7">
        <w:r>
          <w:rPr>
            <w:rStyle w:val="Hyperlink"/>
          </w:rPr>
          <w:t xml:space="preserve">https://doi.org/10.1007/s00265-020-02842-z</w:t>
        </w:r>
      </w:hyperlink>
      <w:r>
        <w:t xml:space="preserve">.</w:t>
      </w:r>
    </w:p>
    <w:bookmarkEnd w:id="168"/>
    <w:bookmarkStart w:id="170"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9">
        <w:r>
          <w:rPr>
            <w:rStyle w:val="Hyperlink"/>
          </w:rPr>
          <w:t xml:space="preserve">https://doi.org/10.1016/j.biocon.2014.09.041</w:t>
        </w:r>
      </w:hyperlink>
      <w:r>
        <w:t xml:space="preserve">.</w:t>
      </w:r>
    </w:p>
    <w:bookmarkEnd w:id="170"/>
    <w:bookmarkStart w:id="171"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1"/>
    <w:bookmarkStart w:id="173"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2">
        <w:r>
          <w:rPr>
            <w:rStyle w:val="Hyperlink"/>
          </w:rPr>
          <w:t xml:space="preserve">http://www.creeksidescience.com</w:t>
        </w:r>
      </w:hyperlink>
      <w:r>
        <w:t xml:space="preserve">.</w:t>
      </w:r>
    </w:p>
    <w:bookmarkEnd w:id="173"/>
    <w:bookmarkStart w:id="175"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4">
        <w:r>
          <w:rPr>
            <w:rStyle w:val="Hyperlink"/>
          </w:rPr>
          <w:t xml:space="preserve">https://doi.org/10.1111/j.1523-1739.1991.tb00121.x</w:t>
        </w:r>
      </w:hyperlink>
      <w:r>
        <w:t xml:space="preserve">.</w:t>
      </w:r>
    </w:p>
    <w:bookmarkEnd w:id="175"/>
    <w:bookmarkStart w:id="177"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6">
        <w:r>
          <w:rPr>
            <w:rStyle w:val="Hyperlink"/>
          </w:rPr>
          <w:t xml:space="preserve">https://www.xerces.org/sites/default/files/2018-05/16-015_01_XercesSoc_State-of-Monarch-Overwintering-Sites-in-California_web.pdf</w:t>
        </w:r>
      </w:hyperlink>
      <w:r>
        <w:t xml:space="preserve">.</w:t>
      </w:r>
    </w:p>
    <w:bookmarkEnd w:id="177"/>
    <w:bookmarkStart w:id="178"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2">
        <w:r>
          <w:rPr>
            <w:rStyle w:val="Hyperlink"/>
          </w:rPr>
          <w:t xml:space="preserve">www.xerces.org</w:t>
        </w:r>
      </w:hyperlink>
      <w:r>
        <w:t xml:space="preserve">.</w:t>
      </w:r>
    </w:p>
    <w:bookmarkEnd w:id="178"/>
    <w:bookmarkStart w:id="180"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9">
        <w:r>
          <w:rPr>
            <w:rStyle w:val="Hyperlink"/>
          </w:rPr>
          <w:t xml:space="preserve">WesternMonarchCount.com</w:t>
        </w:r>
      </w:hyperlink>
      <w:r>
        <w:t xml:space="preserve">.</w:t>
      </w:r>
    </w:p>
    <w:bookmarkEnd w:id="180"/>
    <w:bookmarkStart w:id="182"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1">
        <w:r>
          <w:rPr>
            <w:rStyle w:val="Hyperlink"/>
          </w:rPr>
          <w:t xml:space="preserve">https://www.xerces.org/press/western-monarch-butterfly-population-declines-to-near-record-low</w:t>
        </w:r>
      </w:hyperlink>
      <w:r>
        <w:t xml:space="preserve">.</w:t>
      </w:r>
    </w:p>
    <w:bookmarkEnd w:id="182"/>
    <w:bookmarkStart w:id="184"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3">
        <w:r>
          <w:rPr>
            <w:rStyle w:val="Hyperlink"/>
          </w:rPr>
          <w:t xml:space="preserve">https://doi.org/10.1111/ecog.01994</w:t>
        </w:r>
      </w:hyperlink>
      <w:r>
        <w:t xml:space="preserve">.</w:t>
      </w:r>
    </w:p>
    <w:bookmarkEnd w:id="184"/>
    <w:bookmarkStart w:id="186"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5">
        <w:r>
          <w:rPr>
            <w:rStyle w:val="Hyperlink"/>
          </w:rPr>
          <w:t xml:space="preserve">https://doi.org/10.1111/j.1440-6055.1982.tb01803.x</w:t>
        </w:r>
      </w:hyperlink>
      <w:r>
        <w:t xml:space="preserve">.</w:t>
      </w:r>
    </w:p>
    <w:bookmarkEnd w:id="186"/>
    <w:bookmarkEnd w:id="187"/>
    <w:bookmarkEnd w:id="188"/>
    <w:bookmarkEnd w:id="1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6" Target="media/rId66.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hyperlink" Id="rId172" Target="http://www.creeksidescience.com" TargetMode="External" /><Relationship Type="http://schemas.openxmlformats.org/officeDocument/2006/relationships/hyperlink" Id="rId179" Target="https://WesternMonarchCount.com" TargetMode="External" /><Relationship Type="http://schemas.openxmlformats.org/officeDocument/2006/relationships/hyperlink" Id="rId159"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1" Target="https://doi.org/10.1002/eap.1975" TargetMode="External" /><Relationship Type="http://schemas.openxmlformats.org/officeDocument/2006/relationships/hyperlink" Id="rId157" Target="https://doi.org/10.1002/ece3.5607" TargetMode="External" /><Relationship Type="http://schemas.openxmlformats.org/officeDocument/2006/relationships/hyperlink" Id="rId140" Target="https://doi.org/10.1002/ecy.3634" TargetMode="External" /><Relationship Type="http://schemas.openxmlformats.org/officeDocument/2006/relationships/hyperlink" Id="rId109" Target="https://doi.org/10.1006/anbe.1993.1120" TargetMode="External" /><Relationship Type="http://schemas.openxmlformats.org/officeDocument/2006/relationships/hyperlink" Id="rId124" Target="https://doi.org/10.1007/BF00298260" TargetMode="External" /><Relationship Type="http://schemas.openxmlformats.org/officeDocument/2006/relationships/hyperlink" Id="rId86" Target="https://doi.org/10.1007/BF00329753" TargetMode="External" /><Relationship Type="http://schemas.openxmlformats.org/officeDocument/2006/relationships/hyperlink" Id="rId167" Target="https://doi.org/10.1007/s00265-020-02842-z" TargetMode="External" /><Relationship Type="http://schemas.openxmlformats.org/officeDocument/2006/relationships/hyperlink" Id="rId76" Target="https://doi.org/10.1016/0022-1910(76)90046-9" TargetMode="External" /><Relationship Type="http://schemas.openxmlformats.org/officeDocument/2006/relationships/hyperlink" Id="rId80" Target="https://doi.org/10.1016/0022-1910(79)90112-4" TargetMode="External" /><Relationship Type="http://schemas.openxmlformats.org/officeDocument/2006/relationships/hyperlink" Id="rId169" Target="https://doi.org/10.1016/j.biocon.2014.09.041" TargetMode="External" /><Relationship Type="http://schemas.openxmlformats.org/officeDocument/2006/relationships/hyperlink" Id="rId155" Target="https://doi.org/10.1016/j.biocon.2017.08.019" TargetMode="External" /><Relationship Type="http://schemas.openxmlformats.org/officeDocument/2006/relationships/hyperlink" Id="rId151" Target="https://doi.org/10.1016/j.cub.2018.02.067" TargetMode="External" /><Relationship Type="http://schemas.openxmlformats.org/officeDocument/2006/relationships/hyperlink" Id="rId97" Target="https://doi.org/10.1016/j.jinsphys.2011.05.004" TargetMode="External" /><Relationship Type="http://schemas.openxmlformats.org/officeDocument/2006/relationships/hyperlink" Id="rId103" Target="https://doi.org/10.1016/j.jtherbio.2014.05.004" TargetMode="External" /><Relationship Type="http://schemas.openxmlformats.org/officeDocument/2006/relationships/hyperlink" Id="rId136" Target="https://doi.org/10.1038/s41598-017-14510-w" TargetMode="External" /><Relationship Type="http://schemas.openxmlformats.org/officeDocument/2006/relationships/hyperlink" Id="rId111" Target="https://doi.org/10.1046/j.1365-2311.2002.00454.x" TargetMode="External" /><Relationship Type="http://schemas.openxmlformats.org/officeDocument/2006/relationships/hyperlink" Id="rId142" Target="https://doi.org/10.1073/pnas.152137299" TargetMode="External" /><Relationship Type="http://schemas.openxmlformats.org/officeDocument/2006/relationships/hyperlink" Id="rId113" Target="https://doi.org/10.1080/02541858.1997.11448445" TargetMode="External" /><Relationship Type="http://schemas.openxmlformats.org/officeDocument/2006/relationships/hyperlink" Id="rId78" Target="https://doi.org/10.1086/698656" TargetMode="External" /><Relationship Type="http://schemas.openxmlformats.org/officeDocument/2006/relationships/hyperlink" Id="rId134" Target="https://doi.org/10.1093/aesa/83.5.906" TargetMode="External" /><Relationship Type="http://schemas.openxmlformats.org/officeDocument/2006/relationships/hyperlink" Id="rId132" Target="https://doi.org/10.1093/aesa/84.3.263" TargetMode="External" /><Relationship Type="http://schemas.openxmlformats.org/officeDocument/2006/relationships/hyperlink" Id="rId115" Target="https://doi.org/10.1098/rspb.2001.1765" TargetMode="External" /><Relationship Type="http://schemas.openxmlformats.org/officeDocument/2006/relationships/hyperlink" Id="rId146" Target="https://doi.org/10.1098/rspb.2020.2988" TargetMode="External" /><Relationship Type="http://schemas.openxmlformats.org/officeDocument/2006/relationships/hyperlink" Id="rId128" Target="https://doi.org/10.1111/aen.12175" TargetMode="External" /><Relationship Type="http://schemas.openxmlformats.org/officeDocument/2006/relationships/hyperlink" Id="rId107" Target="https://doi.org/10.1111/csp2.432" TargetMode="External" /><Relationship Type="http://schemas.openxmlformats.org/officeDocument/2006/relationships/hyperlink" Id="rId183" Target="https://doi.org/10.1111/ecog.01994" TargetMode="External" /><Relationship Type="http://schemas.openxmlformats.org/officeDocument/2006/relationships/hyperlink" Id="rId163" Target="https://doi.org/10.1111/j.1365-2311.1978.tb00912.x" TargetMode="External" /><Relationship Type="http://schemas.openxmlformats.org/officeDocument/2006/relationships/hyperlink" Id="rId95" Target="https://doi.org/10.1111/j.1365-2311.1982.tb00664.x" TargetMode="External" /><Relationship Type="http://schemas.openxmlformats.org/officeDocument/2006/relationships/hyperlink" Id="rId144" Target="https://doi.org/10.1111/j.1366-9516.2005.00146.x" TargetMode="External" /><Relationship Type="http://schemas.openxmlformats.org/officeDocument/2006/relationships/hyperlink" Id="rId185" Target="https://doi.org/10.1111/j.1440-6055.1982.tb01803.x" TargetMode="External" /><Relationship Type="http://schemas.openxmlformats.org/officeDocument/2006/relationships/hyperlink" Id="rId174" Target="https://doi.org/10.1111/j.1523-1739.1991.tb00121.x" TargetMode="External" /><Relationship Type="http://schemas.openxmlformats.org/officeDocument/2006/relationships/hyperlink" Id="rId82" Target="https://doi.org/10.1126/science.1225883" TargetMode="External" /><Relationship Type="http://schemas.openxmlformats.org/officeDocument/2006/relationships/hyperlink" Id="rId126" Target="https://doi.org/10.1242/jeb.073668" TargetMode="External" /><Relationship Type="http://schemas.openxmlformats.org/officeDocument/2006/relationships/hyperlink" Id="rId138" Target="https://doi.org/10.2307/1940444" TargetMode="External" /><Relationship Type="http://schemas.openxmlformats.org/officeDocument/2006/relationships/hyperlink" Id="rId93" Target="https://doi.org/10.2307/2387997" TargetMode="External" /><Relationship Type="http://schemas.openxmlformats.org/officeDocument/2006/relationships/hyperlink" Id="rId73" Target="https://doi.org/10.2307/2388612" TargetMode="External" /><Relationship Type="http://schemas.openxmlformats.org/officeDocument/2006/relationships/hyperlink" Id="rId105" Target="https://doi.org/10.3390/insects9040167" TargetMode="External" /><Relationship Type="http://schemas.openxmlformats.org/officeDocument/2006/relationships/hyperlink" Id="rId99"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3" Target="https://www.frontiersin.org/articles/10.3389/fcosc.2022.844299" TargetMode="External" /><Relationship Type="http://schemas.openxmlformats.org/officeDocument/2006/relationships/hyperlink" Id="rId149" Target="https://www.frontiersin.org/articles/10.3389/fevo.2019.00258" TargetMode="External" /><Relationship Type="http://schemas.openxmlformats.org/officeDocument/2006/relationships/hyperlink" Id="rId117" Target="https://www.frontiersin.org/articles/10.3389/fevo.2019.00266" TargetMode="External" /><Relationship Type="http://schemas.openxmlformats.org/officeDocument/2006/relationships/hyperlink" Id="rId161" Target="https://www.goletamonarchpress.com/2019/06/city-awarded-3-9-million-in-funding-for-the-monarch-butterfly-habitat-management-plan/" TargetMode="External" /><Relationship Type="http://schemas.openxmlformats.org/officeDocument/2006/relationships/hyperlink" Id="rId84" Target="https://www.ncbi.nlm.nih.gov/pubmed/8551296" TargetMode="External" /><Relationship Type="http://schemas.openxmlformats.org/officeDocument/2006/relationships/hyperlink" Id="rId88" Target="https://www.semanticscholar.org/paper/Heritability-of-spider-ballooning-motivation-under-Bonte-Lens/d6118c2cd143572bc4f098b5916186ec63c0f12a" TargetMode="External" /><Relationship Type="http://schemas.openxmlformats.org/officeDocument/2006/relationships/hyperlink" Id="rId90" Target="https://www.semanticscholar.org/paper/Understanding-and-misunderstanding-the-migration-of-Brower/79380ddbf559e310fef9bb8919c03c63ccddecb7" TargetMode="External" /><Relationship Type="http://schemas.openxmlformats.org/officeDocument/2006/relationships/hyperlink" Id="rId122" Target="https://www.xerces.org" TargetMode="External" /><Relationship Type="http://schemas.openxmlformats.org/officeDocument/2006/relationships/hyperlink" Id="rId181" Target="https://www.xerces.org/press/western-monarch-butterfly-population-declines-to-near-record-low" TargetMode="External" /><Relationship Type="http://schemas.openxmlformats.org/officeDocument/2006/relationships/hyperlink" Id="rId176" Target="https://www.xerces.org/sites/default/files/2018-05/16-015_01_XercesSoc_State-of-Monarch-Overwintering-Sites-in-California_web.pdf" TargetMode="External" /><Relationship Type="http://schemas.openxmlformats.org/officeDocument/2006/relationships/hyperlink" Id="rId120"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2" Target="http://www.creeksidescience.com" TargetMode="External" /><Relationship Type="http://schemas.openxmlformats.org/officeDocument/2006/relationships/hyperlink" Id="rId179" Target="https://WesternMonarchCount.com" TargetMode="External" /><Relationship Type="http://schemas.openxmlformats.org/officeDocument/2006/relationships/hyperlink" Id="rId159"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1" Target="https://doi.org/10.1002/eap.1975" TargetMode="External" /><Relationship Type="http://schemas.openxmlformats.org/officeDocument/2006/relationships/hyperlink" Id="rId157" Target="https://doi.org/10.1002/ece3.5607" TargetMode="External" /><Relationship Type="http://schemas.openxmlformats.org/officeDocument/2006/relationships/hyperlink" Id="rId140" Target="https://doi.org/10.1002/ecy.3634" TargetMode="External" /><Relationship Type="http://schemas.openxmlformats.org/officeDocument/2006/relationships/hyperlink" Id="rId109" Target="https://doi.org/10.1006/anbe.1993.1120" TargetMode="External" /><Relationship Type="http://schemas.openxmlformats.org/officeDocument/2006/relationships/hyperlink" Id="rId124" Target="https://doi.org/10.1007/BF00298260" TargetMode="External" /><Relationship Type="http://schemas.openxmlformats.org/officeDocument/2006/relationships/hyperlink" Id="rId86" Target="https://doi.org/10.1007/BF00329753" TargetMode="External" /><Relationship Type="http://schemas.openxmlformats.org/officeDocument/2006/relationships/hyperlink" Id="rId167" Target="https://doi.org/10.1007/s00265-020-02842-z" TargetMode="External" /><Relationship Type="http://schemas.openxmlformats.org/officeDocument/2006/relationships/hyperlink" Id="rId76" Target="https://doi.org/10.1016/0022-1910(76)90046-9" TargetMode="External" /><Relationship Type="http://schemas.openxmlformats.org/officeDocument/2006/relationships/hyperlink" Id="rId80" Target="https://doi.org/10.1016/0022-1910(79)90112-4" TargetMode="External" /><Relationship Type="http://schemas.openxmlformats.org/officeDocument/2006/relationships/hyperlink" Id="rId169" Target="https://doi.org/10.1016/j.biocon.2014.09.041" TargetMode="External" /><Relationship Type="http://schemas.openxmlformats.org/officeDocument/2006/relationships/hyperlink" Id="rId155" Target="https://doi.org/10.1016/j.biocon.2017.08.019" TargetMode="External" /><Relationship Type="http://schemas.openxmlformats.org/officeDocument/2006/relationships/hyperlink" Id="rId151" Target="https://doi.org/10.1016/j.cub.2018.02.067" TargetMode="External" /><Relationship Type="http://schemas.openxmlformats.org/officeDocument/2006/relationships/hyperlink" Id="rId97" Target="https://doi.org/10.1016/j.jinsphys.2011.05.004" TargetMode="External" /><Relationship Type="http://schemas.openxmlformats.org/officeDocument/2006/relationships/hyperlink" Id="rId103" Target="https://doi.org/10.1016/j.jtherbio.2014.05.004" TargetMode="External" /><Relationship Type="http://schemas.openxmlformats.org/officeDocument/2006/relationships/hyperlink" Id="rId136" Target="https://doi.org/10.1038/s41598-017-14510-w" TargetMode="External" /><Relationship Type="http://schemas.openxmlformats.org/officeDocument/2006/relationships/hyperlink" Id="rId111" Target="https://doi.org/10.1046/j.1365-2311.2002.00454.x" TargetMode="External" /><Relationship Type="http://schemas.openxmlformats.org/officeDocument/2006/relationships/hyperlink" Id="rId142" Target="https://doi.org/10.1073/pnas.152137299" TargetMode="External" /><Relationship Type="http://schemas.openxmlformats.org/officeDocument/2006/relationships/hyperlink" Id="rId113" Target="https://doi.org/10.1080/02541858.1997.11448445" TargetMode="External" /><Relationship Type="http://schemas.openxmlformats.org/officeDocument/2006/relationships/hyperlink" Id="rId78" Target="https://doi.org/10.1086/698656" TargetMode="External" /><Relationship Type="http://schemas.openxmlformats.org/officeDocument/2006/relationships/hyperlink" Id="rId134" Target="https://doi.org/10.1093/aesa/83.5.906" TargetMode="External" /><Relationship Type="http://schemas.openxmlformats.org/officeDocument/2006/relationships/hyperlink" Id="rId132" Target="https://doi.org/10.1093/aesa/84.3.263" TargetMode="External" /><Relationship Type="http://schemas.openxmlformats.org/officeDocument/2006/relationships/hyperlink" Id="rId115" Target="https://doi.org/10.1098/rspb.2001.1765" TargetMode="External" /><Relationship Type="http://schemas.openxmlformats.org/officeDocument/2006/relationships/hyperlink" Id="rId146" Target="https://doi.org/10.1098/rspb.2020.2988" TargetMode="External" /><Relationship Type="http://schemas.openxmlformats.org/officeDocument/2006/relationships/hyperlink" Id="rId128" Target="https://doi.org/10.1111/aen.12175" TargetMode="External" /><Relationship Type="http://schemas.openxmlformats.org/officeDocument/2006/relationships/hyperlink" Id="rId107" Target="https://doi.org/10.1111/csp2.432" TargetMode="External" /><Relationship Type="http://schemas.openxmlformats.org/officeDocument/2006/relationships/hyperlink" Id="rId183" Target="https://doi.org/10.1111/ecog.01994" TargetMode="External" /><Relationship Type="http://schemas.openxmlformats.org/officeDocument/2006/relationships/hyperlink" Id="rId163" Target="https://doi.org/10.1111/j.1365-2311.1978.tb00912.x" TargetMode="External" /><Relationship Type="http://schemas.openxmlformats.org/officeDocument/2006/relationships/hyperlink" Id="rId95" Target="https://doi.org/10.1111/j.1365-2311.1982.tb00664.x" TargetMode="External" /><Relationship Type="http://schemas.openxmlformats.org/officeDocument/2006/relationships/hyperlink" Id="rId144" Target="https://doi.org/10.1111/j.1366-9516.2005.00146.x" TargetMode="External" /><Relationship Type="http://schemas.openxmlformats.org/officeDocument/2006/relationships/hyperlink" Id="rId185" Target="https://doi.org/10.1111/j.1440-6055.1982.tb01803.x" TargetMode="External" /><Relationship Type="http://schemas.openxmlformats.org/officeDocument/2006/relationships/hyperlink" Id="rId174" Target="https://doi.org/10.1111/j.1523-1739.1991.tb00121.x" TargetMode="External" /><Relationship Type="http://schemas.openxmlformats.org/officeDocument/2006/relationships/hyperlink" Id="rId82" Target="https://doi.org/10.1126/science.1225883" TargetMode="External" /><Relationship Type="http://schemas.openxmlformats.org/officeDocument/2006/relationships/hyperlink" Id="rId126" Target="https://doi.org/10.1242/jeb.073668" TargetMode="External" /><Relationship Type="http://schemas.openxmlformats.org/officeDocument/2006/relationships/hyperlink" Id="rId138" Target="https://doi.org/10.2307/1940444" TargetMode="External" /><Relationship Type="http://schemas.openxmlformats.org/officeDocument/2006/relationships/hyperlink" Id="rId93" Target="https://doi.org/10.2307/2387997" TargetMode="External" /><Relationship Type="http://schemas.openxmlformats.org/officeDocument/2006/relationships/hyperlink" Id="rId73" Target="https://doi.org/10.2307/2388612" TargetMode="External" /><Relationship Type="http://schemas.openxmlformats.org/officeDocument/2006/relationships/hyperlink" Id="rId105" Target="https://doi.org/10.3390/insects9040167" TargetMode="External" /><Relationship Type="http://schemas.openxmlformats.org/officeDocument/2006/relationships/hyperlink" Id="rId99"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3" Target="https://www.frontiersin.org/articles/10.3389/fcosc.2022.844299" TargetMode="External" /><Relationship Type="http://schemas.openxmlformats.org/officeDocument/2006/relationships/hyperlink" Id="rId149" Target="https://www.frontiersin.org/articles/10.3389/fevo.2019.00258" TargetMode="External" /><Relationship Type="http://schemas.openxmlformats.org/officeDocument/2006/relationships/hyperlink" Id="rId117" Target="https://www.frontiersin.org/articles/10.3389/fevo.2019.00266" TargetMode="External" /><Relationship Type="http://schemas.openxmlformats.org/officeDocument/2006/relationships/hyperlink" Id="rId161" Target="https://www.goletamonarchpress.com/2019/06/city-awarded-3-9-million-in-funding-for-the-monarch-butterfly-habitat-management-plan/" TargetMode="External" /><Relationship Type="http://schemas.openxmlformats.org/officeDocument/2006/relationships/hyperlink" Id="rId84" Target="https://www.ncbi.nlm.nih.gov/pubmed/8551296" TargetMode="External" /><Relationship Type="http://schemas.openxmlformats.org/officeDocument/2006/relationships/hyperlink" Id="rId88" Target="https://www.semanticscholar.org/paper/Heritability-of-spider-ballooning-motivation-under-Bonte-Lens/d6118c2cd143572bc4f098b5916186ec63c0f12a" TargetMode="External" /><Relationship Type="http://schemas.openxmlformats.org/officeDocument/2006/relationships/hyperlink" Id="rId90" Target="https://www.semanticscholar.org/paper/Understanding-and-misunderstanding-the-migration-of-Brower/79380ddbf559e310fef9bb8919c03c63ccddecb7" TargetMode="External" /><Relationship Type="http://schemas.openxmlformats.org/officeDocument/2006/relationships/hyperlink" Id="rId122" Target="https://www.xerces.org" TargetMode="External" /><Relationship Type="http://schemas.openxmlformats.org/officeDocument/2006/relationships/hyperlink" Id="rId181" Target="https://www.xerces.org/press/western-monarch-butterfly-population-declines-to-near-record-low" TargetMode="External" /><Relationship Type="http://schemas.openxmlformats.org/officeDocument/2006/relationships/hyperlink" Id="rId176" Target="https://www.xerces.org/sites/default/files/2018-05/16-015_01_XercesSoc_State-of-Monarch-Overwintering-Sites-in-California_web.pdf" TargetMode="External" /><Relationship Type="http://schemas.openxmlformats.org/officeDocument/2006/relationships/hyperlink" Id="rId120"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2025-10-08T19:53:56Z</dcterms:created>
  <dcterms:modified xsi:type="dcterms:W3CDTF">2025-10-08T19:53:56Z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