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46.png" ContentType="image/png"/>
  <Override PartName="/word/media/rId29.png" ContentType="image/png"/>
  <Override PartName="/word/media/rId34.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62"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Their complex life history, featuring both an annual mass migration and dramatic seasonal aggregations, establishes them as an ideal model for understanding invertebrate responses to environmental constraints.</w:t>
      </w:r>
    </w:p>
    <w:p>
      <w:pPr>
        <w:pStyle w:val="BodyText"/>
      </w:pPr>
      <w:r>
        <w:t xml:space="preserve">North American monarchs complete an annual cycle through a remarkable multi-generational migration that links vast northern breeding ranges with small, highly specific overwintering sites</w:t>
      </w:r>
      <w:r>
        <w:t xml:space="preserve"> </w:t>
      </w:r>
      <w:r>
        <w:t xml:space="preserve">(Brower 1995)</w:t>
      </w:r>
      <w:r>
        <w:t xml:space="preserve">. The continent is home to two populations separated by the Rocky Mountains: a larger Eastern population and a Western population</w:t>
      </w:r>
      <w:r>
        <w:t xml:space="preserve"> </w:t>
      </w:r>
      <w:r>
        <w:t xml:space="preserve">(Brower 1995)</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Reppert and de Roode 2018)</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w:t>
      </w:r>
      <w:r>
        <w:t xml:space="preserve">.</w:t>
      </w:r>
    </w:p>
    <w:p>
      <w:pPr>
        <w:pStyle w:val="BodyText"/>
      </w:pPr>
      <w:r>
        <w:t xml:space="preserve">Building on early studies from Mexican overwintering sites that identified abiotic factors limiting overwintering butterfly success</w:t>
      </w:r>
      <w:r>
        <w:t xml:space="preserve"> </w:t>
      </w:r>
      <w:r>
        <w:t xml:space="preserve">(Anderson and Brower 1996; Calvert, Zuchowski, and Brower 1983)</w:t>
      </w:r>
      <w:r>
        <w:t xml:space="preserve">, Leong proposed the microclimate hypothesis for western monarchs</w:t>
      </w:r>
      <w:r>
        <w:t xml:space="preserve"> </w:t>
      </w:r>
      <w:r>
        <w:t xml:space="preserve">(Kingston. L. H. Leong 1990)</w:t>
      </w:r>
      <w:r>
        <w:t xml:space="preserve">. This hypothesis posited that monarchs select groves based on a measurable and uniform microenvironmental envelope characterized by four key parameters: wind protection below 2 m/s to prevent disruption to clusters,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w:t>
      </w:r>
      <w:r>
        <w:t xml:space="preserve">. Subsequent work expanded these observations, documenting that sites supporting stable winter aggregations provided shelter from prevailing north-northwest winds and storm winds from the south, with butterflies abandoning locations when winds exceeded the 2 m/s threshold</w:t>
      </w:r>
      <w:r>
        <w:t xml:space="preserve"> </w:t>
      </w:r>
      <w:r>
        <w:t xml:space="preserve">(Kingston L. H. Leong et al. 1991; K. L. Leong et al. 2004)</w:t>
      </w:r>
      <w:r>
        <w:t xml:space="preserve">. The hypothesis gained widespread acceptance and directly informed federal, state, and private management guidelines, with Leong’s 2016 synthesis establishing wind protection as a critical environmental factor governing roosting behavior</w:t>
      </w:r>
      <w:r>
        <w:t xml:space="preserve"> </w:t>
      </w:r>
      <w:r>
        <w:t xml:space="preserve">(Kingston L. H. Leong 2016)</w:t>
      </w:r>
      <w:r>
        <w:t xml:space="preserve">. This framework dictated that successful overwintering sites would consistently exhibit this specific suite of conditions, implying a predictable niche that could guide habitat restoration and protection efforts</w:t>
      </w:r>
      <w:r>
        <w:t xml:space="preserve"> </w:t>
      </w:r>
      <w:r>
        <w:t xml:space="preserve">(Xerces Society 2016)</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 Of the four original parameters, only light exposure showed potential support as a unifying factor, with successful overwintering sites exhibiting consistent patterns of canopy openness</w:t>
      </w:r>
      <w:r>
        <w:t xml:space="preserve"> </w:t>
      </w:r>
      <w:r>
        <w:t xml:space="preserve">(Saniee and Villablanca 2022)</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w:t>
      </w:r>
      <w:r>
        <w:t xml:space="preserve">, no study has established causal relationships between wind exposure and butterfly behavior. The original observations comparing wind measurements between occupied and unoccupied trees represent correlational evidence that cannot distinguish whether butterflies actively avoid wind or whether wind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nadir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Xerces Society 2018; E. Pelton 2020; S. Jepsen et al. 2017; Stuart B. Weiss 2018)</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bookmarkStart w:id="24" w:name="materials-and-methods"/>
    <w:p>
      <w:pPr>
        <w:pStyle w:val="Heading2"/>
      </w:pPr>
      <w:r>
        <w:t xml:space="preserve">Materials and Methods</w:t>
      </w:r>
    </w:p>
    <w:bookmarkStart w:id="9"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9"/>
    <w:bookmarkStart w:id="10"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0"/>
    <w:bookmarkStart w:id="11"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1"/>
    <w:bookmarkStart w:id="16" w:name="image-analysis"/>
    <w:p>
      <w:pPr>
        <w:pStyle w:val="Heading3"/>
      </w:pPr>
      <w:r>
        <w:t xml:space="preserve">Image Analysis</w:t>
      </w:r>
    </w:p>
    <w:bookmarkStart w:id="12"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2"/>
    <w:bookmarkStart w:id="14"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3">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4"/>
    <w:bookmarkStart w:id="15"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5"/>
    <w:bookmarkEnd w:id="16"/>
    <w:bookmarkStart w:id="17"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7"/>
    <w:bookmarkStart w:id="23" w:name="sec:statistical-analysis"/>
    <w:p>
      <w:pPr>
        <w:pStyle w:val="Heading3"/>
      </w:pPr>
      <w:r>
        <w:t xml:space="preserve">Statistical Analysis</w:t>
      </w:r>
    </w:p>
    <w:bookmarkStart w:id="18"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8"/>
    <w:bookmarkStart w:id="19"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19"/>
    <w:bookmarkStart w:id="20"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0"/>
    <w:bookmarkStart w:id="21"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1"/>
    <w:bookmarkStart w:id="22"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2"/>
    <w:bookmarkEnd w:id="23"/>
    <w:bookmarkEnd w:id="24"/>
    <w:bookmarkStart w:id="51" w:name="results"/>
    <w:p>
      <w:pPr>
        <w:pStyle w:val="Heading2"/>
      </w:pPr>
      <w:r>
        <w:t xml:space="preserve">Results</w:t>
      </w:r>
    </w:p>
    <w:bookmarkStart w:id="25" w:name="descriptive-statistics"/>
    <w:p>
      <w:pPr>
        <w:pStyle w:val="Heading3"/>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5"/>
    <w:bookmarkStart w:id="27" w:name="summary-of-data-and-model-selection"/>
    <w:p>
      <w:pPr>
        <w:pStyle w:val="Heading3"/>
      </w:pPr>
      <w:r>
        <w:t xml:space="preserve">Summary of Data and Model Selection</w:t>
      </w:r>
    </w:p>
    <w:p>
      <w:pPr>
        <w:pStyle w:val="FirstParagraph"/>
      </w:pPr>
      <w:r>
        <w:t xml:space="preserve">Environmental factors, but not wind, drove monarch abundance changes in 1,894 paired observations from 115 monitoring periods at two overwintering sites during the 2023-2024 season. Testing of 48 candidate models identified M23 as the best-fit model.</w:t>
      </w:r>
    </w:p>
    <w:p>
      <w:pPr>
        <w:pStyle w:val="BodyText"/>
      </w:pPr>
      <w:r>
        <w:t xml:space="preserve">Model M23 included smooth terms for previous butterfly count, temperature, butterflies in direct sun, and time since sunrise, achieving an AIC value of 8081.848 (Table </w:t>
      </w:r>
      <w:hyperlink w:anchor="tab:model_selection">
        <w:r>
          <w:rPr>
            <w:rStyle w:val="Hyperlink"/>
          </w:rPr>
          <w:t xml:space="preserve">1.1</w:t>
        </w:r>
      </w:hyperlink>
      <w:r>
        <w:t xml:space="preserve">). M23 captured all the model weight across 48 candidates (AIC = 8081.8), with the next best model ΔAIC = 4.8. Wind variables appeared in only one of the top five models (M24), which included maximum wind speed but performed substantially worse than M23 (ΔAIC = 6.2), with the wind effect showing weak evidence of an association (p = 0.218).</w:t>
      </w:r>
    </w:p>
    <w:bookmarkStart w:id="26" w:name="tab:model_selection"/>
    <w:p>
      <w:pPr>
        <w:pStyle w:val="TableCaption"/>
      </w:pPr>
      <w:r>
        <w:t xml:space="preserve">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Previous butterfly count,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1.000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Previous butterfly count,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Previous butterfly count, Maximum wind speed,</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&lt;0.001</w:t>
            </w:r>
          </w:p>
        </w:tc>
        <w:tc>
          <w:tcPr/>
          <w:p>
            <w:pPr>
              <w:pStyle w:val="Compact"/>
              <w:jc w:val="right"/>
            </w:pPr>
            <w:r>
              <w:t xml:space="preserve">0.218</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Butterflies in direct sun,</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Previous butterfly count,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w:t>
            </w:r>
          </w:p>
        </w:tc>
        <w:tc>
          <w:tcPr/>
          <w:p>
            <w:pPr>
              <w:pStyle w:val="Compact"/>
            </w:pPr>
          </w:p>
        </w:tc>
        <w:tc>
          <w:tcPr/>
          <w:p>
            <w:pPr>
              <w:pStyle w:val="Compact"/>
            </w:pPr>
          </w:p>
        </w:tc>
        <w:tc>
          <w:tcPr/>
          <w:p>
            <w:pPr>
              <w:pStyle w:val="Compact"/>
            </w:pPr>
          </w:p>
        </w:tc>
        <w:tc>
          <w:tcPr/>
          <w:p>
            <w:pPr>
              <w:pStyle w:val="Compact"/>
            </w:pPr>
          </w:p>
        </w:tc>
      </w:tr>
    </w:tbl>
    <w:bookmarkEnd w:id="26"/>
    <w:bookmarkEnd w:id="27"/>
    <w:bookmarkStart w:id="33" w:name="analysis-of-the-best-fit-model"/>
    <w:p>
      <w:pPr>
        <w:pStyle w:val="Heading3"/>
      </w:pPr>
      <w:r>
        <w:t xml:space="preserve">Analysis of the Best-Fit Model</w:t>
      </w:r>
    </w:p>
    <w:p>
      <w:pPr>
        <w:pStyle w:val="FirstParagraph"/>
      </w:pPr>
      <w:r>
        <w:t xml:space="preserve">The best-fit model (M23) explained 5.7% of variance in monarch abundance changes (adjusted R² = 0.057). The model formula was:</w:t>
      </w:r>
    </w:p>
    <w:p>
      <w:pPr>
        <w:pStyle w:val="BodyText"/>
      </w:pPr>
      <m:oMathPara>
        <m:oMathParaPr>
          <m:jc m:val="center"/>
        </m:oMathParaPr>
        <m:oMath>
          <m:r>
            <m:rPr>
              <m:nor/>
              <m:sty m:val="p"/>
            </m:rPr>
            <m:t>Change in abundance</m:t>
          </m:r>
          <m:r>
            <m:rPr>
              <m:sty m:val="p"/>
            </m:rPr>
            <m:t>∼</m:t>
          </m:r>
          <m:r>
            <m:t>s</m:t>
          </m:r>
          <m:r>
            <m:rPr>
              <m:sty m:val="p"/>
            </m:rPr>
            <m:t>(</m:t>
          </m:r>
          <m:r>
            <m:rPr>
              <m:nor/>
              <m:sty m:val="p"/>
            </m:rPr>
            <m:t>Previous butterfly count</m:t>
          </m:r>
          <m:r>
            <m:rPr>
              <m:sty m:val="p"/>
            </m:rPr>
            <m:t>)</m:t>
          </m:r>
          <m:r>
            <m:rPr>
              <m:sty m:val="p"/>
            </m:rPr>
            <m:t>+</m:t>
          </m:r>
          <m:r>
            <m:t>s</m:t>
          </m:r>
          <m:r>
            <m:rPr>
              <m:sty m:val="p"/>
            </m:rPr>
            <m:t>(</m:t>
          </m:r>
          <m:r>
            <m:rPr>
              <m:nor/>
              <m:sty m:val="p"/>
            </m:rPr>
            <m:t>Temperature</m:t>
          </m:r>
          <m:r>
            <m:rPr>
              <m:sty m:val="p"/>
            </m:rPr>
            <m:t>)</m:t>
          </m:r>
          <m:r>
            <m:rPr>
              <m:sty m:val="p"/>
            </m:rPr>
            <m:t>+</m:t>
          </m:r>
          <m:r>
            <m:t>s</m:t>
          </m:r>
          <m:r>
            <m:rPr>
              <m:sty m:val="p"/>
            </m:rPr>
            <m:t>(</m:t>
          </m:r>
          <m:r>
            <m:rPr>
              <m:nor/>
              <m:sty m:val="p"/>
            </m:rPr>
            <m:t>Butterflies in direct sun</m:t>
          </m:r>
          <m:r>
            <m:rPr>
              <m:sty m:val="p"/>
            </m:rPr>
            <m:t>)</m:t>
          </m:r>
          <m:r>
            <m:rPr>
              <m:sty m:val="p"/>
            </m:rPr>
            <m:t>+</m:t>
          </m:r>
          <m:r>
            <m:t>s</m:t>
          </m:r>
          <m:r>
            <m:rPr>
              <m:sty m:val="p"/>
            </m:rPr>
            <m:t>(</m:t>
          </m:r>
          <m:r>
            <m:rPr>
              <m:nor/>
              <m:sty m:val="p"/>
            </m:rPr>
            <m:t>Time since sunrise</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All four smooth terms showed significant effects on monarch abundance changes.</w:t>
      </w:r>
    </w:p>
    <w:bookmarkStart w:id="28"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Previous butterfly count</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Butterflies in direct sun</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since sunrise</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28"/>
    <w:p>
      <w:pPr>
        <w:pStyle w:val="BodyText"/>
      </w:pPr>
      <w:r>
        <w:t xml:space="preserve">All four predictors in the best-fit model showed significant effects on monarch abundance changes (Figure </w:t>
      </w:r>
      <w:hyperlink w:anchor="fig:partial_effects">
        <w:r>
          <w:rPr>
            <w:rStyle w:val="Hyperlink"/>
          </w:rPr>
          <w:t xml:space="preserve">1.1</w:t>
        </w:r>
      </w:hyperlink>
      <w:r>
        <w:t xml:space="preserve">).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pPr>
        <w:pStyle w:val="BodyText"/>
      </w:pPr>
      <w:r>
        <w:t xml:space="preserve">Time since sunrise revealed a pronounced diurnal pattern (EDF = 4.90, F = 8.90, p &lt; 0.001), with monarchs departing clusters throughout the morning and reaching peak departures approximately 3.25 hours after sunrise. Cluster reformation began in the afternoon, with most butterflies returning around 8.25 hours after sunrise, capturing the characteristic daily rhythm of monarch activity at overwintering sites. Temperature exhibited a complex non-linear relationship (EDF = 3.93, F = 3.23, p = 0.028). Below the flight threshold (blue vertical band) of 12.7-16°C established by Masters et al. (1988), temperature had minimal effect on cluster abundance. Above this threshold, clusters reformed as temperatures increased up to 25°C, with peak reformation occurring around 21°C. Beyond 25°C, the pattern reversed, with each additional degree Celsius increasing departure rates from clusters.</w:t>
      </w:r>
    </w:p>
    <w:bookmarkStart w:id="32" w:name="fig:partial_effects"/>
    <w:p>
      <w:pPr>
        <w:pStyle w:val="CaptionedFigure"/>
      </w:pPr>
      <w:r>
        <w:drawing>
          <wp:inline>
            <wp:extent cx="5334000" cy="4445000"/>
            <wp:effectExtent b="0" l="0" r="0" t="0"/>
            <wp:docPr descr="" title="" id="30" name="Picture"/>
            <a:graphic>
              <a:graphicData uri="http://schemas.openxmlformats.org/drawingml/2006/picture">
                <pic:pic>
                  <pic:nvPicPr>
                    <pic:cNvPr descr="figures/results/combined_partial_effects_2x2_final.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Partial effects of the four significant predictors on monarch abundance change in a 2x2 layout. The partial effect on monarch abundance as estimated from the single attribute being compared to abundance while assuming all other attribute values are held constant. Top row: butterflies in direct sun (left) and previous butterfly count (right). Bottom row: time since sunrise in minutes (left) and temperature in °C (right). Solid lines show the estimated smooth functions with 95% confidence intervals (shaded regions). All effects are shown on the same scale for comparison.</w:t>
      </w:r>
    </w:p>
    <w:bookmarkEnd w:id="32"/>
    <w:bookmarkEnd w:id="33"/>
    <w:bookmarkStart w:id="43" w:name="Xc5a2eb11d52e167f54f18e9aa067b283be40236"/>
    <w:p>
      <w:pPr>
        <w:pStyle w:val="Heading3"/>
      </w:pPr>
      <w:r>
        <w:t xml:space="preserve">Evaluation of the Disruptive Wind Hypothesis</w:t>
      </w:r>
    </w:p>
    <w:p>
      <w:pPr>
        <w:pStyle w:val="FirstParagraph"/>
      </w:pPr>
      <w:r>
        <w:t xml:space="preserve">Our analysis provided no support for the three hierarchical wind hypotheses:</w:t>
      </w:r>
    </w:p>
    <w:p>
      <w:pPr>
        <w:pStyle w:val="BodyText"/>
      </w:pPr>
      <w:r>
        <w:t xml:space="preserve">First, wind did not act as a disruptive force to overwintering monarchs. Among our 48 candidate models, wind appeared in only one of the top five models (M24), where it showed little evidence of an effect (p = 0.218) and resulted in substantially poorer model performance compared to the best model (ΔAIC = 6.2). The partial effect of maximum wind speed from this model remains flat with wide uncertainty across the observed range, reinforcing the lack of a coherent signal (Figure </w:t>
      </w:r>
      <w:hyperlink w:anchor="fig:m24_wind_partial_effect">
        <w:r>
          <w:rPr>
            <w:rStyle w:val="Hyperlink"/>
          </w:rPr>
          <w:t xml:space="preserve">1.2</w:t>
        </w:r>
      </w:hyperlink>
      <w:r>
        <w:t xml:space="preserve">).</w:t>
      </w:r>
    </w:p>
    <w:bookmarkStart w:id="37" w:name="fig:m24_wind_partial_effect"/>
    <w:p>
      <w:pPr>
        <w:pStyle w:val="CaptionedFigure"/>
      </w:pPr>
      <w:r>
        <w:drawing>
          <wp:inline>
            <wp:extent cx="3467100" cy="2889250"/>
            <wp:effectExtent b="0" l="0" r="0" t="0"/>
            <wp:docPr descr="" title="" id="35" name="Picture"/>
            <a:graphic>
              <a:graphicData uri="http://schemas.openxmlformats.org/drawingml/2006/picture">
                <pic:pic>
                  <pic:nvPicPr>
                    <pic:cNvPr descr="figures/results/m24_wind_partial_effect.png" id="36" name="Picture"/>
                    <pic:cNvPicPr>
                      <a:picLocks noChangeArrowheads="1" noChangeAspect="1"/>
                    </pic:cNvPicPr>
                  </pic:nvPicPr>
                  <pic:blipFill>
                    <a:blip r:embed="rId34"/>
                    <a:stretch>
                      <a:fillRect/>
                    </a:stretch>
                  </pic:blipFill>
                  <pic:spPr bwMode="auto">
                    <a:xfrm>
                      <a:off x="0" y="0"/>
                      <a:ext cx="3467100" cy="2889250"/>
                    </a:xfrm>
                    <a:prstGeom prst="rect">
                      <a:avLst/>
                    </a:prstGeom>
                    <a:noFill/>
                    <a:ln w="9525">
                      <a:noFill/>
                      <a:headEnd/>
                      <a:tailEnd/>
                    </a:ln>
                  </pic:spPr>
                </pic:pic>
              </a:graphicData>
            </a:graphic>
          </wp:inline>
        </w:drawing>
      </w:r>
    </w:p>
    <w:p>
      <w:pPr>
        <w:pStyle w:val="ImageCaption"/>
      </w:pPr>
      <w:r>
        <w:t xml:space="preserve">Partial effect of maximum wind speed on monarch abundance change from model M24. The flat relationship with wide confidence intervals demonstrates no clear effect of wind on butterfly departures. The red dashed line indicates the proposed 2 m/s disruptive threshold.</w:t>
      </w:r>
    </w:p>
    <w:bookmarkEnd w:id="37"/>
    <w:p>
      <w:pPr>
        <w:pStyle w:val="BodyText"/>
      </w:pPr>
      <w:r>
        <w:t xml:space="preserve">Second, we found no evidence for disruption above the proposed 2 m/s threshold. A sensitivity analysis using a specific threshold predictor (’minutes with wind speed &gt; 2 m/s’) confirmed this lack of a threshold effect, as models with this variable performed poorly and did not rank among the top candidates (Table </w:t>
      </w:r>
      <w:hyperlink w:anchor="tab:threshold_model_selection">
        <w:r>
          <w:rPr>
            <w:rStyle w:val="Hyperlink"/>
          </w:rPr>
          <w:t xml:space="preserve">1.3</w:t>
        </w:r>
      </w:hyperlink>
      <w:r>
        <w:t xml:space="preserve">). Visually, the relationship between wind and monarch abundance change remained flat across the 2 m/s boundary (Figure </w:t>
      </w:r>
      <w:hyperlink w:anchor="fig:wind_scatter">
        <w:r>
          <w:rPr>
            <w:rStyle w:val="Hyperlink"/>
          </w:rPr>
          <w:t xml:space="preserve">1.3</w:t>
        </w:r>
      </w:hyperlink>
      <w:r>
        <w:t xml:space="preserve">). With mean maximum wind speeds of 2.2 m/s (SD = 1.4 m/s), conditions that should have revealed threshold effects if present, no disruption occurred at or above this boundary.</w:t>
      </w:r>
    </w:p>
    <w:bookmarkStart w:id="38" w:name="tab:threshold_model_selection"/>
    <w:p>
      <w:pPr>
        <w:pStyle w:val="TableCaption"/>
      </w:pPr>
      <w:r>
        <w:t xml:space="preserve">Model selection results from sensitivity analysis using wind threshold predictor (minutes with wind speed &gt; 2 m/s). Poor model performance (high</w:t>
      </w:r>
      <w:r>
        <w:t xml:space="preserve"> </w:t>
      </w:r>
      <m:oMath>
        <m:r>
          <m:rPr>
            <m:sty m:val="p"/>
          </m:rPr>
          <m:t>Δ</m:t>
        </m:r>
      </m:oMath>
      <w:r>
        <w:t xml:space="preserve">AIC values) demonstrates lack of support for the 2 m/s disruption threshold.</w:t>
      </w:r>
    </w:p>
    <w:tbl>
      <w:tblPr>
        <w:tblStyle w:val="Table"/>
        <w:tblW w:type="auto" w:w="0"/>
        <w:tblLook w:firstRow="1" w:lastRow="0" w:firstColumn="0" w:lastColumn="0" w:noHBand="0" w:noVBand="0" w:val="0020"/>
        <w:tblCaption w:val="Model selection results from sensitivity analysis using wind threshold predictor (minutes with wind speed &gt; 2 m/s). Poor model performance (high \DeltaAIC values) demonstrates lack of support for the 2 m/s disruption threshold."/>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T24</w:t>
            </w:r>
          </w:p>
        </w:tc>
        <w:tc>
          <w:tcPr/>
          <w:p>
            <w:pPr>
              <w:pStyle w:val="Compact"/>
              <w:jc w:val="left"/>
            </w:pPr>
            <w:r>
              <w:t xml:space="preserve">Previous butterfly count, Minutes above 2 m/s,</w:t>
            </w:r>
          </w:p>
        </w:tc>
        <w:tc>
          <w:tcPr/>
          <w:p>
            <w:pPr>
              <w:pStyle w:val="Compact"/>
              <w:jc w:val="left"/>
            </w:pPr>
            <w:r>
              <w:t xml:space="preserve">8089.4</w:t>
            </w:r>
          </w:p>
        </w:tc>
        <w:tc>
          <w:tcPr/>
          <w:p>
            <w:pPr>
              <w:pStyle w:val="Compact"/>
              <w:jc w:val="right"/>
            </w:pPr>
            <w:r>
              <w:t xml:space="preserve">7.6</w:t>
            </w:r>
          </w:p>
        </w:tc>
        <w:tc>
          <w:tcPr/>
          <w:p>
            <w:pPr>
              <w:pStyle w:val="Compact"/>
              <w:jc w:val="right"/>
            </w:pPr>
            <w:r>
              <w:t xml:space="preserve">0.021</w:t>
            </w:r>
          </w:p>
        </w:tc>
        <w:tc>
          <w:tcPr/>
          <w:p>
            <w:pPr>
              <w:pStyle w:val="Compact"/>
              <w:jc w:val="right"/>
            </w:pPr>
            <w:r>
              <w:t xml:space="preserve">0.372</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T44</w:t>
            </w:r>
          </w:p>
        </w:tc>
        <w:tc>
          <w:tcPr/>
          <w:p>
            <w:pPr>
              <w:pStyle w:val="Compact"/>
              <w:jc w:val="left"/>
            </w:pPr>
            <w:r>
              <w:t xml:space="preserve">Minutes above 2 m/s, Temperature,</w:t>
            </w:r>
          </w:p>
        </w:tc>
        <w:tc>
          <w:tcPr/>
          <w:p>
            <w:pPr>
              <w:pStyle w:val="Compact"/>
              <w:jc w:val="left"/>
            </w:pPr>
            <w:r>
              <w:t xml:space="preserve">8108.4</w:t>
            </w:r>
          </w:p>
        </w:tc>
        <w:tc>
          <w:tcPr/>
          <w:p>
            <w:pPr>
              <w:pStyle w:val="Compact"/>
              <w:jc w:val="right"/>
            </w:pPr>
            <w:r>
              <w:t xml:space="preserve">26.5</w:t>
            </w:r>
          </w:p>
        </w:tc>
        <w:tc>
          <w:tcPr/>
          <w:p>
            <w:pPr>
              <w:pStyle w:val="Compact"/>
              <w:jc w:val="right"/>
            </w:pPr>
            <w:r>
              <w:t xml:space="preserve">&lt;0.001</w:t>
            </w:r>
          </w:p>
        </w:tc>
        <w:tc>
          <w:tcPr/>
          <w:p>
            <w:pPr>
              <w:pStyle w:val="Compact"/>
              <w:jc w:val="right"/>
            </w:pPr>
            <w:r>
              <w:t xml:space="preserve">0.256</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T21</w:t>
            </w:r>
          </w:p>
        </w:tc>
        <w:tc>
          <w:tcPr/>
          <w:p>
            <w:pPr>
              <w:pStyle w:val="Compact"/>
              <w:jc w:val="left"/>
            </w:pPr>
            <w:r>
              <w:t xml:space="preserve">Previous butterfly count, Minutes above 2 m/s,</w:t>
            </w:r>
          </w:p>
        </w:tc>
        <w:tc>
          <w:tcPr/>
          <w:p>
            <w:pPr>
              <w:pStyle w:val="Compact"/>
              <w:jc w:val="left"/>
            </w:pPr>
            <w:r>
              <w:t xml:space="preserve">8110.6</w:t>
            </w:r>
          </w:p>
        </w:tc>
        <w:tc>
          <w:tcPr/>
          <w:p>
            <w:pPr>
              <w:pStyle w:val="Compact"/>
              <w:jc w:val="right"/>
            </w:pPr>
            <w:r>
              <w:t xml:space="preserve">28.7</w:t>
            </w:r>
          </w:p>
        </w:tc>
        <w:tc>
          <w:tcPr/>
          <w:p>
            <w:pPr>
              <w:pStyle w:val="Compact"/>
              <w:jc w:val="right"/>
            </w:pPr>
            <w:r>
              <w:t xml:space="preserve">&lt;0.001</w:t>
            </w:r>
          </w:p>
        </w:tc>
        <w:tc>
          <w:tcPr/>
          <w:p>
            <w:pPr>
              <w:pStyle w:val="Compact"/>
              <w:jc w:val="right"/>
            </w:pPr>
            <w:r>
              <w:t xml:space="preserve">0.053</w:t>
            </w:r>
          </w:p>
        </w:tc>
      </w:tr>
      <w:tr>
        <w:tc>
          <w:tcPr/>
          <w:p>
            <w:pPr>
              <w:pStyle w:val="Compact"/>
            </w:pPr>
          </w:p>
        </w:tc>
        <w:tc>
          <w:tcPr/>
          <w:p>
            <w:pPr>
              <w:pStyle w:val="Compact"/>
              <w:jc w:val="left"/>
            </w:pPr>
            <w:r>
              <w:t xml:space="preserve">Temperature, Butterflies in direct sun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T43</w:t>
            </w:r>
          </w:p>
        </w:tc>
        <w:tc>
          <w:tcPr/>
          <w:p>
            <w:pPr>
              <w:pStyle w:val="Compact"/>
              <w:jc w:val="left"/>
            </w:pPr>
            <w:r>
              <w:t xml:space="preserve">Minutes above 2 m/s, Temperature (linear),</w:t>
            </w:r>
          </w:p>
        </w:tc>
        <w:tc>
          <w:tcPr/>
          <w:p>
            <w:pPr>
              <w:pStyle w:val="Compact"/>
              <w:jc w:val="left"/>
            </w:pPr>
            <w:r>
              <w:t xml:space="preserve">8115.5</w:t>
            </w:r>
          </w:p>
        </w:tc>
        <w:tc>
          <w:tcPr/>
          <w:p>
            <w:pPr>
              <w:pStyle w:val="Compact"/>
              <w:jc w:val="right"/>
            </w:pPr>
            <w:r>
              <w:t xml:space="preserve">33.7</w:t>
            </w:r>
          </w:p>
        </w:tc>
        <w:tc>
          <w:tcPr/>
          <w:p>
            <w:pPr>
              <w:pStyle w:val="Compact"/>
              <w:jc w:val="right"/>
            </w:pPr>
            <w:r>
              <w:t xml:space="preserve">&lt;0.001</w:t>
            </w:r>
          </w:p>
        </w:tc>
        <w:tc>
          <w:tcPr/>
          <w:p>
            <w:pPr>
              <w:pStyle w:val="Compact"/>
              <w:jc w:val="right"/>
            </w:pPr>
            <w:r>
              <w:t xml:space="preserve">0.275</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T19</w:t>
            </w:r>
          </w:p>
        </w:tc>
        <w:tc>
          <w:tcPr/>
          <w:p>
            <w:pPr>
              <w:pStyle w:val="Compact"/>
              <w:jc w:val="left"/>
            </w:pPr>
            <w:r>
              <w:t xml:space="preserve">Previous butterfly count, Minutes above 2 m/s,</w:t>
            </w:r>
          </w:p>
        </w:tc>
        <w:tc>
          <w:tcPr/>
          <w:p>
            <w:pPr>
              <w:pStyle w:val="Compact"/>
              <w:jc w:val="left"/>
            </w:pPr>
            <w:r>
              <w:t xml:space="preserve">8119.8</w:t>
            </w:r>
          </w:p>
        </w:tc>
        <w:tc>
          <w:tcPr/>
          <w:p>
            <w:pPr>
              <w:pStyle w:val="Compact"/>
              <w:jc w:val="right"/>
            </w:pPr>
            <w:r>
              <w:t xml:space="preserve">37.9</w:t>
            </w:r>
          </w:p>
        </w:tc>
        <w:tc>
          <w:tcPr/>
          <w:p>
            <w:pPr>
              <w:pStyle w:val="Compact"/>
              <w:jc w:val="right"/>
            </w:pPr>
            <w:r>
              <w:t xml:space="preserve">&lt;0.001</w:t>
            </w:r>
          </w:p>
        </w:tc>
        <w:tc>
          <w:tcPr/>
          <w:p>
            <w:pPr>
              <w:pStyle w:val="Compact"/>
              <w:jc w:val="right"/>
            </w:pPr>
            <w:r>
              <w:t xml:space="preserve">0.078</w:t>
            </w:r>
          </w:p>
        </w:tc>
      </w:tr>
      <w:tr>
        <w:tc>
          <w:tcPr/>
          <w:p>
            <w:pPr>
              <w:pStyle w:val="Compact"/>
            </w:pPr>
          </w:p>
        </w:tc>
        <w:tc>
          <w:tcPr/>
          <w:p>
            <w:pPr>
              <w:pStyle w:val="Compact"/>
              <w:jc w:val="left"/>
            </w:pPr>
            <w:r>
              <w:t xml:space="preserve">Temperature (linear), Butterflies in direct sun</w:t>
            </w:r>
          </w:p>
        </w:tc>
        <w:tc>
          <w:tcPr/>
          <w:p>
            <w:pPr>
              <w:pStyle w:val="Compact"/>
            </w:pPr>
          </w:p>
        </w:tc>
        <w:tc>
          <w:tcPr/>
          <w:p>
            <w:pPr>
              <w:pStyle w:val="Compact"/>
            </w:pPr>
          </w:p>
        </w:tc>
        <w:tc>
          <w:tcPr/>
          <w:p>
            <w:pPr>
              <w:pStyle w:val="Compact"/>
            </w:pPr>
          </w:p>
        </w:tc>
        <w:tc>
          <w:tcPr/>
          <w:p>
            <w:pPr>
              <w:pStyle w:val="Compact"/>
            </w:pPr>
          </w:p>
        </w:tc>
      </w:tr>
    </w:tbl>
    <w:bookmarkEnd w:id="38"/>
    <w:p>
      <w:pPr>
        <w:pStyle w:val="BodyText"/>
      </w:pPr>
      <w:r>
        <w:t xml:space="preserve">Third, wind’s effects did not scale with intensity. The relationship remained flat across all observed wind speeds (0–12 m/s), with confidence intervals consistently encompassing zero (Figure </w:t>
      </w:r>
      <w:hyperlink w:anchor="fig:wind_scatter">
        <w:r>
          <w:rPr>
            <w:rStyle w:val="Hyperlink"/>
          </w:rPr>
          <w:t xml:space="preserve">1.3</w:t>
        </w:r>
      </w:hyperlink>
      <w:r>
        <w:t xml:space="preserve">).</w:t>
      </w:r>
    </w:p>
    <w:bookmarkStart w:id="42" w:name="fig:wind_scatter"/>
    <w:p>
      <w:pPr>
        <w:pStyle w:val="CaptionedFigure"/>
      </w:pPr>
      <w:r>
        <w:drawing>
          <wp:inline>
            <wp:extent cx="4267200" cy="3200399"/>
            <wp:effectExtent b="0" l="0" r="0" t="0"/>
            <wp:docPr descr="" title="" id="40" name="Picture"/>
            <a:graphic>
              <a:graphicData uri="http://schemas.openxmlformats.org/drawingml/2006/picture">
                <pic:pic>
                  <pic:nvPicPr>
                    <pic:cNvPr descr="figures/results/wind_hypothesis_scatter.png" id="41" name="Picture"/>
                    <pic:cNvPicPr>
                      <a:picLocks noChangeArrowheads="1" noChangeAspect="1"/>
                    </pic:cNvPicPr>
                  </pic:nvPicPr>
                  <pic:blipFill>
                    <a:blip r:embed="rId39"/>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speed (m/s) and monarch abundance change. The red dashed line shows the proposed 2 m/s disruptive wind threshold, while the flat trend line indicates no effect of wind on butterfly departures. Points represent 30-minute observation periods.</w:t>
      </w:r>
    </w:p>
    <w:bookmarkEnd w:id="42"/>
    <w:bookmarkEnd w:id="43"/>
    <w:bookmarkStart w:id="45"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bookmarkStart w:id="44"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44"/>
    <w:bookmarkEnd w:id="45"/>
    <w:bookmarkStart w:id="50" w:name="model-diagnostics"/>
    <w:p>
      <w:pPr>
        <w:pStyle w:val="Heading3"/>
      </w:pPr>
      <w:r>
        <w:t xml:space="preserve">Model Diagnostics</w:t>
      </w:r>
    </w:p>
    <w:p>
      <w:pPr>
        <w:pStyle w:val="FirstParagraph"/>
      </w:pPr>
      <w:r>
        <w:t xml:space="preserve">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 xml:space="preserve">1.4</w:t>
        </w:r>
      </w:hyperlink>
      <w:r>
        <w:t xml:space="preserve">).</w:t>
      </w:r>
    </w:p>
    <w:bookmarkStart w:id="49" w:name="fig:diagnostics"/>
    <w:p>
      <w:pPr>
        <w:pStyle w:val="CaptionedFigure"/>
      </w:pPr>
      <w:r>
        <w:drawing>
          <wp:inline>
            <wp:extent cx="5334000" cy="2667000"/>
            <wp:effectExtent b="0" l="0" r="0" t="0"/>
            <wp:docPr descr="" title="" id="47" name="Picture"/>
            <a:graphic>
              <a:graphicData uri="http://schemas.openxmlformats.org/drawingml/2006/picture">
                <pic:pic>
                  <pic:nvPicPr>
                    <pic:cNvPr descr="figures/results/combined_diagnostics.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Model diagnostics for M23. Left: Residuals versus fitted values showing banding that reflects the discrete counting method, with smoothed relationship shown in blue. Right: Normal Q-Q plot of model residuals showing reasonable normality with minor tail deviations.</w:t>
      </w:r>
    </w:p>
    <w:bookmarkEnd w:id="49"/>
    <w:bookmarkEnd w:id="50"/>
    <w:bookmarkEnd w:id="51"/>
    <w:bookmarkStart w:id="65" w:name="discussion"/>
    <w:p>
      <w:pPr>
        <w:pStyle w:val="Heading2"/>
      </w:pPr>
      <w:r>
        <w:t xml:space="preserve">Discussion</w:t>
      </w:r>
    </w:p>
    <w:bookmarkStart w:id="52"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w:t>
      </w:r>
      <w:r>
        <w:t xml:space="preserve"> </w:t>
      </w:r>
      <w:r>
        <w:t xml:space="preserve">(Xerces Society 2016)</w:t>
      </w:r>
      <w:r>
        <w:t xml:space="preserv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52"/>
    <w:bookmarkStart w:id="56"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53"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53"/>
    <w:bookmarkStart w:id="54"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54"/>
    <w:bookmarkStart w:id="55"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r>
        <w:t xml:space="preserve"> </w:t>
      </w:r>
      <w:r>
        <w:t xml:space="preserve">(Tuskes and Brower 1978; Chaplin and Wells 1982; Frey and Leong 1993)</w:t>
      </w:r>
      <w:r>
        <w:t xml:space="preserve">.</w:t>
      </w:r>
    </w:p>
    <w:bookmarkEnd w:id="55"/>
    <w:bookmarkEnd w:id="56"/>
    <w:bookmarkStart w:id="57" w:name="study-limitations"/>
    <w:p>
      <w:pPr>
        <w:pStyle w:val="Heading3"/>
      </w:pPr>
      <w:r>
        <w:t xml:space="preserve">Study Limitations</w:t>
      </w:r>
    </w:p>
    <w:p>
      <w:pPr>
        <w:pStyle w:val="FirstParagraph"/>
      </w:pPr>
      <w:r>
        <w:t xml:space="preserve">Several limitations warrant consideration. Our data derive from a single season (2023–2024) with typical monarch abundance at two sites.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57"/>
    <w:bookmarkStart w:id="58"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r>
        <w:t xml:space="preserve"> </w:t>
      </w:r>
      <w:r>
        <w:t xml:space="preserve">(Meade 1999)</w:t>
      </w:r>
      <w:r>
        <w:t xml:space="preserve">.</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 Saniee and Villablanca (2022), it may become relevant to explore ways in which to manage for thermal attributes, specifically sunlight.</w:t>
      </w:r>
    </w:p>
    <w:bookmarkEnd w:id="58"/>
    <w:bookmarkStart w:id="63"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Previous research also suggests light conditions may play an important role in habitat selection.</w:t>
      </w:r>
      <w:r>
        <w:t xml:space="preserve"> </w:t>
      </w:r>
      <w:r>
        <w:t xml:space="preserve">(Stuart B. Weiss et al. 1991)</w:t>
      </w:r>
      <w:r>
        <w:t xml:space="preserve"> </w:t>
      </w:r>
      <w:r>
        <w:t xml:space="preserve">used hemispherical photography to measure the Indirect Site Factor (ISF), which quantifies percent canopy openness, across sites with different occupancy histories. Permanent overwintering sites clustered within a narrow range of canopy openness (approximately 20%) with relatively low variance, while transient and unoccupied sites showed progressively greater variability (Figure</w:t>
      </w:r>
      <w:r>
        <w:t xml:space="preserve"> </w:t>
      </w:r>
      <w:hyperlink w:anchor="fig:weiss_canopy">
        <w:r>
          <w:rPr>
            <w:rStyle w:val="Hyperlink"/>
          </w:rPr>
          <w:t xml:space="preserve">1.5</w:t>
        </w:r>
      </w:hyperlink>
      <w:r>
        <w:t xml:space="preserve">). This pattern of consistent light conditions at successful sites provides additional context for understanding how canopy structure might influence clustering behavior.</w:t>
      </w:r>
    </w:p>
    <w:bookmarkStart w:id="62" w:name="fig:weiss_canopy"/>
    <w:p>
      <w:pPr>
        <w:pStyle w:val="CaptionedFigure"/>
      </w:pPr>
      <w:r>
        <w:drawing>
          <wp:inline>
            <wp:extent cx="4267200" cy="2517273"/>
            <wp:effectExtent b="0" l="0" r="0" t="0"/>
            <wp:docPr descr="" title="" id="60" name="Picture"/>
            <a:graphic>
              <a:graphicData uri="http://schemas.openxmlformats.org/drawingml/2006/picture">
                <pic:pic>
                  <pic:nvPicPr>
                    <pic:cNvPr descr="figures/discussion/weiss_adapted_boxplot.png" id="61" name="Picture"/>
                    <pic:cNvPicPr>
                      <a:picLocks noChangeArrowheads="1" noChangeAspect="1"/>
                    </pic:cNvPicPr>
                  </pic:nvPicPr>
                  <pic:blipFill>
                    <a:blip r:embed="rId59"/>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62"/>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63"/>
    <w:bookmarkStart w:id="64" w:name="conclusions"/>
    <w:p>
      <w:pPr>
        <w:pStyle w:val="Heading3"/>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64"/>
    <w:bookmarkEnd w:id="65"/>
    <w:bookmarkStart w:id="161" w:name="references"/>
    <w:p>
      <w:pPr>
        <w:pStyle w:val="Heading2"/>
      </w:pPr>
      <w:r>
        <w:t xml:space="preserve">References</w:t>
      </w:r>
    </w:p>
    <w:bookmarkStart w:id="160" w:name="refs"/>
    <w:bookmarkStart w:id="66"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66"/>
    <w:bookmarkStart w:id="68" w:name="Xbe493e5c033e1c67ff84a16426ca957066d9860"/>
    <w:p>
      <w:pPr>
        <w:pStyle w:val="Bibliography"/>
      </w:pPr>
      <w:r>
        <w:t xml:space="preserve">Anderson, J. B., and L. P. Brower. 1996.</w:t>
      </w:r>
      <w:r>
        <w:t xml:space="preserve"> </w:t>
      </w:r>
      <w:r>
        <w:t xml:space="preserve">“Freeze-Protection of Overwintering Monarch Butterflies in</w:t>
      </w:r>
      <w:r>
        <w:t xml:space="preserve"> </w:t>
      </w:r>
      <w:r>
        <w:t xml:space="preserve">Mexico</w:t>
      </w:r>
      <w:r>
        <w:t xml:space="preserve">: Critical Role of the Forest as a Blanket and an Umbrella.”</w:t>
      </w:r>
      <w:r>
        <w:t xml:space="preserve"> </w:t>
      </w:r>
      <w:r>
        <w:rPr>
          <w:i/>
          <w:iCs/>
        </w:rPr>
        <w:t xml:space="preserve">Ecological Entomology</w:t>
      </w:r>
      <w:r>
        <w:t xml:space="preserve"> </w:t>
      </w:r>
      <w:r>
        <w:t xml:space="preserve">21 (2): 107–16.</w:t>
      </w:r>
      <w:r>
        <w:t xml:space="preserve"> </w:t>
      </w:r>
      <w:hyperlink r:id="rId67">
        <w:r>
          <w:rPr>
            <w:rStyle w:val="Hyperlink"/>
          </w:rPr>
          <w:t xml:space="preserve">https://doi.org/10.1111/j.1365-2311.1996.tb01177.x</w:t>
        </w:r>
      </w:hyperlink>
      <w:r>
        <w:t xml:space="preserve">.</w:t>
      </w:r>
    </w:p>
    <w:bookmarkEnd w:id="68"/>
    <w:bookmarkStart w:id="70"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69">
        <w:r>
          <w:rPr>
            <w:rStyle w:val="Hyperlink"/>
          </w:rPr>
          <w:t xml:space="preserve">https://doi.org/10.1016/0022-1910(76)90046-9</w:t>
        </w:r>
      </w:hyperlink>
      <w:r>
        <w:t xml:space="preserve">.</w:t>
      </w:r>
    </w:p>
    <w:bookmarkEnd w:id="70"/>
    <w:bookmarkStart w:id="72"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71">
        <w:r>
          <w:rPr>
            <w:rStyle w:val="Hyperlink"/>
          </w:rPr>
          <w:t xml:space="preserve">https://doi.org/10.1086/698656</w:t>
        </w:r>
      </w:hyperlink>
      <w:r>
        <w:t xml:space="preserve">.</w:t>
      </w:r>
    </w:p>
    <w:bookmarkEnd w:id="72"/>
    <w:bookmarkStart w:id="74"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73">
        <w:r>
          <w:rPr>
            <w:rStyle w:val="Hyperlink"/>
          </w:rPr>
          <w:t xml:space="preserve">https://doi.org/10.1016/0022-1910(79)90112-4</w:t>
        </w:r>
      </w:hyperlink>
      <w:r>
        <w:t xml:space="preserve">.</w:t>
      </w:r>
    </w:p>
    <w:bookmarkEnd w:id="74"/>
    <w:bookmarkStart w:id="76"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75">
        <w:r>
          <w:rPr>
            <w:rStyle w:val="Hyperlink"/>
          </w:rPr>
          <w:t xml:space="preserve">https://www.ncbi.nlm.nih.gov/pubmed/8551296</w:t>
        </w:r>
      </w:hyperlink>
      <w:r>
        <w:t xml:space="preserve">.</w:t>
      </w:r>
    </w:p>
    <w:bookmarkEnd w:id="76"/>
    <w:bookmarkStart w:id="78"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77">
        <w:r>
          <w:rPr>
            <w:rStyle w:val="Hyperlink"/>
          </w:rPr>
          <w:t xml:space="preserve">https://doi.org/10.1007/BF00329753</w:t>
        </w:r>
      </w:hyperlink>
      <w:r>
        <w:t xml:space="preserve">.</w:t>
      </w:r>
    </w:p>
    <w:bookmarkEnd w:id="78"/>
    <w:bookmarkStart w:id="80"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79">
        <w:r>
          <w:rPr>
            <w:rStyle w:val="Hyperlink"/>
          </w:rPr>
          <w:t xml:space="preserve">https://www.semanticscholar.org/paper/Heritability-of-spider-ballooning-motivation-under-Bonte-Lens/d6118c2cd143572bc4f098b5916186ec63c0f12a</w:t>
        </w:r>
      </w:hyperlink>
      <w:r>
        <w:t xml:space="preserve">.</w:t>
      </w:r>
    </w:p>
    <w:bookmarkEnd w:id="80"/>
    <w:bookmarkStart w:id="82"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81">
        <w:r>
          <w:rPr>
            <w:rStyle w:val="Hyperlink"/>
          </w:rPr>
          <w:t xml:space="preserve">https://www.semanticscholar.org/paper/Understanding-and-misunderstanding-the-migration-of-Brower/79380ddbf559e310fef9bb8919c03c63ccddecb7</w:t>
        </w:r>
      </w:hyperlink>
      <w:r>
        <w:t xml:space="preserve">.</w:t>
      </w:r>
    </w:p>
    <w:bookmarkEnd w:id="82"/>
    <w:bookmarkStart w:id="84"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83">
        <w:r>
          <w:rPr>
            <w:rStyle w:val="Hyperlink"/>
          </w:rPr>
          <w:t xml:space="preserve">https://doi.org/10.2307/2387997</w:t>
        </w:r>
      </w:hyperlink>
      <w:r>
        <w:t xml:space="preserve">.</w:t>
      </w:r>
    </w:p>
    <w:bookmarkEnd w:id="84"/>
    <w:bookmarkStart w:id="86"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85">
        <w:r>
          <w:rPr>
            <w:rStyle w:val="Hyperlink"/>
          </w:rPr>
          <w:t xml:space="preserve">https://doi.org/10.1111/j.1365-2311.1982.tb00664.x</w:t>
        </w:r>
      </w:hyperlink>
      <w:r>
        <w:t xml:space="preserve">.</w:t>
      </w:r>
    </w:p>
    <w:bookmarkEnd w:id="86"/>
    <w:bookmarkStart w:id="88"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87">
        <w:r>
          <w:rPr>
            <w:rStyle w:val="Hyperlink"/>
          </w:rPr>
          <w:t xml:space="preserve">https://doi.org/10.1016/j.jinsphys.2011.05.004</w:t>
        </w:r>
      </w:hyperlink>
      <w:r>
        <w:t xml:space="preserve">.</w:t>
      </w:r>
    </w:p>
    <w:bookmarkEnd w:id="88"/>
    <w:bookmarkStart w:id="90"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89">
        <w:r>
          <w:rPr>
            <w:rStyle w:val="Hyperlink"/>
          </w:rPr>
          <w:t xml:space="preserve">https://hero.epa.gov/hero/index.cfm/reference/details/reference_id/52731</w:t>
        </w:r>
      </w:hyperlink>
      <w:r>
        <w:t xml:space="preserve">.</w:t>
      </w:r>
    </w:p>
    <w:bookmarkEnd w:id="90"/>
    <w:bookmarkStart w:id="92"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91">
        <w:r>
          <w:rPr>
            <w:rStyle w:val="Hyperlink"/>
          </w:rPr>
          <w:t xml:space="preserve">https://doi.org/10.1002/eap.1975</w:t>
        </w:r>
      </w:hyperlink>
      <w:r>
        <w:t xml:space="preserve">.</w:t>
      </w:r>
    </w:p>
    <w:bookmarkEnd w:id="92"/>
    <w:bookmarkStart w:id="94"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93">
        <w:r>
          <w:rPr>
            <w:rStyle w:val="Hyperlink"/>
          </w:rPr>
          <w:t xml:space="preserve">https://doi.org/10.1016/j.jtherbio.2014.05.004</w:t>
        </w:r>
      </w:hyperlink>
      <w:r>
        <w:t xml:space="preserve">.</w:t>
      </w:r>
    </w:p>
    <w:bookmarkEnd w:id="94"/>
    <w:bookmarkStart w:id="96"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95">
        <w:r>
          <w:rPr>
            <w:rStyle w:val="Hyperlink"/>
          </w:rPr>
          <w:t xml:space="preserve">https://doi.org/10.3390/insects9040167</w:t>
        </w:r>
      </w:hyperlink>
      <w:r>
        <w:t xml:space="preserve">.</w:t>
      </w:r>
    </w:p>
    <w:bookmarkEnd w:id="96"/>
    <w:bookmarkStart w:id="98" w:name="ref-freyCanMicrohabitatSelection1993"/>
    <w:p>
      <w:pPr>
        <w:pStyle w:val="Bibliography"/>
      </w:pPr>
      <w:r>
        <w:t xml:space="preserve">Frey, Dennis F., and Kingston L. H. Leong. 1993.</w:t>
      </w:r>
      <w:r>
        <w:t xml:space="preserve"> </w:t>
      </w:r>
      <w:r>
        <w:t xml:space="preserve">“Can Microhabitat Selection or Differences in ’Catchability’ Explain Male-Biased Sex Ratios in Overwintering Populations of Monarch Butterflies?”</w:t>
      </w:r>
      <w:r>
        <w:t xml:space="preserve"> </w:t>
      </w:r>
      <w:r>
        <w:rPr>
          <w:i/>
          <w:iCs/>
        </w:rPr>
        <w:t xml:space="preserve">Animal Behaviour</w:t>
      </w:r>
      <w:r>
        <w:t xml:space="preserve"> </w:t>
      </w:r>
      <w:r>
        <w:t xml:space="preserve">45 (5): 1025–27.</w:t>
      </w:r>
      <w:r>
        <w:t xml:space="preserve"> </w:t>
      </w:r>
      <w:hyperlink r:id="rId97">
        <w:r>
          <w:rPr>
            <w:rStyle w:val="Hyperlink"/>
          </w:rPr>
          <w:t xml:space="preserve">https://doi.org/10.1006/anbe.1993.1120</w:t>
        </w:r>
      </w:hyperlink>
      <w:r>
        <w:t xml:space="preserve">.</w:t>
      </w:r>
    </w:p>
    <w:bookmarkEnd w:id="98"/>
    <w:bookmarkStart w:id="100"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99">
        <w:r>
          <w:rPr>
            <w:rStyle w:val="Hyperlink"/>
          </w:rPr>
          <w:t xml:space="preserve">https://doi.org/10.1080/02541858.1997.11448445</w:t>
        </w:r>
      </w:hyperlink>
      <w:r>
        <w:t xml:space="preserve">.</w:t>
      </w:r>
    </w:p>
    <w:bookmarkEnd w:id="100"/>
    <w:bookmarkStart w:id="102"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01">
        <w:r>
          <w:rPr>
            <w:rStyle w:val="Hyperlink"/>
          </w:rPr>
          <w:t xml:space="preserve">https://doi.org/10.1098/rspb.2001.1765</w:t>
        </w:r>
      </w:hyperlink>
      <w:r>
        <w:t xml:space="preserve">.</w:t>
      </w:r>
    </w:p>
    <w:bookmarkEnd w:id="102"/>
    <w:bookmarkStart w:id="104"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03">
        <w:r>
          <w:rPr>
            <w:rStyle w:val="Hyperlink"/>
          </w:rPr>
          <w:t xml:space="preserve">https://www.frontiersin.org/articles/10.3389/fevo.2019.00266</w:t>
        </w:r>
      </w:hyperlink>
      <w:r>
        <w:t xml:space="preserve">.</w:t>
      </w:r>
    </w:p>
    <w:bookmarkEnd w:id="104"/>
    <w:bookmarkStart w:id="105"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05"/>
    <w:bookmarkStart w:id="107"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06">
        <w:r>
          <w:rPr>
            <w:rStyle w:val="Hyperlink"/>
          </w:rPr>
          <w:t xml:space="preserve">https://xerces.org/protecting-californias-butterfly-groves</w:t>
        </w:r>
      </w:hyperlink>
      <w:r>
        <w:t xml:space="preserve">.</w:t>
      </w:r>
    </w:p>
    <w:bookmarkEnd w:id="107"/>
    <w:bookmarkStart w:id="109"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08">
        <w:r>
          <w:rPr>
            <w:rStyle w:val="Hyperlink"/>
          </w:rPr>
          <w:t xml:space="preserve">https://doi.org/10.1242/jeb.073668</w:t>
        </w:r>
      </w:hyperlink>
      <w:r>
        <w:t xml:space="preserve">.</w:t>
      </w:r>
    </w:p>
    <w:bookmarkEnd w:id="109"/>
    <w:bookmarkStart w:id="111"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10">
        <w:r>
          <w:rPr>
            <w:rStyle w:val="Hyperlink"/>
          </w:rPr>
          <w:t xml:space="preserve">https://doi.org/10.1111/aen.12175</w:t>
        </w:r>
      </w:hyperlink>
      <w:r>
        <w:t xml:space="preserve">.</w:t>
      </w:r>
    </w:p>
    <w:bookmarkEnd w:id="111"/>
    <w:bookmarkStart w:id="112"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12"/>
    <w:bookmarkStart w:id="114"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13">
        <w:r>
          <w:rPr>
            <w:rStyle w:val="Hyperlink"/>
          </w:rPr>
          <w:t xml:space="preserve">https://doi.org/10.1093/aesa/84.3.263</w:t>
        </w:r>
      </w:hyperlink>
      <w:r>
        <w:t xml:space="preserve">.</w:t>
      </w:r>
    </w:p>
    <w:bookmarkEnd w:id="114"/>
    <w:bookmarkStart w:id="115" w:name="ref-leong2004analysis"/>
    <w:p>
      <w:pPr>
        <w:pStyle w:val="Bibliography"/>
      </w:pPr>
      <w:r>
        <w:t xml:space="preserve">Leong, Kingston LH, Walter H Sakai, Walter Bremer, and Dan Feuerstein. 2004.</w:t>
      </w:r>
      <w:r>
        <w:t xml:space="preserve"> </w:t>
      </w:r>
      <w:r>
        <w:t xml:space="preserve">“Analysis of the Pattern of Distribution and Abundance of Monarch Overwintering Sites Along the</w:t>
      </w:r>
      <w:r>
        <w:t xml:space="preserve"> </w:t>
      </w:r>
      <w:r>
        <w:t xml:space="preserve">California</w:t>
      </w:r>
      <w:r>
        <w:t xml:space="preserve"> </w:t>
      </w:r>
      <w:r>
        <w:t xml:space="preserve">Coastline.”</w:t>
      </w:r>
      <w:r>
        <w:t xml:space="preserve"> </w:t>
      </w:r>
      <w:r>
        <w:t xml:space="preserve">In</w:t>
      </w:r>
      <w:r>
        <w:t xml:space="preserve"> </w:t>
      </w:r>
      <w:r>
        <w:rPr>
          <w:i/>
          <w:iCs/>
        </w:rPr>
        <w:t xml:space="preserve">The</w:t>
      </w:r>
      <w:r>
        <w:rPr>
          <w:i/>
          <w:iCs/>
        </w:rPr>
        <w:t xml:space="preserve"> </w:t>
      </w:r>
      <w:r>
        <w:rPr>
          <w:i/>
          <w:iCs/>
        </w:rPr>
        <w:t xml:space="preserve">Monarch Butterfly</w:t>
      </w:r>
      <w:r>
        <w:rPr>
          <w:i/>
          <w:iCs/>
        </w:rPr>
        <w:t xml:space="preserve">:</w:t>
      </w:r>
      <w:r>
        <w:rPr>
          <w:i/>
          <w:iCs/>
        </w:rPr>
        <w:t xml:space="preserve"> </w:t>
      </w:r>
      <w:r>
        <w:rPr>
          <w:i/>
          <w:iCs/>
        </w:rPr>
        <w:t xml:space="preserve">Biology</w:t>
      </w:r>
      <w:r>
        <w:rPr>
          <w:i/>
          <w:iCs/>
        </w:rPr>
        <w:t xml:space="preserve"> </w:t>
      </w:r>
      <w:r>
        <w:rPr>
          <w:i/>
          <w:iCs/>
        </w:rPr>
        <w:t xml:space="preserve">&amp;</w:t>
      </w:r>
      <w:r>
        <w:rPr>
          <w:i/>
          <w:iCs/>
        </w:rPr>
        <w:t xml:space="preserve"> </w:t>
      </w:r>
      <w:r>
        <w:rPr>
          <w:i/>
          <w:iCs/>
        </w:rPr>
        <w:t xml:space="preserve">Conservation</w:t>
      </w:r>
      <w:r>
        <w:t xml:space="preserve">, 177. Cornell University Press.</w:t>
      </w:r>
    </w:p>
    <w:bookmarkEnd w:id="115"/>
    <w:bookmarkStart w:id="117"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16">
        <w:r>
          <w:rPr>
            <w:rStyle w:val="Hyperlink"/>
          </w:rPr>
          <w:t xml:space="preserve">https://doi.org/10.1093/aesa/83.5.906</w:t>
        </w:r>
      </w:hyperlink>
      <w:r>
        <w:t xml:space="preserve">.</w:t>
      </w:r>
    </w:p>
    <w:bookmarkEnd w:id="117"/>
    <w:bookmarkStart w:id="119"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18">
        <w:r>
          <w:rPr>
            <w:rStyle w:val="Hyperlink"/>
          </w:rPr>
          <w:t xml:space="preserve">https://doi.org/10.2307/1940444</w:t>
        </w:r>
      </w:hyperlink>
      <w:r>
        <w:t xml:space="preserve">.</w:t>
      </w:r>
    </w:p>
    <w:bookmarkEnd w:id="119"/>
    <w:bookmarkStart w:id="120" w:name="Xf96bbc8bb4a9ac979034ef5fe2c6ef063632f2c"/>
    <w:p>
      <w:pPr>
        <w:pStyle w:val="Bibliography"/>
      </w:pPr>
      <w:r>
        <w:t xml:space="preserve">Meade, Daniel E. 1999.</w:t>
      </w:r>
      <w:r>
        <w:t xml:space="preserve"> </w:t>
      </w:r>
      <w:r>
        <w:rPr>
          <w:i/>
          <w:iCs/>
        </w:rPr>
        <w:t xml:space="preserve">Monarch Butterfly Overwintering Sites in</w:t>
      </w:r>
      <w:r>
        <w:rPr>
          <w:i/>
          <w:iCs/>
        </w:rPr>
        <w:t xml:space="preserve"> </w:t>
      </w:r>
      <w:r>
        <w:rPr>
          <w:i/>
          <w:iCs/>
        </w:rPr>
        <w:t xml:space="preserve">Santa Barbara County</w:t>
      </w:r>
      <w:r>
        <w:rPr>
          <w:i/>
          <w:iCs/>
        </w:rPr>
        <w:t xml:space="preserve">,</w:t>
      </w:r>
      <w:r>
        <w:rPr>
          <w:i/>
          <w:iCs/>
        </w:rPr>
        <w:t xml:space="preserve"> </w:t>
      </w:r>
      <w:r>
        <w:rPr>
          <w:i/>
          <w:iCs/>
        </w:rPr>
        <w:t xml:space="preserve">California</w:t>
      </w:r>
      <w:r>
        <w:t xml:space="preserve">.</w:t>
      </w:r>
      <w:r>
        <w:t xml:space="preserve"> </w:t>
      </w:r>
      <w:r>
        <w:t xml:space="preserve">Althouse and Meade</w:t>
      </w:r>
      <w:r>
        <w:t xml:space="preserve">.</w:t>
      </w:r>
    </w:p>
    <w:bookmarkEnd w:id="120"/>
    <w:bookmarkStart w:id="122"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21">
        <w:r>
          <w:rPr>
            <w:rStyle w:val="Hyperlink"/>
          </w:rPr>
          <w:t xml:space="preserve">https://doi.org/10.1002/ecy.3634</w:t>
        </w:r>
      </w:hyperlink>
      <w:r>
        <w:t xml:space="preserve">.</w:t>
      </w:r>
    </w:p>
    <w:bookmarkEnd w:id="122"/>
    <w:bookmarkStart w:id="124"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23">
        <w:r>
          <w:rPr>
            <w:rStyle w:val="Hyperlink"/>
          </w:rPr>
          <w:t xml:space="preserve">https://doi.org/10.1073/pnas.152137299</w:t>
        </w:r>
      </w:hyperlink>
      <w:r>
        <w:t xml:space="preserve">.</w:t>
      </w:r>
    </w:p>
    <w:bookmarkEnd w:id="124"/>
    <w:bookmarkStart w:id="126"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25">
        <w:r>
          <w:rPr>
            <w:rStyle w:val="Hyperlink"/>
          </w:rPr>
          <w:t xml:space="preserve">https://doi.org/10.1111/j.1366-9516.2005.00146.x</w:t>
        </w:r>
      </w:hyperlink>
      <w:r>
        <w:t xml:space="preserve">.</w:t>
      </w:r>
    </w:p>
    <w:bookmarkEnd w:id="126"/>
    <w:bookmarkStart w:id="127"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27"/>
    <w:bookmarkStart w:id="129"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28">
        <w:r>
          <w:rPr>
            <w:rStyle w:val="Hyperlink"/>
          </w:rPr>
          <w:t xml:space="preserve">https://www.frontiersin.org/articles/10.3389/fevo.2019.00258</w:t>
        </w:r>
      </w:hyperlink>
      <w:r>
        <w:t xml:space="preserve">.</w:t>
      </w:r>
    </w:p>
    <w:bookmarkEnd w:id="129"/>
    <w:bookmarkStart w:id="131"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30">
        <w:r>
          <w:rPr>
            <w:rStyle w:val="Hyperlink"/>
          </w:rPr>
          <w:t xml:space="preserve">https://doi.org/10.1016/j.cub.2018.02.067</w:t>
        </w:r>
      </w:hyperlink>
      <w:r>
        <w:t xml:space="preserve">.</w:t>
      </w:r>
    </w:p>
    <w:bookmarkEnd w:id="131"/>
    <w:bookmarkStart w:id="133"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32">
        <w:r>
          <w:rPr>
            <w:rStyle w:val="Hyperlink"/>
          </w:rPr>
          <w:t xml:space="preserve">https://www.frontiersin.org/articles/10.3389/fcosc.2022.844299</w:t>
        </w:r>
      </w:hyperlink>
      <w:r>
        <w:t xml:space="preserve">.</w:t>
      </w:r>
    </w:p>
    <w:bookmarkEnd w:id="133"/>
    <w:bookmarkStart w:id="135"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34">
        <w:r>
          <w:rPr>
            <w:rStyle w:val="Hyperlink"/>
          </w:rPr>
          <w:t xml:space="preserve">https://doi.org/10.1016/j.biocon.2017.08.019</w:t>
        </w:r>
      </w:hyperlink>
      <w:r>
        <w:t xml:space="preserve">.</w:t>
      </w:r>
    </w:p>
    <w:bookmarkEnd w:id="135"/>
    <w:bookmarkStart w:id="137"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36">
        <w:r>
          <w:rPr>
            <w:rStyle w:val="Hyperlink"/>
          </w:rPr>
          <w:t xml:space="preserve">https://doi.org/10.1002/ece3.5607</w:t>
        </w:r>
      </w:hyperlink>
      <w:r>
        <w:t xml:space="preserve">.</w:t>
      </w:r>
    </w:p>
    <w:bookmarkEnd w:id="137"/>
    <w:bookmarkStart w:id="139"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38">
        <w:r>
          <w:rPr>
            <w:rStyle w:val="Hyperlink"/>
          </w:rPr>
          <w:t xml:space="preserve">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 xml:space="preserve">.</w:t>
      </w:r>
    </w:p>
    <w:bookmarkEnd w:id="139"/>
    <w:bookmarkStart w:id="141"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40">
        <w:r>
          <w:rPr>
            <w:rStyle w:val="Hyperlink"/>
          </w:rPr>
          <w:t xml:space="preserve">https://doi.org/10.1111/j.1365-2311.1978.tb00912.x</w:t>
        </w:r>
      </w:hyperlink>
      <w:r>
        <w:t xml:space="preserve">.</w:t>
      </w:r>
    </w:p>
    <w:bookmarkEnd w:id="141"/>
    <w:bookmarkStart w:id="142"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142"/>
    <w:bookmarkStart w:id="144"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43">
        <w:r>
          <w:rPr>
            <w:rStyle w:val="Hyperlink"/>
          </w:rPr>
          <w:t xml:space="preserve">https://doi.org/10.1007/s00265-020-02842-z</w:t>
        </w:r>
      </w:hyperlink>
      <w:r>
        <w:t xml:space="preserve">.</w:t>
      </w:r>
    </w:p>
    <w:bookmarkEnd w:id="144"/>
    <w:bookmarkStart w:id="146"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145">
        <w:r>
          <w:rPr>
            <w:rStyle w:val="Hyperlink"/>
          </w:rPr>
          <w:t xml:space="preserve">https://doi.org/10.1016/j.biocon.2014.09.041</w:t>
        </w:r>
      </w:hyperlink>
      <w:r>
        <w:t xml:space="preserve">.</w:t>
      </w:r>
    </w:p>
    <w:bookmarkEnd w:id="146"/>
    <w:bookmarkStart w:id="147"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147"/>
    <w:bookmarkStart w:id="149"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148">
        <w:r>
          <w:rPr>
            <w:rStyle w:val="Hyperlink"/>
          </w:rPr>
          <w:t xml:space="preserve">https://doi.org/10.1111/j.1523-1739.1991.tb00121.x</w:t>
        </w:r>
      </w:hyperlink>
      <w:r>
        <w:t xml:space="preserve">.</w:t>
      </w:r>
    </w:p>
    <w:bookmarkEnd w:id="149"/>
    <w:bookmarkStart w:id="151"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150">
        <w:r>
          <w:rPr>
            <w:rStyle w:val="Hyperlink"/>
          </w:rPr>
          <w:t xml:space="preserve">https://www.xerces.org/sites/default/files/2018-05/16-015_01_XercesSoc_State-of-Monarch-Overwintering-Sites-in-California_web.pdf</w:t>
        </w:r>
      </w:hyperlink>
      <w:r>
        <w:t xml:space="preserve">.</w:t>
      </w:r>
    </w:p>
    <w:bookmarkEnd w:id="151"/>
    <w:bookmarkStart w:id="153"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52">
        <w:r>
          <w:rPr>
            <w:rStyle w:val="Hyperlink"/>
          </w:rPr>
          <w:t xml:space="preserve">www.xerces.org</w:t>
        </w:r>
      </w:hyperlink>
      <w:r>
        <w:t xml:space="preserve">.</w:t>
      </w:r>
    </w:p>
    <w:bookmarkEnd w:id="153"/>
    <w:bookmarkStart w:id="155"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154">
        <w:r>
          <w:rPr>
            <w:rStyle w:val="Hyperlink"/>
          </w:rPr>
          <w:t xml:space="preserve">WesternMonarchCount.com</w:t>
        </w:r>
      </w:hyperlink>
      <w:r>
        <w:t xml:space="preserve">.</w:t>
      </w:r>
    </w:p>
    <w:bookmarkEnd w:id="155"/>
    <w:bookmarkStart w:id="157"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156">
        <w:r>
          <w:rPr>
            <w:rStyle w:val="Hyperlink"/>
          </w:rPr>
          <w:t xml:space="preserve">https://www.xerces.org/press/western-monarch-butterfly-population-declines-to-near-record-low</w:t>
        </w:r>
      </w:hyperlink>
      <w:r>
        <w:t xml:space="preserve">.</w:t>
      </w:r>
    </w:p>
    <w:bookmarkEnd w:id="157"/>
    <w:bookmarkStart w:id="159"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158">
        <w:r>
          <w:rPr>
            <w:rStyle w:val="Hyperlink"/>
          </w:rPr>
          <w:t xml:space="preserve">https://doi.org/10.1111/j.1440-6055.1982.tb01803.x</w:t>
        </w:r>
      </w:hyperlink>
      <w:r>
        <w:t xml:space="preserve">.</w:t>
      </w:r>
    </w:p>
    <w:bookmarkEnd w:id="159"/>
    <w:bookmarkEnd w:id="160"/>
    <w:bookmarkEnd w:id="161"/>
    <w:bookmarkEnd w:id="16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154" Target="https://WesternMonarchCount.com" TargetMode="External" /><Relationship Type="http://schemas.openxmlformats.org/officeDocument/2006/relationships/hyperlink" Id="rId138"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91" Target="https://doi.org/10.1002/eap.1975" TargetMode="External" /><Relationship Type="http://schemas.openxmlformats.org/officeDocument/2006/relationships/hyperlink" Id="rId136" Target="https://doi.org/10.1002/ece3.5607" TargetMode="External" /><Relationship Type="http://schemas.openxmlformats.org/officeDocument/2006/relationships/hyperlink" Id="rId121" Target="https://doi.org/10.1002/ecy.3634" TargetMode="External" /><Relationship Type="http://schemas.openxmlformats.org/officeDocument/2006/relationships/hyperlink" Id="rId97" Target="https://doi.org/10.1006/anbe.1993.1120" TargetMode="External" /><Relationship Type="http://schemas.openxmlformats.org/officeDocument/2006/relationships/hyperlink" Id="rId77" Target="https://doi.org/10.1007/BF00329753" TargetMode="External" /><Relationship Type="http://schemas.openxmlformats.org/officeDocument/2006/relationships/hyperlink" Id="rId143" Target="https://doi.org/10.1007/s00265-020-02842-z" TargetMode="External" /><Relationship Type="http://schemas.openxmlformats.org/officeDocument/2006/relationships/hyperlink" Id="rId69" Target="https://doi.org/10.1016/0022-1910(76)90046-9" TargetMode="External" /><Relationship Type="http://schemas.openxmlformats.org/officeDocument/2006/relationships/hyperlink" Id="rId73" Target="https://doi.org/10.1016/0022-1910(79)90112-4" TargetMode="External" /><Relationship Type="http://schemas.openxmlformats.org/officeDocument/2006/relationships/hyperlink" Id="rId145" Target="https://doi.org/10.1016/j.biocon.2014.09.041" TargetMode="External" /><Relationship Type="http://schemas.openxmlformats.org/officeDocument/2006/relationships/hyperlink" Id="rId134" Target="https://doi.org/10.1016/j.biocon.2017.08.019" TargetMode="External" /><Relationship Type="http://schemas.openxmlformats.org/officeDocument/2006/relationships/hyperlink" Id="rId130" Target="https://doi.org/10.1016/j.cub.2018.02.067" TargetMode="External" /><Relationship Type="http://schemas.openxmlformats.org/officeDocument/2006/relationships/hyperlink" Id="rId87" Target="https://doi.org/10.1016/j.jinsphys.2011.05.004" TargetMode="External" /><Relationship Type="http://schemas.openxmlformats.org/officeDocument/2006/relationships/hyperlink" Id="rId93" Target="https://doi.org/10.1016/j.jtherbio.2014.05.004" TargetMode="External" /><Relationship Type="http://schemas.openxmlformats.org/officeDocument/2006/relationships/hyperlink" Id="rId123" Target="https://doi.org/10.1073/pnas.152137299" TargetMode="External" /><Relationship Type="http://schemas.openxmlformats.org/officeDocument/2006/relationships/hyperlink" Id="rId99" Target="https://doi.org/10.1080/02541858.1997.11448445" TargetMode="External" /><Relationship Type="http://schemas.openxmlformats.org/officeDocument/2006/relationships/hyperlink" Id="rId71" Target="https://doi.org/10.1086/698656" TargetMode="External" /><Relationship Type="http://schemas.openxmlformats.org/officeDocument/2006/relationships/hyperlink" Id="rId116" Target="https://doi.org/10.1093/aesa/83.5.906" TargetMode="External" /><Relationship Type="http://schemas.openxmlformats.org/officeDocument/2006/relationships/hyperlink" Id="rId113" Target="https://doi.org/10.1093/aesa/84.3.263" TargetMode="External" /><Relationship Type="http://schemas.openxmlformats.org/officeDocument/2006/relationships/hyperlink" Id="rId101" Target="https://doi.org/10.1098/rspb.2001.1765" TargetMode="External" /><Relationship Type="http://schemas.openxmlformats.org/officeDocument/2006/relationships/hyperlink" Id="rId110" Target="https://doi.org/10.1111/aen.12175" TargetMode="External" /><Relationship Type="http://schemas.openxmlformats.org/officeDocument/2006/relationships/hyperlink" Id="rId140" Target="https://doi.org/10.1111/j.1365-2311.1978.tb00912.x" TargetMode="External" /><Relationship Type="http://schemas.openxmlformats.org/officeDocument/2006/relationships/hyperlink" Id="rId85" Target="https://doi.org/10.1111/j.1365-2311.1982.tb00664.x" TargetMode="External" /><Relationship Type="http://schemas.openxmlformats.org/officeDocument/2006/relationships/hyperlink" Id="rId67" Target="https://doi.org/10.1111/j.1365-2311.1996.tb01177.x" TargetMode="External" /><Relationship Type="http://schemas.openxmlformats.org/officeDocument/2006/relationships/hyperlink" Id="rId125" Target="https://doi.org/10.1111/j.1366-9516.2005.00146.x" TargetMode="External" /><Relationship Type="http://schemas.openxmlformats.org/officeDocument/2006/relationships/hyperlink" Id="rId158" Target="https://doi.org/10.1111/j.1440-6055.1982.tb01803.x" TargetMode="External" /><Relationship Type="http://schemas.openxmlformats.org/officeDocument/2006/relationships/hyperlink" Id="rId148" Target="https://doi.org/10.1111/j.1523-1739.1991.tb00121.x" TargetMode="External" /><Relationship Type="http://schemas.openxmlformats.org/officeDocument/2006/relationships/hyperlink" Id="rId108" Target="https://doi.org/10.1242/jeb.073668" TargetMode="External" /><Relationship Type="http://schemas.openxmlformats.org/officeDocument/2006/relationships/hyperlink" Id="rId118" Target="https://doi.org/10.2307/1940444" TargetMode="External" /><Relationship Type="http://schemas.openxmlformats.org/officeDocument/2006/relationships/hyperlink" Id="rId83" Target="https://doi.org/10.2307/2387997" TargetMode="External" /><Relationship Type="http://schemas.openxmlformats.org/officeDocument/2006/relationships/hyperlink" Id="rId95" Target="https://doi.org/10.3390/insects9040167" TargetMode="External" /><Relationship Type="http://schemas.openxmlformats.org/officeDocument/2006/relationships/hyperlink" Id="rId89"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32" Target="https://www.frontiersin.org/articles/10.3389/fcosc.2022.844299" TargetMode="External" /><Relationship Type="http://schemas.openxmlformats.org/officeDocument/2006/relationships/hyperlink" Id="rId128" Target="https://www.frontiersin.org/articles/10.3389/fevo.2019.00258" TargetMode="External" /><Relationship Type="http://schemas.openxmlformats.org/officeDocument/2006/relationships/hyperlink" Id="rId103" Target="https://www.frontiersin.org/articles/10.3389/fevo.2019.00266" TargetMode="External" /><Relationship Type="http://schemas.openxmlformats.org/officeDocument/2006/relationships/hyperlink" Id="rId75" Target="https://www.ncbi.nlm.nih.gov/pubmed/8551296" TargetMode="External" /><Relationship Type="http://schemas.openxmlformats.org/officeDocument/2006/relationships/hyperlink" Id="rId79" Target="https://www.semanticscholar.org/paper/Heritability-of-spider-ballooning-motivation-under-Bonte-Lens/d6118c2cd143572bc4f098b5916186ec63c0f12a" TargetMode="External" /><Relationship Type="http://schemas.openxmlformats.org/officeDocument/2006/relationships/hyperlink" Id="rId81" Target="https://www.semanticscholar.org/paper/Understanding-and-misunderstanding-the-migration-of-Brower/79380ddbf559e310fef9bb8919c03c63ccddecb7" TargetMode="External" /><Relationship Type="http://schemas.openxmlformats.org/officeDocument/2006/relationships/hyperlink" Id="rId152" Target="https://www.xerces.org" TargetMode="External" /><Relationship Type="http://schemas.openxmlformats.org/officeDocument/2006/relationships/hyperlink" Id="rId156" Target="https://www.xerces.org/press/western-monarch-butterfly-population-declines-to-near-record-low" TargetMode="External" /><Relationship Type="http://schemas.openxmlformats.org/officeDocument/2006/relationships/hyperlink" Id="rId150" Target="https://www.xerces.org/sites/default/files/2018-05/16-015_01_XercesSoc_State-of-Monarch-Overwintering-Sites-in-California_web.pdf" TargetMode="External" /><Relationship Type="http://schemas.openxmlformats.org/officeDocument/2006/relationships/hyperlink" Id="rId106"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154" Target="https://WesternMonarchCount.com" TargetMode="External" /><Relationship Type="http://schemas.openxmlformats.org/officeDocument/2006/relationships/hyperlink" Id="rId138"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91" Target="https://doi.org/10.1002/eap.1975" TargetMode="External" /><Relationship Type="http://schemas.openxmlformats.org/officeDocument/2006/relationships/hyperlink" Id="rId136" Target="https://doi.org/10.1002/ece3.5607" TargetMode="External" /><Relationship Type="http://schemas.openxmlformats.org/officeDocument/2006/relationships/hyperlink" Id="rId121" Target="https://doi.org/10.1002/ecy.3634" TargetMode="External" /><Relationship Type="http://schemas.openxmlformats.org/officeDocument/2006/relationships/hyperlink" Id="rId97" Target="https://doi.org/10.1006/anbe.1993.1120" TargetMode="External" /><Relationship Type="http://schemas.openxmlformats.org/officeDocument/2006/relationships/hyperlink" Id="rId77" Target="https://doi.org/10.1007/BF00329753" TargetMode="External" /><Relationship Type="http://schemas.openxmlformats.org/officeDocument/2006/relationships/hyperlink" Id="rId143" Target="https://doi.org/10.1007/s00265-020-02842-z" TargetMode="External" /><Relationship Type="http://schemas.openxmlformats.org/officeDocument/2006/relationships/hyperlink" Id="rId69" Target="https://doi.org/10.1016/0022-1910(76)90046-9" TargetMode="External" /><Relationship Type="http://schemas.openxmlformats.org/officeDocument/2006/relationships/hyperlink" Id="rId73" Target="https://doi.org/10.1016/0022-1910(79)90112-4" TargetMode="External" /><Relationship Type="http://schemas.openxmlformats.org/officeDocument/2006/relationships/hyperlink" Id="rId145" Target="https://doi.org/10.1016/j.biocon.2014.09.041" TargetMode="External" /><Relationship Type="http://schemas.openxmlformats.org/officeDocument/2006/relationships/hyperlink" Id="rId134" Target="https://doi.org/10.1016/j.biocon.2017.08.019" TargetMode="External" /><Relationship Type="http://schemas.openxmlformats.org/officeDocument/2006/relationships/hyperlink" Id="rId130" Target="https://doi.org/10.1016/j.cub.2018.02.067" TargetMode="External" /><Relationship Type="http://schemas.openxmlformats.org/officeDocument/2006/relationships/hyperlink" Id="rId87" Target="https://doi.org/10.1016/j.jinsphys.2011.05.004" TargetMode="External" /><Relationship Type="http://schemas.openxmlformats.org/officeDocument/2006/relationships/hyperlink" Id="rId93" Target="https://doi.org/10.1016/j.jtherbio.2014.05.004" TargetMode="External" /><Relationship Type="http://schemas.openxmlformats.org/officeDocument/2006/relationships/hyperlink" Id="rId123" Target="https://doi.org/10.1073/pnas.152137299" TargetMode="External" /><Relationship Type="http://schemas.openxmlformats.org/officeDocument/2006/relationships/hyperlink" Id="rId99" Target="https://doi.org/10.1080/02541858.1997.11448445" TargetMode="External" /><Relationship Type="http://schemas.openxmlformats.org/officeDocument/2006/relationships/hyperlink" Id="rId71" Target="https://doi.org/10.1086/698656" TargetMode="External" /><Relationship Type="http://schemas.openxmlformats.org/officeDocument/2006/relationships/hyperlink" Id="rId116" Target="https://doi.org/10.1093/aesa/83.5.906" TargetMode="External" /><Relationship Type="http://schemas.openxmlformats.org/officeDocument/2006/relationships/hyperlink" Id="rId113" Target="https://doi.org/10.1093/aesa/84.3.263" TargetMode="External" /><Relationship Type="http://schemas.openxmlformats.org/officeDocument/2006/relationships/hyperlink" Id="rId101" Target="https://doi.org/10.1098/rspb.2001.1765" TargetMode="External" /><Relationship Type="http://schemas.openxmlformats.org/officeDocument/2006/relationships/hyperlink" Id="rId110" Target="https://doi.org/10.1111/aen.12175" TargetMode="External" /><Relationship Type="http://schemas.openxmlformats.org/officeDocument/2006/relationships/hyperlink" Id="rId140" Target="https://doi.org/10.1111/j.1365-2311.1978.tb00912.x" TargetMode="External" /><Relationship Type="http://schemas.openxmlformats.org/officeDocument/2006/relationships/hyperlink" Id="rId85" Target="https://doi.org/10.1111/j.1365-2311.1982.tb00664.x" TargetMode="External" /><Relationship Type="http://schemas.openxmlformats.org/officeDocument/2006/relationships/hyperlink" Id="rId67" Target="https://doi.org/10.1111/j.1365-2311.1996.tb01177.x" TargetMode="External" /><Relationship Type="http://schemas.openxmlformats.org/officeDocument/2006/relationships/hyperlink" Id="rId125" Target="https://doi.org/10.1111/j.1366-9516.2005.00146.x" TargetMode="External" /><Relationship Type="http://schemas.openxmlformats.org/officeDocument/2006/relationships/hyperlink" Id="rId158" Target="https://doi.org/10.1111/j.1440-6055.1982.tb01803.x" TargetMode="External" /><Relationship Type="http://schemas.openxmlformats.org/officeDocument/2006/relationships/hyperlink" Id="rId148" Target="https://doi.org/10.1111/j.1523-1739.1991.tb00121.x" TargetMode="External" /><Relationship Type="http://schemas.openxmlformats.org/officeDocument/2006/relationships/hyperlink" Id="rId108" Target="https://doi.org/10.1242/jeb.073668" TargetMode="External" /><Relationship Type="http://schemas.openxmlformats.org/officeDocument/2006/relationships/hyperlink" Id="rId118" Target="https://doi.org/10.2307/1940444" TargetMode="External" /><Relationship Type="http://schemas.openxmlformats.org/officeDocument/2006/relationships/hyperlink" Id="rId83" Target="https://doi.org/10.2307/2387997" TargetMode="External" /><Relationship Type="http://schemas.openxmlformats.org/officeDocument/2006/relationships/hyperlink" Id="rId95" Target="https://doi.org/10.3390/insects9040167" TargetMode="External" /><Relationship Type="http://schemas.openxmlformats.org/officeDocument/2006/relationships/hyperlink" Id="rId89"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32" Target="https://www.frontiersin.org/articles/10.3389/fcosc.2022.844299" TargetMode="External" /><Relationship Type="http://schemas.openxmlformats.org/officeDocument/2006/relationships/hyperlink" Id="rId128" Target="https://www.frontiersin.org/articles/10.3389/fevo.2019.00258" TargetMode="External" /><Relationship Type="http://schemas.openxmlformats.org/officeDocument/2006/relationships/hyperlink" Id="rId103" Target="https://www.frontiersin.org/articles/10.3389/fevo.2019.00266" TargetMode="External" /><Relationship Type="http://schemas.openxmlformats.org/officeDocument/2006/relationships/hyperlink" Id="rId75" Target="https://www.ncbi.nlm.nih.gov/pubmed/8551296" TargetMode="External" /><Relationship Type="http://schemas.openxmlformats.org/officeDocument/2006/relationships/hyperlink" Id="rId79" Target="https://www.semanticscholar.org/paper/Heritability-of-spider-ballooning-motivation-under-Bonte-Lens/d6118c2cd143572bc4f098b5916186ec63c0f12a" TargetMode="External" /><Relationship Type="http://schemas.openxmlformats.org/officeDocument/2006/relationships/hyperlink" Id="rId81" Target="https://www.semanticscholar.org/paper/Understanding-and-misunderstanding-the-migration-of-Brower/79380ddbf559e310fef9bb8919c03c63ccddecb7" TargetMode="External" /><Relationship Type="http://schemas.openxmlformats.org/officeDocument/2006/relationships/hyperlink" Id="rId152" Target="https://www.xerces.org" TargetMode="External" /><Relationship Type="http://schemas.openxmlformats.org/officeDocument/2006/relationships/hyperlink" Id="rId156" Target="https://www.xerces.org/press/western-monarch-butterfly-population-declines-to-near-record-low" TargetMode="External" /><Relationship Type="http://schemas.openxmlformats.org/officeDocument/2006/relationships/hyperlink" Id="rId150" Target="https://www.xerces.org/sites/default/files/2018-05/16-015_01_XercesSoc_State-of-Monarch-Overwintering-Sites-in-California_web.pdf" TargetMode="External" /><Relationship Type="http://schemas.openxmlformats.org/officeDocument/2006/relationships/hyperlink" Id="rId106"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2025-09-26T21:04:39Z</dcterms:created>
  <dcterms:modified xsi:type="dcterms:W3CDTF">2025-09-26T21:04:39Z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