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89.png" ContentType="image/png"/>
  <Override PartName="/word/media/rId53.png" ContentType="image/png"/>
  <Override PartName="/word/media/rId48.png" ContentType="image/png"/>
  <Override PartName="/word/media/rId43.png" ContentType="image/png"/>
  <Override PartName="/word/media/rId39.png" ContentType="image/png"/>
  <Override PartName="/word/media/rId28.png" ContentType="image/png"/>
  <Override PartName="/word/media/rId59.png" ContentType="image/png"/>
  <Override PartName="/word/media/rId82.png" ContentType="image/png"/>
  <Override PartName="/word/media/rId78.png" ContentType="image/png"/>
  <Override PartName="/word/media/rId73.png" ContentType="image/png"/>
  <Override PartName="/word/media/rId6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w:t>
      </w:r>
      <w:r>
        <w:t xml:space="preserve"> </w:t>
      </w:r>
      <m:oMath>
        <m:r>
          <m:rPr>
            <m:sty m:val="p"/>
          </m:rPr>
          <m:t>≥</m:t>
        </m:r>
      </m:oMath>
      <w:r>
        <w:t xml:space="preserve"> </w:t>
      </w:r>
      <w:r>
        <w:t xml:space="preserve">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p>
      <w:pPr>
        <w:pStyle w:val="BodyText"/>
      </w:pPr>
      <w:r>
        <w:t xml:space="preserve">Finally, we hypothesized that experiencing disruptive winds affects monarch site fidelity. If wind disruption influences future roost selection, we predict decreased site fidelity manifested as sustained abundance reductions at wind-disturbed roosts compared to pre-disturbance levels.</w:t>
      </w:r>
    </w:p>
    <w:bookmarkEnd w:id="9"/>
    <w:bookmarkStart w:id="26" w:name="materials-and-methods"/>
    <w:p>
      <w:pPr>
        <w:pStyle w:val="Heading1"/>
      </w:pPr>
      <w:r>
        <w:t xml:space="preserve">Materials and Methods</w:t>
      </w:r>
    </w:p>
    <w:bookmarkStart w:id="10" w:name="study-site"/>
    <w:p>
      <w:pPr>
        <w:pStyle w:val="Heading2"/>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10"/>
    <w:bookmarkStart w:id="11" w:name="monitoring-strategy"/>
    <w:p>
      <w:pPr>
        <w:pStyle w:val="Heading2"/>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1"/>
    <w:bookmarkStart w:id="12" w:name="field-equipment"/>
    <w:p>
      <w:pPr>
        <w:pStyle w:val="Heading2"/>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2"/>
    <w:bookmarkStart w:id="17" w:name="image-analysis"/>
    <w:p>
      <w:pPr>
        <w:pStyle w:val="Heading2"/>
      </w:pPr>
      <w:r>
        <w:t xml:space="preserve">Image Analysis</w:t>
      </w:r>
    </w:p>
    <w:bookmarkStart w:id="13" w:name="grid-based-counting-method"/>
    <w:p>
      <w:pPr>
        <w:pStyle w:val="Heading3"/>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3"/>
    <w:bookmarkStart w:id="15" w:name="counting-protocol"/>
    <w:p>
      <w:pPr>
        <w:pStyle w:val="Heading3"/>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4">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5"/>
    <w:bookmarkStart w:id="16" w:name="abundance-calculation"/>
    <w:p>
      <w:pPr>
        <w:pStyle w:val="Heading3"/>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6"/>
    <w:bookmarkEnd w:id="17"/>
    <w:bookmarkStart w:id="18" w:name="temperature-data-extraction"/>
    <w:p>
      <w:pPr>
        <w:pStyle w:val="Heading2"/>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8"/>
    <w:bookmarkStart w:id="25" w:name="sec:statistical-analysis"/>
    <w:p>
      <w:pPr>
        <w:pStyle w:val="Heading2"/>
      </w:pPr>
      <w:r>
        <w:t xml:space="preserve">Statistical Analysis</w:t>
      </w:r>
    </w:p>
    <w:bookmarkStart w:id="19" w:name="data-preparation"/>
    <w:p>
      <w:pPr>
        <w:pStyle w:val="Heading3"/>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9"/>
    <w:bookmarkStart w:id="20" w:name="variable-selection"/>
    <w:p>
      <w:pPr>
        <w:pStyle w:val="Heading3"/>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20"/>
    <w:bookmarkStart w:id="21" w:name="model-framework"/>
    <w:p>
      <w:pPr>
        <w:pStyle w:val="Heading3"/>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1"/>
    <w:bookmarkStart w:id="22" w:name="model-validation"/>
    <w:p>
      <w:pPr>
        <w:pStyle w:val="Heading3"/>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2"/>
    <w:bookmarkStart w:id="23" w:name="statistical-power-analysis"/>
    <w:p>
      <w:pPr>
        <w:pStyle w:val="Heading3"/>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3"/>
    <w:bookmarkStart w:id="24" w:name="dynamic-window-analysis"/>
    <w:p>
      <w:pPr>
        <w:pStyle w:val="Heading3"/>
      </w:pPr>
      <w:r>
        <w:t xml:space="preserve">Dynamic Window Analysis</w:t>
      </w:r>
    </w:p>
    <w:p>
      <w:pPr>
        <w:pStyle w:val="FirstParagraph"/>
      </w:pPr>
      <w:r>
        <w:t xml:space="preserve">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pPr>
        <w:pStyle w:val="BodyText"/>
      </w:pPr>
      <w:r>
        <w:t xml:space="preserve">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pPr>
        <w:pStyle w:val="BodyText"/>
      </w:pPr>
      <w:r>
        <w:t xml:space="preserve">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pPr>
        <w:pStyle w:val="BodyText"/>
      </w:pPr>
      <w:r>
        <w:t xml:space="preserve">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w:t>
      </w:r>
      <w:r>
        <w:t xml:space="preserve"> </w:t>
      </w:r>
      <m:oMath>
        <m:r>
          <m:t>r</m:t>
        </m:r>
        <m:r>
          <m:rPr>
            <m:sty m:val="p"/>
          </m:rPr>
          <m:t>&gt;</m:t>
        </m:r>
        <m:r>
          <m:t>0.75</m:t>
        </m:r>
      </m:oMath>
      <w:r>
        <w:t xml:space="preserve">) and temperature variables. Based on this analysis, we selected predictors that minimized redundancy while maintaining interpretability and adequate degrees of freedom relative to sample size.</w:t>
      </w:r>
    </w:p>
    <w:p>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pPr>
        <w:pStyle w:val="BodyText"/>
      </w:pPr>
      <w:r>
        <w:t xml:space="preserve">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bookmarkEnd w:id="24"/>
    <w:bookmarkEnd w:id="25"/>
    <w:bookmarkEnd w:id="26"/>
    <w:bookmarkStart w:id="94" w:name="results"/>
    <w:p>
      <w:pPr>
        <w:pStyle w:val="Heading1"/>
      </w:pPr>
      <w:r>
        <w:t xml:space="preserve">Results</w:t>
      </w:r>
    </w:p>
    <w:bookmarkStart w:id="27" w:name="descriptive-statistics"/>
    <w:p>
      <w:pPr>
        <w:pStyle w:val="Heading2"/>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7"/>
    <w:bookmarkStart w:id="36" w:name="Xcd4fe75f140c5a6ff0ab7eee82bd7d86184ff99"/>
    <w:p>
      <w:pPr>
        <w:pStyle w:val="Heading2"/>
      </w:pPr>
      <w:r>
        <w:t xml:space="preserve">Bivariate Relationship Between Wind and Cluster Dynamics</w:t>
      </w:r>
    </w:p>
    <w:p>
      <w:pPr>
        <w:pStyle w:val="FirstParagraph"/>
      </w:pPr>
      <w:r>
        <w:t xml:space="preserve">Bivariate analyses examined whether wind speed alone could explain changes in monarch cluster size, revealing no meaningful relationship between maximum wind speed and cluster size changes at either temporal scale (Figure </w:t>
      </w:r>
      <w:hyperlink w:anchor="fig:wind_bivariate_30min">
        <w:r>
          <w:rPr>
            <w:rStyle w:val="Hyperlink"/>
          </w:rPr>
          <w:t xml:space="preserve">1</w:t>
        </w:r>
      </w:hyperlink>
      <w:r>
        <w:t xml:space="preserve"> </w:t>
      </w:r>
      <w:r>
        <w:t xml:space="preserve">and </w:t>
      </w:r>
      <w:hyperlink w:anchor="fig:wind_bivariate_sunset">
        <w:r>
          <w:rPr>
            <w:rStyle w:val="Hyperlink"/>
          </w:rPr>
          <w:t xml:space="preserve">2</w:t>
        </w:r>
      </w:hyperlink>
      <w:r>
        <w:t xml:space="preserve">).</w:t>
      </w:r>
    </w:p>
    <w:p>
      <w:pPr>
        <w:pStyle w:val="BodyText"/>
      </w:pPr>
      <w:r>
        <w:t xml:space="preserve">At 30-minute intervals, the correlation between maximum wind speed and butterfly abundance change was negligible (r = 0.04, n = 1,894), with data points scattered uniformly across all wind speeds from calm conditions to 12.4 m/s. The proposed 2 m/s behavioral threshold showed no apparent demarcation in butterfly responses, with similar variance in cluster size changes both above and below this threshold.</w:t>
      </w:r>
    </w:p>
    <w:p>
      <w:pPr>
        <w:pStyle w:val="BodyText"/>
      </w:pPr>
      <w:r>
        <w:t xml:space="preserve">Day-to-day analyses similarly revealed weak correlation between maximum wind exposure and cluster size changes (r = 0.13, n = 96). All observation periods in this analysis experienced maximum wind speeds exceeding the proposed 2 m/s behavioral threshold. Despite consistent exposure to winds above the threshold, no clear pattern emerged linking wind intensity to subsequent roost abandonment or growth.</w:t>
      </w:r>
    </w:p>
    <w:p>
      <w:pPr>
        <w:pStyle w:val="BodyText"/>
      </w:pPr>
      <w:r>
        <w:t xml:space="preserve">These null bivariate relationships indicated that wind speed alone cannot predict monarch clustering behavior, necessitating examination of more complex environmental interactions and conditional relationships that may modulate wind effects.</w:t>
      </w:r>
    </w:p>
    <w:bookmarkStart w:id="31" w:name="fig:wind_bivariate_30min"/>
    <w:p>
      <w:pPr>
        <w:pStyle w:val="CaptionedFigure"/>
      </w:pPr>
      <w:r>
        <w:drawing>
          <wp:inline>
            <wp:extent cx="4267200" cy="3657600"/>
            <wp:effectExtent b="0" l="0" r="0" t="0"/>
            <wp:docPr descr="" title="" id="29" name="Picture"/>
            <a:graphic>
              <a:graphicData uri="http://schemas.openxmlformats.org/drawingml/2006/picture">
                <pic:pic>
                  <pic:nvPicPr>
                    <pic:cNvPr descr="supplemental/results/30_min/figures/wind_vs_change_bivariate_untransformed.png" id="30" name="Picture"/>
                    <pic:cNvPicPr>
                      <a:picLocks noChangeArrowheads="1" noChangeAspect="1"/>
                    </pic:cNvPicPr>
                  </pic:nvPicPr>
                  <pic:blipFill>
                    <a:blip r:embed="rId28"/>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Relationship between maximum wind speed and butterfly abundance change at 30-minute intervals. Each point represents a paired observation (n = 1,894). The red dashed line indicates the proposed 2 m/s behavioral threshold (r = 0.04).</w:t>
      </w:r>
    </w:p>
    <w:bookmarkEnd w:id="31"/>
    <w:bookmarkStart w:id="35" w:name="fig:wind_bivariate_sunset"/>
    <w:p>
      <w:pPr>
        <w:pStyle w:val="CaptionedFigure"/>
      </w:pPr>
      <w:r>
        <w:drawing>
          <wp:inline>
            <wp:extent cx="4267200" cy="3657600"/>
            <wp:effectExtent b="0" l="0" r="0" t="0"/>
            <wp:docPr descr="" title="" id="33" name="Picture"/>
            <a:graphic>
              <a:graphicData uri="http://schemas.openxmlformats.org/drawingml/2006/picture">
                <pic:pic>
                  <pic:nvPicPr>
                    <pic:cNvPr descr="supplemental/results/sunset/figures/wind_vs_change_bivariate_untransformed.png" id="34" name="Picture"/>
                    <pic:cNvPicPr>
                      <a:picLocks noChangeArrowheads="1" noChangeAspect="1"/>
                    </pic:cNvPicPr>
                  </pic:nvPicPr>
                  <pic:blipFill>
                    <a:blip r:embed="rId32"/>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Relationship between maximum wind speed and day-to-day cluster size changes from maximum count to next sunset. Each point represents consecutive day pairs at the same deployment (n = 96). The red dashed line indicates the 2 m/s threshold. All 96 observations experienced winds exceeding this threshold (r = 0.13).</w:t>
      </w:r>
    </w:p>
    <w:bookmarkEnd w:id="35"/>
    <w:bookmarkEnd w:id="36"/>
    <w:bookmarkStart w:id="64" w:name="wind-disruption-analysis"/>
    <w:p>
      <w:pPr>
        <w:pStyle w:val="Heading2"/>
      </w:pPr>
      <w:r>
        <w:t xml:space="preserve">Wind Disruption Analysis</w:t>
      </w:r>
    </w:p>
    <w:p>
      <w:pPr>
        <w:pStyle w:val="FirstParagraph"/>
      </w:pPr>
      <w:r>
        <w:t xml:space="preserve">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bookmarkStart w:id="37" w:name="model-selection"/>
    <w:p>
      <w:pPr>
        <w:pStyle w:val="Heading3"/>
      </w:pPr>
      <w:r>
        <w:t xml:space="preserve">Model Selection</w:t>
      </w:r>
    </w:p>
    <w:p>
      <w:pPr>
        <w:pStyle w:val="FirstParagraph"/>
      </w:pPr>
      <w:r>
        <w:t xml:space="preserve">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 xml:space="preserve">[tab:export-model-selection-table]</w:t>
        </w:r>
      </w:hyperlink>
      <w:r>
        <w:t xml:space="preserve">). The next best model (M23) showed substantially weaker support with</w:t>
      </w:r>
      <w:r>
        <w:t xml:space="preserve"> </w:t>
      </w:r>
      <m:oMath>
        <m:r>
          <m:rPr>
            <m:sty m:val="p"/>
          </m:rPr>
          <m:t>Δ</m:t>
        </m:r>
      </m:oMath>
      <w:r>
        <w:t xml:space="preserve">AIC = 3.8 and only 12.6% model weight. Model M50 incorporated smooth terms for previous butterfly count, temperature, and time since sunrise, along with a tensor interaction between maximum wind speed and butterflies in direct sun.</w:t>
      </w:r>
    </w:p>
    <w:p>
      <w:pPr>
        <w:pStyle w:val="TableCaption"/>
      </w:pPr>
      <w:r>
        <w:t xml:space="preserve">Top 5 models ranked by AIC (30-minute analysis)</w:t>
      </w:r>
    </w:p>
    <w:tbl>
      <w:tblPr>
        <w:tblStyle w:val="Table"/>
        <w:tblW w:type="auto" w:w="0"/>
        <w:tblLook w:firstRow="1" w:lastRow="0" w:firstColumn="0" w:lastColumn="0" w:noHBand="0" w:noVBand="0" w:val="0020"/>
        <w:tblCaption w:val="Top 5 models ranked by AIC (30-minute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M50</w:t>
            </w:r>
          </w:p>
        </w:tc>
        <w:tc>
          <w:tcPr/>
          <w:p>
            <w:pPr>
              <w:pStyle w:val="Compact"/>
              <w:jc w:val="left"/>
            </w:pPr>
            <w:r>
              <w:t xml:space="preserve">Previous butterfly count, Temperature, Time since sunrise, Interaction (tensor): Maximum wind speed, Butterflies in direct sun</w:t>
            </w:r>
          </w:p>
        </w:tc>
        <w:tc>
          <w:tcPr/>
          <w:p>
            <w:pPr>
              <w:pStyle w:val="Compact"/>
              <w:jc w:val="right"/>
            </w:pPr>
            <w:r>
              <w:t xml:space="preserve">8074.03</w:t>
            </w:r>
          </w:p>
        </w:tc>
        <w:tc>
          <w:tcPr/>
          <w:p>
            <w:pPr>
              <w:pStyle w:val="Compact"/>
              <w:jc w:val="right"/>
            </w:pPr>
            <w:r>
              <w:t xml:space="preserve">0.00</w:t>
            </w:r>
          </w:p>
        </w:tc>
        <w:tc>
          <w:tcPr/>
          <w:p>
            <w:pPr>
              <w:pStyle w:val="Compact"/>
              <w:jc w:val="right"/>
            </w:pPr>
            <w:r>
              <w:t xml:space="preserve">0.86</w:t>
            </w:r>
          </w:p>
        </w:tc>
      </w:tr>
      <w:tr>
        <w:tc>
          <w:tcPr/>
          <w:p>
            <w:pPr>
              <w:pStyle w:val="Compact"/>
              <w:jc w:val="left"/>
            </w:pPr>
            <w:r>
              <w:t xml:space="preserve">M23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3.83</w:t>
            </w:r>
          </w:p>
        </w:tc>
        <w:tc>
          <w:tcPr/>
          <w:p>
            <w:pPr>
              <w:pStyle w:val="Compact"/>
              <w:jc w:val="right"/>
            </w:pPr>
            <w:r>
              <w:t xml:space="preserve">0.13</w:t>
            </w:r>
          </w:p>
        </w:tc>
      </w:tr>
      <w:tr>
        <w:tc>
          <w:tcPr/>
          <w:p>
            <w:pPr>
              <w:pStyle w:val="Compact"/>
              <w:jc w:val="left"/>
            </w:pPr>
            <w:r>
              <w:t xml:space="preserve">M22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8.87</w:t>
            </w:r>
          </w:p>
        </w:tc>
        <w:tc>
          <w:tcPr/>
          <w:p>
            <w:pPr>
              <w:pStyle w:val="Compact"/>
              <w:jc w:val="right"/>
            </w:pPr>
            <w:r>
              <w:t xml:space="preserve">0.01</w:t>
            </w:r>
          </w:p>
        </w:tc>
      </w:tr>
      <w:tr>
        <w:tc>
          <w:tcPr/>
          <w:p>
            <w:pPr>
              <w:pStyle w:val="Compact"/>
              <w:jc w:val="left"/>
            </w:pPr>
            <w:r>
              <w:t xml:space="preserve">M24</w:t>
            </w:r>
          </w:p>
        </w:tc>
        <w:tc>
          <w:tcPr/>
          <w:p>
            <w:pPr>
              <w:pStyle w:val="Compact"/>
              <w:jc w:val="left"/>
            </w:pPr>
            <w:r>
              <w:t xml:space="preserve">Previous butterfly count, Maximum wind speed, Temperature, Butterflies in direct sun, Time since sunrise</w:t>
            </w:r>
          </w:p>
        </w:tc>
        <w:tc>
          <w:tcPr/>
          <w:p>
            <w:pPr>
              <w:pStyle w:val="Compact"/>
              <w:jc w:val="right"/>
            </w:pPr>
            <w:r>
              <w:t xml:space="preserve">8084.05</w:t>
            </w:r>
          </w:p>
        </w:tc>
        <w:tc>
          <w:tcPr/>
          <w:p>
            <w:pPr>
              <w:pStyle w:val="Compact"/>
              <w:jc w:val="right"/>
            </w:pPr>
            <w:r>
              <w:t xml:space="preserve">10.02</w:t>
            </w:r>
          </w:p>
        </w:tc>
        <w:tc>
          <w:tcPr/>
          <w:p>
            <w:pPr>
              <w:pStyle w:val="Compact"/>
              <w:jc w:val="right"/>
            </w:pPr>
            <w:r>
              <w:t xml:space="preserve">0.01</w:t>
            </w:r>
          </w:p>
        </w:tc>
      </w:tr>
      <w:tr>
        <w:tc>
          <w:tcPr/>
          <w:p>
            <w:pPr>
              <w:pStyle w:val="Compact"/>
              <w:jc w:val="left"/>
            </w:pPr>
            <w:r>
              <w:t xml:space="preserve">M52</w:t>
            </w:r>
          </w:p>
        </w:tc>
        <w:tc>
          <w:tcPr/>
          <w:p>
            <w:pPr>
              <w:pStyle w:val="Compact"/>
              <w:jc w:val="left"/>
            </w:pPr>
            <w:r>
              <w:t xml:space="preserve">Temperature, Time since sunrise, Interaction (tensor): Maximum wind speed, Butterflies in direct sun</w:t>
            </w:r>
          </w:p>
        </w:tc>
        <w:tc>
          <w:tcPr/>
          <w:p>
            <w:pPr>
              <w:pStyle w:val="Compact"/>
              <w:jc w:val="right"/>
            </w:pPr>
            <w:r>
              <w:t xml:space="preserve">8092.72</w:t>
            </w:r>
          </w:p>
        </w:tc>
        <w:tc>
          <w:tcPr/>
          <w:p>
            <w:pPr>
              <w:pStyle w:val="Compact"/>
              <w:jc w:val="right"/>
            </w:pPr>
            <w:r>
              <w:t xml:space="preserve">18.69</w:t>
            </w:r>
          </w:p>
        </w:tc>
        <w:tc>
          <w:tcPr/>
          <w:p>
            <w:pPr>
              <w:pStyle w:val="Compact"/>
              <w:jc w:val="right"/>
            </w:pPr>
            <w:r>
              <w:t xml:space="preserve">0.00</w:t>
            </w:r>
          </w:p>
        </w:tc>
      </w:tr>
    </w:tbl>
    <w:bookmarkEnd w:id="37"/>
    <w:bookmarkStart w:id="47" w:name="analysis-of-best-fit-model"/>
    <w:p>
      <w:pPr>
        <w:pStyle w:val="Heading3"/>
      </w:pPr>
      <w:r>
        <w:t xml:space="preserve">Analysis of Best Fit Model</w:t>
      </w:r>
    </w:p>
    <w:p>
      <w:pPr>
        <w:pStyle w:val="FirstParagraph"/>
      </w:pPr>
      <w:r>
        <w:t xml:space="preserve">The best-fit model (M50) predicted change in butterfly abundance as a function of: (1) the previous observation’s butterfly count, (2) average temperature, (3) time since sunrise, and (4) an interaction between maximum wind gust speed and the number of butterflies in direct sunlight.</w:t>
      </w:r>
    </w:p>
    <w:p>
      <w:pPr>
        <w:pStyle w:val="BodyText"/>
      </w:pPr>
      <w:r>
        <w:t xml:space="preserve">Statistical analysis of the model revealed significant effects for three of the four predictors (Table </w:t>
      </w:r>
      <w:hyperlink w:anchor="tab:m50_summary">
        <w:r>
          <w:rPr>
            <w:rStyle w:val="Hyperlink"/>
          </w:rPr>
          <w:t xml:space="preserve">1</w:t>
        </w:r>
      </w:hyperlink>
      <w:r>
        <w:t xml:space="preserve">). The previous butterfly count (F = 12.50, p</w:t>
      </w:r>
      <w:r>
        <w:t xml:space="preserve"> </w:t>
      </w:r>
      <m:oMath>
        <m:r>
          <m:rPr>
            <m:sty m:val="p"/>
          </m:rPr>
          <m:t>&lt;</m:t>
        </m:r>
      </m:oMath>
      <w:r>
        <w:t xml:space="preserve"> </w:t>
      </w:r>
      <w:r>
        <w:t xml:space="preserve">0.001), time since sunrise (F = 9.85, p</w:t>
      </w:r>
      <w:r>
        <w:t xml:space="preserve"> </w:t>
      </w:r>
      <m:oMath>
        <m:r>
          <m:rPr>
            <m:sty m:val="p"/>
          </m:rPr>
          <m:t>&lt;</m:t>
        </m:r>
      </m:oMath>
      <w:r>
        <w:t xml:space="preserve"> </w:t>
      </w:r>
      <w:r>
        <w:t xml:space="preserve">0.001), and the wind-sunlight interaction (F = 4.67, p</w:t>
      </w:r>
      <w:r>
        <w:t xml:space="preserve"> </w:t>
      </w:r>
      <m:oMath>
        <m:r>
          <m:rPr>
            <m:sty m:val="p"/>
          </m:rPr>
          <m:t>&lt;</m:t>
        </m:r>
      </m:oMath>
      <w:r>
        <w:t xml:space="preserve"> </w:t>
      </w:r>
      <w:r>
        <w:t xml:space="preserve">0.001) all showed strong statistical significance. Temperature effects approached but did not reach conventional significance thresholds (F = 3.19, p = 0.057). The model explained 6.4% of the variance in butterfly abundance changes (adjusted</w:t>
      </w:r>
      <w:r>
        <w:t xml:space="preserve"> </w:t>
      </w:r>
      <m:oMath>
        <m:sSup>
          <m:e>
            <m:r>
              <m:t>R</m:t>
            </m:r>
          </m:e>
          <m:sup>
            <m:r>
              <m:t>2</m:t>
            </m:r>
          </m:sup>
        </m:sSup>
      </m:oMath>
      <w:r>
        <w:t xml:space="preserve"> </w:t>
      </w:r>
      <w:r>
        <w:t xml:space="preserve">= 0.064, n = 1894).</w:t>
      </w:r>
    </w:p>
    <w:bookmarkStart w:id="38" w:name="tab:m50_summary"/>
    <w:p>
      <w:pPr>
        <w:pStyle w:val="TableCaption"/>
      </w:pPr>
      <w:r>
        <w:t xml:space="preserve">Summary of best-fit model (M50) for predicting changes in butterfly abundance. The model uses cube-root transformed butterfly count differences as the response variable.</w:t>
      </w:r>
    </w:p>
    <w:tbl>
      <w:tblPr>
        <w:tblStyle w:val="Table"/>
        <w:tblW w:type="auto" w:w="0"/>
        <w:tblLook w:firstRow="1" w:lastRow="0" w:firstColumn="0" w:lastColumn="0" w:noHBand="0" w:noVBand="0" w:val="0020"/>
        <w:tblCaption w:val="Summary of best-fit model (M50) for predicting changes in butterfly abundance. The model uses cube-root transformed butterfly count differences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butterfly count</w:t>
            </w:r>
          </w:p>
        </w:tc>
        <w:tc>
          <w:tcPr/>
          <w:p>
            <w:pPr>
              <w:pStyle w:val="Compact"/>
              <w:jc w:val="center"/>
            </w:pPr>
            <w:r>
              <w:t xml:space="preserve">2.41</w:t>
            </w:r>
          </w:p>
        </w:tc>
        <w:tc>
          <w:tcPr/>
          <w:p>
            <w:pPr>
              <w:pStyle w:val="Compact"/>
              <w:jc w:val="center"/>
            </w:pPr>
            <w:r>
              <w:t xml:space="preserve">2.41</w:t>
            </w:r>
          </w:p>
        </w:tc>
        <w:tc>
          <w:tcPr/>
          <w:p>
            <w:pPr>
              <w:pStyle w:val="Compact"/>
              <w:jc w:val="center"/>
            </w:pPr>
            <w:r>
              <w:t xml:space="preserve">12.50</w:t>
            </w:r>
          </w:p>
        </w:tc>
        <w:tc>
          <w:tcPr/>
          <w:p>
            <w:pPr>
              <w:pStyle w:val="Compact"/>
              <w:jc w:val="center"/>
            </w:pPr>
            <m:oMath>
              <m:r>
                <m:rPr>
                  <m:sty m:val="p"/>
                </m:rPr>
                <m:t>&lt;</m:t>
              </m:r>
            </m:oMath>
            <w:r>
              <w:t xml:space="preserve"> </w:t>
            </w:r>
            <w:r>
              <w:t xml:space="preserve">0.001***</w:t>
            </w:r>
          </w:p>
        </w:tc>
      </w:tr>
      <w:tr>
        <w:tc>
          <w:tcPr/>
          <w:p>
            <w:pPr>
              <w:pStyle w:val="Compact"/>
              <w:jc w:val="left"/>
            </w:pPr>
            <w:r>
              <w:t xml:space="preserve">Average temperature</w:t>
            </w:r>
          </w:p>
        </w:tc>
        <w:tc>
          <w:tcPr/>
          <w:p>
            <w:pPr>
              <w:pStyle w:val="Compact"/>
              <w:jc w:val="center"/>
            </w:pPr>
            <w:r>
              <w:t xml:space="preserve">3.68</w:t>
            </w:r>
          </w:p>
        </w:tc>
        <w:tc>
          <w:tcPr/>
          <w:p>
            <w:pPr>
              <w:pStyle w:val="Compact"/>
              <w:jc w:val="center"/>
            </w:pPr>
            <w:r>
              <w:t xml:space="preserve">3.68</w:t>
            </w:r>
          </w:p>
        </w:tc>
        <w:tc>
          <w:tcPr/>
          <w:p>
            <w:pPr>
              <w:pStyle w:val="Compact"/>
              <w:jc w:val="center"/>
            </w:pPr>
            <w:r>
              <w:t xml:space="preserve">3.19</w:t>
            </w:r>
          </w:p>
        </w:tc>
        <w:tc>
          <w:tcPr/>
          <w:p>
            <w:pPr>
              <w:pStyle w:val="Compact"/>
              <w:jc w:val="center"/>
            </w:pPr>
            <w:r>
              <w:t xml:space="preserve">0.057</w:t>
            </w:r>
          </w:p>
        </w:tc>
      </w:tr>
      <w:tr>
        <w:tc>
          <w:tcPr/>
          <w:p>
            <w:pPr>
              <w:pStyle w:val="Compact"/>
              <w:jc w:val="left"/>
            </w:pPr>
            <w:r>
              <w:t xml:space="preserve">Time since sunrise</w:t>
            </w:r>
          </w:p>
        </w:tc>
        <w:tc>
          <w:tcPr/>
          <w:p>
            <w:pPr>
              <w:pStyle w:val="Compact"/>
              <w:jc w:val="center"/>
            </w:pPr>
            <w:r>
              <w:t xml:space="preserve">4.87</w:t>
            </w:r>
          </w:p>
        </w:tc>
        <w:tc>
          <w:tcPr/>
          <w:p>
            <w:pPr>
              <w:pStyle w:val="Compact"/>
              <w:jc w:val="center"/>
            </w:pPr>
            <w:r>
              <w:t xml:space="preserve">4.87</w:t>
            </w:r>
          </w:p>
        </w:tc>
        <w:tc>
          <w:tcPr/>
          <w:p>
            <w:pPr>
              <w:pStyle w:val="Compact"/>
              <w:jc w:val="center"/>
            </w:pPr>
            <w:r>
              <w:t xml:space="preserve">9.85</w:t>
            </w:r>
          </w:p>
        </w:tc>
        <w:tc>
          <w:tcPr/>
          <w:p>
            <w:pPr>
              <w:pStyle w:val="Compact"/>
              <w:jc w:val="center"/>
            </w:pPr>
            <m:oMath>
              <m:r>
                <m:rPr>
                  <m:sty m:val="p"/>
                </m:rPr>
                <m:t>&lt;</m:t>
              </m:r>
            </m:oMath>
            <w:r>
              <w:t xml:space="preserve"> </w:t>
            </w:r>
            <w:r>
              <w:t xml:space="preserve">0.001***</w:t>
            </w:r>
          </w:p>
        </w:tc>
      </w:tr>
      <w:tr>
        <w:tc>
          <w:tcPr/>
          <w:p>
            <w:pPr>
              <w:pStyle w:val="Compact"/>
              <w:jc w:val="left"/>
            </w:pPr>
            <w:r>
              <w:t xml:space="preserve">Wind gust × Sunlight exposure</w:t>
            </w:r>
          </w:p>
        </w:tc>
        <w:tc>
          <w:tcPr/>
          <w:p>
            <w:pPr>
              <w:pStyle w:val="Compact"/>
              <w:jc w:val="center"/>
            </w:pPr>
            <w:r>
              <w:t xml:space="preserve">7.35</w:t>
            </w:r>
          </w:p>
        </w:tc>
        <w:tc>
          <w:tcPr/>
          <w:p>
            <w:pPr>
              <w:pStyle w:val="Compact"/>
              <w:jc w:val="center"/>
            </w:pPr>
            <w:r>
              <w:t xml:space="preserve">7.35</w:t>
            </w:r>
          </w:p>
        </w:tc>
        <w:tc>
          <w:tcPr/>
          <w:p>
            <w:pPr>
              <w:pStyle w:val="Compact"/>
              <w:jc w:val="center"/>
            </w:pPr>
            <w:r>
              <w:t xml:space="preserve">4.67</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0.064, Scale est. = 4.03, n = 1894</w:t>
            </w:r>
          </w:p>
        </w:tc>
      </w:tr>
    </w:tbl>
    <w:bookmarkEnd w:id="38"/>
    <w:p>
      <w:pPr>
        <w:pStyle w:val="BodyText"/>
      </w:pPr>
      <w:r>
        <w:t xml:space="preserve">Partial effects for the smooth terms are shown in Figure </w:t>
      </w:r>
      <w:hyperlink w:anchor="fig:partial_effects_30min">
        <w:r>
          <w:rPr>
            <w:rStyle w:val="Hyperlink"/>
          </w:rPr>
          <w:t xml:space="preserve">3</w:t>
        </w:r>
      </w:hyperlink>
      <w:r>
        <w:t xml:space="preserve">. The previous butterfly count showed a significant non-linear negative relationship (p &lt; 0.001) consistent with proportionally greater departures from larger aggregations. Time since sunrise captured a significant diurnal pattern (p &lt; 0.001) with morning departures and afternoon returns. Temperature showed a marginally non-significant trend (p = 0.057) suggesting possible effects near the 12.7–16°C flight threshold range.</w:t>
      </w:r>
    </w:p>
    <w:bookmarkStart w:id="42" w:name="fig:partial_effects_30min"/>
    <w:p>
      <w:pPr>
        <w:pStyle w:val="CaptionedFigure"/>
      </w:pPr>
      <w:r>
        <w:drawing>
          <wp:inline>
            <wp:extent cx="5334000" cy="1752600"/>
            <wp:effectExtent b="0" l="0" r="0" t="0"/>
            <wp:docPr descr="" title="" id="40" name="Picture"/>
            <a:graphic>
              <a:graphicData uri="http://schemas.openxmlformats.org/drawingml/2006/picture">
                <pic:pic>
                  <pic:nvPicPr>
                    <pic:cNvPr descr="supplemental/results/30_min/figures/partial_effects_best_1x3.png" id="41" name="Picture"/>
                    <pic:cNvPicPr>
                      <a:picLocks noChangeArrowheads="1" noChangeAspect="1"/>
                    </pic:cNvPicPr>
                  </pic:nvPicPr>
                  <pic:blipFill>
                    <a:blip r:embed="rId39"/>
                    <a:stretch>
                      <a:fillRect/>
                    </a:stretch>
                  </pic:blipFill>
                  <pic:spPr bwMode="auto">
                    <a:xfrm>
                      <a:off x="0" y="0"/>
                      <a:ext cx="5334000" cy="1752600"/>
                    </a:xfrm>
                    <a:prstGeom prst="rect">
                      <a:avLst/>
                    </a:prstGeom>
                    <a:noFill/>
                    <a:ln w="9525">
                      <a:noFill/>
                      <a:headEnd/>
                      <a:tailEnd/>
                    </a:ln>
                  </pic:spPr>
                </pic:pic>
              </a:graphicData>
            </a:graphic>
          </wp:inline>
        </w:drawing>
      </w:r>
    </w:p>
    <w:p>
      <w:pPr>
        <w:pStyle w:val="ImageCaption"/>
      </w:pPr>
      <w:r>
        <w:t xml:space="preserve">Partial effects of environmental predictors on monarch butterfly abundance changes from the best-fit GAMM model (M50). Shaded regions represent 95% confidence intervals.</w:t>
      </w:r>
    </w:p>
    <w:bookmarkEnd w:id="42"/>
    <w:p>
      <w:pPr>
        <w:pStyle w:val="BodyText"/>
      </w:pPr>
      <w:r>
        <w:t xml:space="preserve">The tensor interaction between wind speed and butterflies in direct sun (p &lt; 0.001) revealed a complex conditional relationship where wind effects depended on solar exposure conditions (Figure </w:t>
      </w:r>
      <w:hyperlink w:anchor="fig:interaction_wind_sun">
        <w:r>
          <w:rPr>
            <w:rStyle w:val="Hyperlink"/>
          </w:rPr>
          <w:t xml:space="preserve">4</w:t>
        </w:r>
      </w:hyperlink>
      <w:r>
        <w:t xml:space="preserve">).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while higher counts led to increasing cluster sizes.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bookmarkStart w:id="46" w:name="fig:interaction_wind_sun"/>
    <w:p>
      <w:pPr>
        <w:pStyle w:val="CaptionedFigure"/>
      </w:pPr>
      <w:r>
        <w:drawing>
          <wp:inline>
            <wp:extent cx="4267200" cy="3657600"/>
            <wp:effectExtent b="0" l="0" r="0" t="0"/>
            <wp:docPr descr="" title="" id="44" name="Picture"/>
            <a:graphic>
              <a:graphicData uri="http://schemas.openxmlformats.org/drawingml/2006/picture">
                <pic:pic>
                  <pic:nvPicPr>
                    <pic:cNvPr descr="supplemental/results/30_min/figures/interaction_wind_x_sun_binned.png" id="45" name="Picture"/>
                    <pic:cNvPicPr>
                      <a:picLocks noChangeArrowheads="1" noChangeAspect="1"/>
                    </pic:cNvPicPr>
                  </pic:nvPicPr>
                  <pic:blipFill>
                    <a:blip r:embed="rId4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speed (m/s) and butterflies in direct sun on cluster size changes. Color gradient indicates partial effect magnitude (red = positive, blue = negative). Black points show observed data distribution. Red dashed line marks the 2 m/s behavioral threshold. Gray regions indicate areas beyond reliable interpolation range.</w:t>
      </w:r>
    </w:p>
    <w:bookmarkEnd w:id="46"/>
    <w:bookmarkEnd w:id="47"/>
    <w:bookmarkStart w:id="57" w:name="model-diagnostics"/>
    <w:p>
      <w:pPr>
        <w:pStyle w:val="Heading3"/>
      </w:pPr>
      <w:r>
        <w:t xml:space="preserve">Model Diagnostics</w:t>
      </w:r>
    </w:p>
    <w:p>
      <w:pPr>
        <w:pStyle w:val="FirstParagraph"/>
      </w:pPr>
      <w:r>
        <w:t xml:space="preserve">Model diagnostic plots confirmed the adequacy of the GAMM specification (Figure </w:t>
      </w:r>
      <w:hyperlink w:anchor="fig:model_diagnostics_30min">
        <w:r>
          <w:rPr>
            <w:rStyle w:val="Hyperlink"/>
          </w:rPr>
          <w:t xml:space="preserve">5</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large sample size and complexity of ecological data.</w:t>
      </w:r>
    </w:p>
    <w:bookmarkStart w:id="51" w:name="fig:model_diagnostics_30min"/>
    <w:p>
      <w:pPr>
        <w:pStyle w:val="CaptionedFigure"/>
      </w:pPr>
      <w:r>
        <w:drawing>
          <wp:inline>
            <wp:extent cx="4800600" cy="2000250"/>
            <wp:effectExtent b="0" l="0" r="0" t="0"/>
            <wp:docPr descr="" title="" id="49" name="Picture"/>
            <a:graphic>
              <a:graphicData uri="http://schemas.openxmlformats.org/drawingml/2006/picture">
                <pic:pic>
                  <pic:nvPicPr>
                    <pic:cNvPr descr="supplemental/results/30_min/figures/diag_qq_and_residuals_1x2.png" id="50" name="Picture"/>
                    <pic:cNvPicPr>
                      <a:picLocks noChangeArrowheads="1" noChangeAspect="1"/>
                    </pic:cNvPicPr>
                  </pic:nvPicPr>
                  <pic:blipFill>
                    <a:blip r:embed="rId4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(M50). Left panel shows quantile-quantile plot comparing model residuals to theoretical normal distribution. Right panel displays residuals versus fitted values to assess homoscedasticity and model adequacy.</w:t>
      </w:r>
    </w:p>
    <w:bookmarkEnd w:id="51"/>
    <w:p>
      <w:pPr>
        <w:pStyle w:val="BodyText"/>
      </w:pPr>
      <w:r>
        <w:t xml:space="preserve">Basis dimension checks confirmed adequate smoothing parameter selection for all model terms (Table </w:t>
      </w:r>
      <w:hyperlink w:anchor="tab:gam_basis_check">
        <w:r>
          <w:rPr>
            <w:rStyle w:val="Hyperlink"/>
          </w:rPr>
          <w:t xml:space="preserve">2</w:t>
        </w:r>
      </w:hyperlink>
      <w:r>
        <w:t xml:space="preserve">).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bookmarkStart w:id="52" w:name="tab:gam_basis_check"/>
    <w:p>
      <w:pPr>
        <w:pStyle w:val="TableCaption"/>
      </w:pPr>
      <w:r>
        <w:t xml:space="preserve">Basis dimension adequacy checks for smooth terms in best-fit GAMM model (M50). Low p-values (k-index &lt; 1) may indicate insufficient basis dimensions, particularly when edf approaches k’.</w:t>
      </w:r>
    </w:p>
    <w:tbl>
      <w:tblPr>
        <w:tblStyle w:val="Table"/>
        <w:tblW w:type="auto" w:w="0"/>
        <w:tblLook w:firstRow="1" w:lastRow="0" w:firstColumn="0" w:lastColumn="0" w:noHBand="0" w:noVBand="0" w:val="0020"/>
        <w:tblCaption w:val="Basis dimension adequacy checks for smooth terms in best-fit GAMM model (M50). Low p-values (k-index &lt; 1) may indicate insufficient basis dimensions, particularly when edf approaches k’."/>
      </w:tblPr>
      <w:tblGrid>
        <w:gridCol w:w="1584"/>
        <w:gridCol w:w="1584"/>
        <w:gridCol w:w="1584"/>
        <w:gridCol w:w="1584"/>
        <w:gridCol w:w="1584"/>
      </w:tblGrid>
      <w:tr>
        <w:trPr>
          <w:tblHeader w:val="on"/>
        </w:trPr>
        <w:tc>
          <w:tcPr/>
          <w:p>
            <w:pPr>
              <w:pStyle w:val="Compact"/>
              <w:jc w:val="left"/>
            </w:pPr>
            <w:r>
              <w:t xml:space="preserve">Smooth Term</w:t>
            </w:r>
          </w:p>
        </w:tc>
        <w:tc>
          <w:tcPr/>
          <w:p>
            <w:pPr>
              <w:pStyle w:val="Compact"/>
              <w:jc w:val="right"/>
            </w:pPr>
            <w:r>
              <w:t xml:space="preserve">k’</w:t>
            </w:r>
          </w:p>
        </w:tc>
        <w:tc>
          <w:tcPr/>
          <w:p>
            <w:pPr>
              <w:pStyle w:val="Compact"/>
              <w:jc w:val="right"/>
            </w:pPr>
            <w:r>
              <w:t xml:space="preserve">edf</w:t>
            </w:r>
          </w:p>
        </w:tc>
        <w:tc>
          <w:tcPr/>
          <w:p>
            <w:pPr>
              <w:pStyle w:val="Compact"/>
              <w:jc w:val="right"/>
            </w:pPr>
            <w:r>
              <w:t xml:space="preserve">k-index</w:t>
            </w:r>
          </w:p>
        </w:tc>
        <w:tc>
          <w:tcPr/>
          <w:p>
            <w:pPr>
              <w:pStyle w:val="Compact"/>
              <w:jc w:val="center"/>
            </w:pPr>
            <w:r>
              <w:t xml:space="preserve">p-value</w:t>
            </w:r>
          </w:p>
        </w:tc>
      </w:tr>
      <w:tr>
        <w:tc>
          <w:tcPr/>
          <w:p>
            <w:pPr>
              <w:pStyle w:val="Compact"/>
              <w:jc w:val="left"/>
            </w:pPr>
            <w:r>
              <w:t xml:space="preserve">s(total butterflies</w:t>
            </w:r>
            <w:r>
              <w:t xml:space="preserve"> </w:t>
            </w:r>
            <m:oMath>
              <m:sSub>
                <m:e>
                  <m:r>
                    <m:t>t</m:t>
                  </m:r>
                </m:e>
                <m:sub>
                  <m:r>
                    <m:t>l</m:t>
                  </m:r>
                  <m:r>
                    <m:t>a</m:t>
                  </m:r>
                  <m:r>
                    <m:t>g</m:t>
                  </m:r>
                </m:sub>
              </m:sSub>
            </m:oMath>
            <w:r>
              <w:t xml:space="preserve">)</w:t>
            </w:r>
          </w:p>
        </w:tc>
        <w:tc>
          <w:tcPr/>
          <w:p>
            <w:pPr>
              <w:pStyle w:val="Compact"/>
              <w:jc w:val="right"/>
            </w:pPr>
            <w:r>
              <w:t xml:space="preserve">9.00</w:t>
            </w:r>
          </w:p>
        </w:tc>
        <w:tc>
          <w:tcPr/>
          <w:p>
            <w:pPr>
              <w:pStyle w:val="Compact"/>
              <w:jc w:val="right"/>
            </w:pPr>
            <w:r>
              <w:t xml:space="preserve">2.41</w:t>
            </w:r>
          </w:p>
        </w:tc>
        <w:tc>
          <w:tcPr/>
          <w:p>
            <w:pPr>
              <w:pStyle w:val="Compact"/>
              <w:jc w:val="right"/>
            </w:pPr>
            <w:r>
              <w:t xml:space="preserve">1.00</w:t>
            </w:r>
          </w:p>
        </w:tc>
        <w:tc>
          <w:tcPr/>
          <w:p>
            <w:pPr>
              <w:pStyle w:val="Compact"/>
              <w:jc w:val="center"/>
            </w:pPr>
            <w:r>
              <w:t xml:space="preserve">0.735</w:t>
            </w:r>
          </w:p>
        </w:tc>
      </w:tr>
      <w:tr>
        <w:tc>
          <w:tcPr/>
          <w:p>
            <w:pPr>
              <w:pStyle w:val="Compact"/>
              <w:jc w:val="left"/>
            </w:pPr>
            <w:r>
              <w:t xml:space="preserve">s(temperature avg)</w:t>
            </w:r>
          </w:p>
        </w:tc>
        <w:tc>
          <w:tcPr/>
          <w:p>
            <w:pPr>
              <w:pStyle w:val="Compact"/>
              <w:jc w:val="right"/>
            </w:pPr>
            <w:r>
              <w:t xml:space="preserve">9.00</w:t>
            </w:r>
          </w:p>
        </w:tc>
        <w:tc>
          <w:tcPr/>
          <w:p>
            <w:pPr>
              <w:pStyle w:val="Compact"/>
              <w:jc w:val="right"/>
            </w:pPr>
            <w:r>
              <w:t xml:space="preserve">3.67</w:t>
            </w:r>
          </w:p>
        </w:tc>
        <w:tc>
          <w:tcPr/>
          <w:p>
            <w:pPr>
              <w:pStyle w:val="Compact"/>
              <w:jc w:val="right"/>
            </w:pPr>
            <w:r>
              <w:t xml:space="preserve">1.02</w:t>
            </w:r>
          </w:p>
        </w:tc>
        <w:tc>
          <w:tcPr/>
          <w:p>
            <w:pPr>
              <w:pStyle w:val="Compact"/>
              <w:jc w:val="center"/>
            </w:pPr>
            <w:r>
              <w:t xml:space="preserve">0.895</w:t>
            </w:r>
          </w:p>
        </w:tc>
      </w:tr>
      <w:tr>
        <w:tc>
          <w:tcPr/>
          <w:p>
            <w:pPr>
              <w:pStyle w:val="Compact"/>
              <w:jc w:val="left"/>
            </w:pPr>
            <w:r>
              <w:t xml:space="preserve">s(time within day</w:t>
            </w:r>
            <w:r>
              <w:t xml:space="preserve"> </w:t>
            </w:r>
            <m:oMath>
              <m:r>
                <m:t>t</m:t>
              </m:r>
            </m:oMath>
            <w:r>
              <w:t xml:space="preserve">)</w:t>
            </w:r>
          </w:p>
        </w:tc>
        <w:tc>
          <w:tcPr/>
          <w:p>
            <w:pPr>
              <w:pStyle w:val="Compact"/>
              <w:jc w:val="right"/>
            </w:pPr>
            <w:r>
              <w:t xml:space="preserve">9.00</w:t>
            </w:r>
          </w:p>
        </w:tc>
        <w:tc>
          <w:tcPr/>
          <w:p>
            <w:pPr>
              <w:pStyle w:val="Compact"/>
              <w:jc w:val="right"/>
            </w:pPr>
            <w:r>
              <w:t xml:space="preserve">4.87</w:t>
            </w:r>
          </w:p>
        </w:tc>
        <w:tc>
          <w:tcPr/>
          <w:p>
            <w:pPr>
              <w:pStyle w:val="Compact"/>
              <w:jc w:val="right"/>
            </w:pPr>
            <w:r>
              <w:t xml:space="preserve">0.96</w:t>
            </w:r>
          </w:p>
        </w:tc>
        <w:tc>
          <w:tcPr/>
          <w:p>
            <w:pPr>
              <w:pStyle w:val="Compact"/>
              <w:jc w:val="center"/>
            </w:pPr>
            <w:r>
              <w:t xml:space="preserve">0.065</w:t>
            </w:r>
          </w:p>
        </w:tc>
      </w:tr>
      <w:tr>
        <w:tc>
          <w:tcPr/>
          <w:p>
            <w:pPr>
              <w:pStyle w:val="Compact"/>
              <w:jc w:val="left"/>
            </w:pPr>
            <w:r>
              <w:t xml:space="preserve">ti(max gust, butterflies direct sun</w:t>
            </w:r>
            <w:r>
              <w:t xml:space="preserve"> </w:t>
            </w:r>
            <m:oMath>
              <m:sSub>
                <m:e>
                  <m:r>
                    <m:t>t</m:t>
                  </m:r>
                </m:e>
                <m:sub>
                  <m:r>
                    <m:t>l</m:t>
                  </m:r>
                  <m:r>
                    <m:t>a</m:t>
                  </m:r>
                  <m:r>
                    <m:t>g</m:t>
                  </m:r>
                </m:sub>
              </m:sSub>
            </m:oMath>
            <w:r>
              <w:t xml:space="preserve">)</w:t>
            </w:r>
          </w:p>
        </w:tc>
        <w:tc>
          <w:tcPr/>
          <w:p>
            <w:pPr>
              <w:pStyle w:val="Compact"/>
              <w:jc w:val="right"/>
            </w:pPr>
            <w:r>
              <w:t xml:space="preserve">16.00</w:t>
            </w:r>
          </w:p>
        </w:tc>
        <w:tc>
          <w:tcPr/>
          <w:p>
            <w:pPr>
              <w:pStyle w:val="Compact"/>
              <w:jc w:val="right"/>
            </w:pPr>
            <w:r>
              <w:t xml:space="preserve">7.35</w:t>
            </w:r>
          </w:p>
        </w:tc>
        <w:tc>
          <w:tcPr/>
          <w:p>
            <w:pPr>
              <w:pStyle w:val="Compact"/>
              <w:jc w:val="right"/>
            </w:pPr>
            <w:r>
              <w:t xml:space="preserve">0.99</w:t>
            </w:r>
          </w:p>
        </w:tc>
        <w:tc>
          <w:tcPr/>
          <w:p>
            <w:pPr>
              <w:pStyle w:val="Compact"/>
              <w:jc w:val="center"/>
            </w:pPr>
            <w:r>
              <w:t xml:space="preserve">0.490</w:t>
            </w:r>
          </w:p>
        </w:tc>
      </w:tr>
    </w:tbl>
    <w:bookmarkEnd w:id="52"/>
    <w:p>
      <w:pPr>
        <w:pStyle w:val="BodyText"/>
      </w:pPr>
      <w:r>
        <w:t xml:space="preserve">Temporal autocorrelation analysis revealed minimal residual correlation structure after accounting for the AR(1) correlation within deployment days (Figure </w:t>
      </w:r>
      <w:hyperlink w:anchor="fig:acf_diagnostics">
        <w:r>
          <w:rPr>
            <w:rStyle w:val="Hyperlink"/>
          </w:rPr>
          <w:t xml:space="preserve">6</w:t>
        </w:r>
      </w:hyperlink>
      <w:r>
        <w:t xml:space="preserve">).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bookmarkStart w:id="56" w:name="fig:acf_diagnostics"/>
    <w:p>
      <w:pPr>
        <w:pStyle w:val="CaptionedFigure"/>
      </w:pPr>
      <w:r>
        <w:drawing>
          <wp:inline>
            <wp:extent cx="4267200" cy="2844800"/>
            <wp:effectExtent b="0" l="0" r="0" t="0"/>
            <wp:docPr descr="" title="" id="54" name="Picture"/>
            <a:graphic>
              <a:graphicData uri="http://schemas.openxmlformats.org/drawingml/2006/picture">
                <pic:pic>
                  <pic:nvPicPr>
                    <pic:cNvPr descr="supplemental/results/30_min/figures/diag_acf.png" id="55" name="Picture"/>
                    <pic:cNvPicPr>
                      <a:picLocks noChangeArrowheads="1" noChangeAspect="1"/>
                    </pic:cNvPicPr>
                  </pic:nvPicPr>
                  <pic:blipFill>
                    <a:blip r:embed="rId53"/>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56"/>
    <w:bookmarkEnd w:id="57"/>
    <w:bookmarkStart w:id="63" w:name="sensitivity-analysis"/>
    <w:p>
      <w:pPr>
        <w:pStyle w:val="Heading3"/>
      </w:pPr>
      <w:r>
        <w:t xml:space="preserve">Sensitivity Analysis</w:t>
      </w:r>
    </w:p>
    <w:p>
      <w:pPr>
        <w:pStyle w:val="FirstParagraph"/>
      </w:pPr>
      <w:r>
        <w:t xml:space="preserve">To test the hypothesis that wind acts as a binary disruption threshold rather than a continuous variable, we repeated the entire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 xml:space="preserve">3</w:t>
        </w:r>
      </w:hyperlink>
      <w:r>
        <w:t xml:space="preserve">).</w:t>
      </w:r>
    </w:p>
    <w:p>
      <w:pPr>
        <w:pStyle w:val="BodyText"/>
      </w:pPr>
      <w:r>
        <w:t xml:space="preserve">While T50 achieved the lowest AIC among threshold models, it failed to decisively outperform simpler alternatives, capturing only 55.4% of model weight compared to 40.4% for the model without any wind term (T23). The negligible difference in AIC (</w:t>
      </w:r>
      <m:oMath>
        <m:r>
          <m:rPr>
            <m:sty m:val="p"/>
          </m:rPr>
          <m:t>Δ</m:t>
        </m:r>
      </m:oMath>
      <w:r>
        <w:t xml:space="preserve">AIC = 0.63) between these models indicates substantial uncertainty about whether the threshold wind variable improves predictions. Despite this weaker overall performance (adjusted</w:t>
      </w:r>
      <w:r>
        <w:t xml:space="preserve"> </w:t>
      </w:r>
      <m:oMath>
        <m:sSup>
          <m:e>
            <m:r>
              <m:t>R</m:t>
            </m:r>
          </m:e>
          <m:sup>
            <m:r>
              <m:t>2</m:t>
            </m:r>
          </m:sup>
        </m:sSup>
      </m:oMath>
      <w:r>
        <w:t xml:space="preserve"> </w:t>
      </w:r>
      <w:r>
        <w:t xml:space="preserve">=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bookmarkStart w:id="58" w:name="tab:threshold_model_selection"/>
    <w:p>
      <w:pPr>
        <w:pStyle w:val="TableCaption"/>
      </w:pPr>
      <w:r>
        <w:t xml:space="preserve">Top 5 models ranked by AIC (30-minute threshold analysis)</w:t>
      </w:r>
    </w:p>
    <w:tbl>
      <w:tblPr>
        <w:tblStyle w:val="Table"/>
        <w:tblW w:type="auto" w:w="0"/>
        <w:tblLook w:firstRow="1" w:lastRow="0" w:firstColumn="0" w:lastColumn="0" w:noHBand="0" w:noVBand="0" w:val="0020"/>
        <w:tblCaption w:val="Top 5 models ranked by AIC (30-minute threshold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T50</w:t>
            </w:r>
          </w:p>
        </w:tc>
        <w:tc>
          <w:tcPr/>
          <w:p>
            <w:pPr>
              <w:pStyle w:val="Compact"/>
              <w:jc w:val="left"/>
            </w:pPr>
            <w:r>
              <w:t xml:space="preserve">Previous butterfly count, Temperature, Time since sunrise, Interaction (tensor): Minutes above 2 m/s, Butterflies in direct sun</w:t>
            </w:r>
          </w:p>
        </w:tc>
        <w:tc>
          <w:tcPr/>
          <w:p>
            <w:pPr>
              <w:pStyle w:val="Compact"/>
              <w:jc w:val="right"/>
            </w:pPr>
            <w:r>
              <w:t xml:space="preserve">8077.23</w:t>
            </w:r>
          </w:p>
        </w:tc>
        <w:tc>
          <w:tcPr/>
          <w:p>
            <w:pPr>
              <w:pStyle w:val="Compact"/>
              <w:jc w:val="right"/>
            </w:pPr>
            <w:r>
              <w:t xml:space="preserve">0.00</w:t>
            </w:r>
          </w:p>
        </w:tc>
        <w:tc>
          <w:tcPr/>
          <w:p>
            <w:pPr>
              <w:pStyle w:val="Compact"/>
              <w:jc w:val="right"/>
            </w:pPr>
            <w:r>
              <w:t xml:space="preserve">0.55</w:t>
            </w:r>
          </w:p>
        </w:tc>
      </w:tr>
      <w:tr>
        <w:tc>
          <w:tcPr/>
          <w:p>
            <w:pPr>
              <w:pStyle w:val="Compact"/>
              <w:jc w:val="left"/>
            </w:pPr>
            <w:r>
              <w:t xml:space="preserve">T23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0.63</w:t>
            </w:r>
          </w:p>
        </w:tc>
        <w:tc>
          <w:tcPr/>
          <w:p>
            <w:pPr>
              <w:pStyle w:val="Compact"/>
              <w:jc w:val="right"/>
            </w:pPr>
            <w:r>
              <w:t xml:space="preserve">0.40</w:t>
            </w:r>
          </w:p>
        </w:tc>
      </w:tr>
      <w:tr>
        <w:tc>
          <w:tcPr/>
          <w:p>
            <w:pPr>
              <w:pStyle w:val="Compact"/>
              <w:jc w:val="left"/>
            </w:pPr>
            <w:r>
              <w:t xml:space="preserve">T22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5.67</w:t>
            </w:r>
          </w:p>
        </w:tc>
        <w:tc>
          <w:tcPr/>
          <w:p>
            <w:pPr>
              <w:pStyle w:val="Compact"/>
              <w:jc w:val="right"/>
            </w:pPr>
            <w:r>
              <w:t xml:space="preserve">0.03</w:t>
            </w:r>
          </w:p>
        </w:tc>
      </w:tr>
      <w:tr>
        <w:tc>
          <w:tcPr/>
          <w:p>
            <w:pPr>
              <w:pStyle w:val="Compact"/>
              <w:jc w:val="left"/>
            </w:pPr>
            <w:r>
              <w:t xml:space="preserve">T24</w:t>
            </w:r>
          </w:p>
        </w:tc>
        <w:tc>
          <w:tcPr/>
          <w:p>
            <w:pPr>
              <w:pStyle w:val="Compact"/>
              <w:jc w:val="left"/>
            </w:pPr>
            <w:r>
              <w:t xml:space="preserve">Previous butterfly count, Minutes above 2 m/s, Temperature, Butterflies in direct sun, Time since sunrise</w:t>
            </w:r>
          </w:p>
        </w:tc>
        <w:tc>
          <w:tcPr/>
          <w:p>
            <w:pPr>
              <w:pStyle w:val="Compact"/>
              <w:jc w:val="right"/>
            </w:pPr>
            <w:r>
              <w:t xml:space="preserve">8085.41</w:t>
            </w:r>
          </w:p>
        </w:tc>
        <w:tc>
          <w:tcPr/>
          <w:p>
            <w:pPr>
              <w:pStyle w:val="Compact"/>
              <w:jc w:val="right"/>
            </w:pPr>
            <w:r>
              <w:t xml:space="preserve">8.18</w:t>
            </w:r>
          </w:p>
        </w:tc>
        <w:tc>
          <w:tcPr/>
          <w:p>
            <w:pPr>
              <w:pStyle w:val="Compact"/>
              <w:jc w:val="right"/>
            </w:pPr>
            <w:r>
              <w:t xml:space="preserve">0.01</w:t>
            </w:r>
          </w:p>
        </w:tc>
      </w:tr>
      <w:tr>
        <w:tc>
          <w:tcPr/>
          <w:p>
            <w:pPr>
              <w:pStyle w:val="Compact"/>
              <w:jc w:val="left"/>
            </w:pPr>
            <w:r>
              <w:t xml:space="preserve">T47</w:t>
            </w:r>
          </w:p>
        </w:tc>
        <w:tc>
          <w:tcPr/>
          <w:p>
            <w:pPr>
              <w:pStyle w:val="Compact"/>
              <w:jc w:val="left"/>
            </w:pPr>
            <w:r>
              <w:t xml:space="preserve">Temperature, Butterflies in direct sun, Time since sunrise</w:t>
            </w:r>
          </w:p>
        </w:tc>
        <w:tc>
          <w:tcPr/>
          <w:p>
            <w:pPr>
              <w:pStyle w:val="Compact"/>
              <w:jc w:val="right"/>
            </w:pPr>
            <w:r>
              <w:t xml:space="preserve">8097.30</w:t>
            </w:r>
          </w:p>
        </w:tc>
        <w:tc>
          <w:tcPr/>
          <w:p>
            <w:pPr>
              <w:pStyle w:val="Compact"/>
              <w:jc w:val="right"/>
            </w:pPr>
            <w:r>
              <w:t xml:space="preserve">20.07</w:t>
            </w:r>
          </w:p>
        </w:tc>
        <w:tc>
          <w:tcPr/>
          <w:p>
            <w:pPr>
              <w:pStyle w:val="Compact"/>
              <w:jc w:val="right"/>
            </w:pPr>
            <w:r>
              <w:t xml:space="preserve">0.00</w:t>
            </w:r>
          </w:p>
        </w:tc>
      </w:tr>
    </w:tbl>
    <w:bookmarkEnd w:id="58"/>
    <w:p>
      <w:pPr>
        <w:pStyle w:val="BodyText"/>
      </w:pPr>
      <w:r>
        <w:t xml:space="preserve">The interaction plot from the threshold analysis reveals complex conditional relationships between wind exposure duration and solar conditions (Figure </w:t>
      </w:r>
      <w:hyperlink w:anchor="fig:threshold_interaction">
        <w:r>
          <w:rPr>
            <w:rStyle w:val="Hyperlink"/>
          </w:rPr>
          <w:t xml:space="preserve">7</w:t>
        </w:r>
      </w:hyperlink>
      <w:r>
        <w:t xml:space="preserve">).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pPr>
        <w:pStyle w:val="BodyText"/>
      </w:pPr>
      <w:r>
        <w:t xml:space="preserve">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pPr>
        <w:pStyle w:val="BodyText"/>
      </w:pPr>
      <w:r>
        <w:t xml:space="preserve">The same caveats apply regarding sparse data at the extremes and the limits of interpolation, particularly given that most observations occurred at low butterfly counts in direct sun.</w:t>
      </w:r>
    </w:p>
    <w:bookmarkStart w:id="62" w:name="fig:threshold_interaction"/>
    <w:p>
      <w:pPr>
        <w:pStyle w:val="CaptionedFigure"/>
      </w:pPr>
      <w:r>
        <w:drawing>
          <wp:inline>
            <wp:extent cx="4267200" cy="3657600"/>
            <wp:effectExtent b="0" l="0" r="0" t="0"/>
            <wp:docPr descr="" title="" id="60" name="Picture"/>
            <a:graphic>
              <a:graphicData uri="http://schemas.openxmlformats.org/drawingml/2006/picture">
                <pic:pic>
                  <pic:nvPicPr>
                    <pic:cNvPr descr="supplemental/results/30_min_threshold/figures/interaction_wind_x_sun_binned.png" id="61" name="Picture"/>
                    <pic:cNvPicPr>
                      <a:picLocks noChangeArrowheads="1" noChangeAspect="1"/>
                    </pic:cNvPicPr>
                  </pic:nvPicPr>
                  <pic:blipFill>
                    <a:blip r:embed="rId5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bookmarkEnd w:id="62"/>
    <w:bookmarkEnd w:id="63"/>
    <w:bookmarkEnd w:id="64"/>
    <w:bookmarkStart w:id="66" w:name="statistical-power-to-detect-wind-effects"/>
    <w:p>
      <w:pPr>
        <w:pStyle w:val="Heading2"/>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bookmarkStart w:id="65"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65"/>
    <w:bookmarkEnd w:id="66"/>
    <w:bookmarkStart w:id="87" w:name="site-fidelity-analysis"/>
    <w:p>
      <w:pPr>
        <w:pStyle w:val="Heading2"/>
      </w:pPr>
      <w:r>
        <w:t xml:space="preserve">Site Fidelity Analysis</w:t>
      </w:r>
    </w:p>
    <w:p>
      <w:pPr>
        <w:pStyle w:val="FirstParagraph"/>
      </w:pPr>
      <w:r>
        <w:t xml:space="preserve">To test whether cumulative weather exposure influenced day-to-day roost dynamics, we analyzed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pPr>
        <w:pStyle w:val="BodyText"/>
      </w:pPr>
      <w:r>
        <w:t xml:space="preserve">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bookmarkStart w:id="67" w:name="model-selection-1"/>
    <w:p>
      <w:pPr>
        <w:pStyle w:val="Heading3"/>
      </w:pPr>
      <w:r>
        <w:t xml:space="preserve">Model Selection</w:t>
      </w:r>
    </w:p>
    <w:p>
      <w:pPr>
        <w:pStyle w:val="FirstParagraph"/>
      </w:pPr>
      <w:r>
        <w:t xml:space="preserve">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M32 as the decisively best-fit model, capturing 84.7% of the total model weight (Table </w:t>
      </w:r>
      <w:hyperlink w:anchor="tab:sunset-model-selection-table">
        <w:r>
          <w:rPr>
            <w:rStyle w:val="Hyperlink"/>
          </w:rPr>
          <w:t xml:space="preserve">[tab:sunset-model-selection-table]</w:t>
        </w:r>
      </w:hyperlink>
      <w:r>
        <w:t xml:space="preserve">). The next best model (M52) showed substantially weaker support with</w:t>
      </w:r>
      <w:r>
        <w:t xml:space="preserve"> </w:t>
      </w:r>
      <m:oMath>
        <m:r>
          <m:rPr>
            <m:sty m:val="p"/>
          </m:rPr>
          <m:t>Δ</m:t>
        </m:r>
      </m:oMath>
      <w:r>
        <w:t xml:space="preserve">AICc = 5.6 and only 5.2% model weight. Model M32 incorporated a tensor smooth interaction between maximum wind gust and cumulative direct sun exposure, along with baseline controls for previous day’s maximum count and window duration.</w:t>
      </w:r>
    </w:p>
    <w:p>
      <w:pPr>
        <w:pStyle w:val="TableCaption"/>
      </w:pPr>
      <w:r>
        <w:t xml:space="preserve">Top 5 models ranked by AICc (sunset analysis)</w:t>
      </w:r>
    </w:p>
    <w:tbl>
      <w:tblPr>
        <w:tblStyle w:val="Table"/>
        <w:tblW w:type="auto" w:w="0"/>
        <w:tblLook w:firstRow="1" w:lastRow="0" w:firstColumn="0" w:lastColumn="0" w:noHBand="0" w:noVBand="0" w:val="0020"/>
        <w:tblCaption w:val="Top 5 models ranked by AICc (sunset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AICc</w:t>
            </w:r>
          </w:p>
        </w:tc>
        <w:tc>
          <w:tcPr/>
          <w:p>
            <w:pPr>
              <w:pStyle w:val="Compact"/>
              <w:jc w:val="right"/>
            </w:pPr>
            <m:oMath>
              <m:r>
                <m:rPr>
                  <m:sty m:val="p"/>
                </m:rPr>
                <m:t>Δ</m:t>
              </m:r>
            </m:oMath>
            <w:r>
              <w:t xml:space="preserve">AICc</w:t>
            </w:r>
          </w:p>
        </w:tc>
        <w:tc>
          <w:tcPr/>
          <w:p>
            <w:pPr>
              <w:pStyle w:val="Compact"/>
              <w:jc w:val="right"/>
            </w:pPr>
            <w:r>
              <w:t xml:space="preserve">Weight</w:t>
            </w:r>
          </w:p>
        </w:tc>
      </w:tr>
      <w:tr>
        <w:tc>
          <w:tcPr/>
          <w:p>
            <w:pPr>
              <w:pStyle w:val="Compact"/>
              <w:jc w:val="left"/>
            </w:pPr>
            <w:r>
              <w:t xml:space="preserve">M32</w:t>
            </w:r>
          </w:p>
        </w:tc>
        <w:tc>
          <w:tcPr/>
          <w:p>
            <w:pPr>
              <w:pStyle w:val="Compact"/>
              <w:jc w:val="left"/>
            </w:pPr>
            <w:r>
              <w:t xml:space="preserve">Interaction (tensor): Maximum wind gust, Cumulative butterflies in direct sun</w:t>
            </w:r>
          </w:p>
        </w:tc>
        <w:tc>
          <w:tcPr/>
          <w:p>
            <w:pPr>
              <w:pStyle w:val="Compact"/>
              <w:jc w:val="right"/>
            </w:pPr>
            <w:r>
              <w:t xml:space="preserve">648.85</w:t>
            </w:r>
          </w:p>
        </w:tc>
        <w:tc>
          <w:tcPr/>
          <w:p>
            <w:pPr>
              <w:pStyle w:val="Compact"/>
              <w:jc w:val="right"/>
            </w:pPr>
            <w:r>
              <w:t xml:space="preserve">0.00</w:t>
            </w:r>
          </w:p>
        </w:tc>
        <w:tc>
          <w:tcPr/>
          <w:p>
            <w:pPr>
              <w:pStyle w:val="Compact"/>
              <w:jc w:val="right"/>
            </w:pPr>
            <w:r>
              <w:t xml:space="preserve">0.85</w:t>
            </w:r>
          </w:p>
        </w:tc>
      </w:tr>
      <w:tr>
        <w:tc>
          <w:tcPr/>
          <w:p>
            <w:pPr>
              <w:pStyle w:val="Compact"/>
              <w:jc w:val="left"/>
            </w:pPr>
            <w:r>
              <w:t xml:space="preserve">M52</w:t>
            </w:r>
          </w:p>
        </w:tc>
        <w:tc>
          <w:tcPr/>
          <w:p>
            <w:pPr>
              <w:pStyle w:val="Compact"/>
              <w:jc w:val="left"/>
            </w:pPr>
            <w:r>
              <w:t xml:space="preserve">Maximum wind gust, Cumulative butterflies in direct sun, Interaction (tensor): Maximum wind gust, Cumulative butterflies in direct sun</w:t>
            </w:r>
          </w:p>
        </w:tc>
        <w:tc>
          <w:tcPr/>
          <w:p>
            <w:pPr>
              <w:pStyle w:val="Compact"/>
              <w:jc w:val="right"/>
            </w:pPr>
            <w:r>
              <w:t xml:space="preserve">654.45</w:t>
            </w:r>
          </w:p>
        </w:tc>
        <w:tc>
          <w:tcPr/>
          <w:p>
            <w:pPr>
              <w:pStyle w:val="Compact"/>
              <w:jc w:val="right"/>
            </w:pPr>
            <w:r>
              <w:t xml:space="preserve">5.60</w:t>
            </w:r>
          </w:p>
        </w:tc>
        <w:tc>
          <w:tcPr/>
          <w:p>
            <w:pPr>
              <w:pStyle w:val="Compact"/>
              <w:jc w:val="right"/>
            </w:pPr>
            <w:r>
              <w:t xml:space="preserve">0.05</w:t>
            </w:r>
          </w:p>
        </w:tc>
      </w:tr>
      <w:tr>
        <w:tc>
          <w:tcPr/>
          <w:p>
            <w:pPr>
              <w:pStyle w:val="Compact"/>
              <w:jc w:val="left"/>
            </w:pPr>
            <w:r>
              <w:t xml:space="preserve">M20</w:t>
            </w:r>
          </w:p>
        </w:tc>
        <w:tc>
          <w:tcPr/>
          <w:p>
            <w:pPr>
              <w:pStyle w:val="Compact"/>
              <w:jc w:val="left"/>
            </w:pPr>
            <w:r>
              <w:t xml:space="preserve">Interaction (tensor): Minimum temperature, Cumulative butterflies in direct sun</w:t>
            </w:r>
          </w:p>
        </w:tc>
        <w:tc>
          <w:tcPr/>
          <w:p>
            <w:pPr>
              <w:pStyle w:val="Compact"/>
              <w:jc w:val="right"/>
            </w:pPr>
            <w:r>
              <w:t xml:space="preserve">656.77</w:t>
            </w:r>
          </w:p>
        </w:tc>
        <w:tc>
          <w:tcPr/>
          <w:p>
            <w:pPr>
              <w:pStyle w:val="Compact"/>
              <w:jc w:val="right"/>
            </w:pPr>
            <w:r>
              <w:t xml:space="preserve">7.92</w:t>
            </w:r>
          </w:p>
        </w:tc>
        <w:tc>
          <w:tcPr/>
          <w:p>
            <w:pPr>
              <w:pStyle w:val="Compact"/>
              <w:jc w:val="right"/>
            </w:pPr>
            <w:r>
              <w:t xml:space="preserve">0.02</w:t>
            </w:r>
          </w:p>
        </w:tc>
      </w:tr>
      <w:tr>
        <w:tc>
          <w:tcPr/>
          <w:p>
            <w:pPr>
              <w:pStyle w:val="Compact"/>
              <w:jc w:val="left"/>
            </w:pPr>
            <w:r>
              <w:t xml:space="preserve">M46</w:t>
            </w:r>
          </w:p>
        </w:tc>
        <w:tc>
          <w:tcPr/>
          <w:p>
            <w:pPr>
              <w:pStyle w:val="Compact"/>
              <w:jc w:val="left"/>
            </w:pPr>
            <w:r>
              <w:t xml:space="preserve">Maximum temperature, Cumulative butterflies in direct sun, Interaction (tensor): Maximum temperature, Cumulative butterflies in direct sun</w:t>
            </w:r>
          </w:p>
        </w:tc>
        <w:tc>
          <w:tcPr/>
          <w:p>
            <w:pPr>
              <w:pStyle w:val="Compact"/>
              <w:jc w:val="right"/>
            </w:pPr>
            <w:r>
              <w:t xml:space="preserve">657.70</w:t>
            </w:r>
          </w:p>
        </w:tc>
        <w:tc>
          <w:tcPr/>
          <w:p>
            <w:pPr>
              <w:pStyle w:val="Compact"/>
              <w:jc w:val="right"/>
            </w:pPr>
            <w:r>
              <w:t xml:space="preserve">8.85</w:t>
            </w:r>
          </w:p>
        </w:tc>
        <w:tc>
          <w:tcPr/>
          <w:p>
            <w:pPr>
              <w:pStyle w:val="Compact"/>
              <w:jc w:val="right"/>
            </w:pPr>
            <w:r>
              <w:t xml:space="preserve">0.01</w:t>
            </w:r>
          </w:p>
        </w:tc>
      </w:tr>
      <w:tr>
        <w:tc>
          <w:tcPr/>
          <w:p>
            <w:pPr>
              <w:pStyle w:val="Compact"/>
              <w:jc w:val="left"/>
            </w:pPr>
            <w:r>
              <w:t xml:space="preserve">M30</w:t>
            </w:r>
          </w:p>
        </w:tc>
        <w:tc>
          <w:tcPr/>
          <w:p>
            <w:pPr>
              <w:pStyle w:val="Compact"/>
              <w:jc w:val="left"/>
            </w:pPr>
            <w:r>
              <w:t xml:space="preserve">Interaction (tensor): Temperature at previous maximum count, Cumulative butterflies in direct sun</w:t>
            </w:r>
          </w:p>
        </w:tc>
        <w:tc>
          <w:tcPr/>
          <w:p>
            <w:pPr>
              <w:pStyle w:val="Compact"/>
              <w:jc w:val="right"/>
            </w:pPr>
            <w:r>
              <w:t xml:space="preserve">657.90</w:t>
            </w:r>
          </w:p>
        </w:tc>
        <w:tc>
          <w:tcPr/>
          <w:p>
            <w:pPr>
              <w:pStyle w:val="Compact"/>
              <w:jc w:val="right"/>
            </w:pPr>
            <w:r>
              <w:t xml:space="preserve">9.06</w:t>
            </w:r>
          </w:p>
        </w:tc>
        <w:tc>
          <w:tcPr/>
          <w:p>
            <w:pPr>
              <w:pStyle w:val="Compact"/>
              <w:jc w:val="right"/>
            </w:pPr>
            <w:r>
              <w:t xml:space="preserve">0.01</w:t>
            </w:r>
          </w:p>
        </w:tc>
      </w:tr>
    </w:tbl>
    <w:bookmarkEnd w:id="67"/>
    <w:bookmarkStart w:id="77" w:name="analysis-of-best-fit-model-1"/>
    <w:p>
      <w:pPr>
        <w:pStyle w:val="Heading3"/>
      </w:pPr>
      <w:r>
        <w:t xml:space="preserve">Analysis of Best Fit Model</w:t>
      </w:r>
    </w:p>
    <w:p>
      <w:pPr>
        <w:pStyle w:val="FirstParagraph"/>
      </w:pPr>
      <w:r>
        <w:t xml:space="preserve">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pPr>
        <w:pStyle w:val="BodyText"/>
      </w:pPr>
      <w:r>
        <w:t xml:space="preserve">Statistical analysis revealed significant effects for the previous day’s maximum count (t = -4.988, p &lt; 0.001) and the wind-sunlight interaction (F = 4.097, p &lt; 0.001), while window duration showed no significant effect (t = -1.067, p = 0.289) (Table </w:t>
      </w:r>
      <w:hyperlink w:anchor="tab:m32_summary">
        <w:r>
          <w:rPr>
            <w:rStyle w:val="Hyperlink"/>
          </w:rPr>
          <w:t xml:space="preserve">5</w:t>
        </w:r>
      </w:hyperlink>
      <w:r>
        <w:t xml:space="preserve">). The model explained 39.7% of the variance in day-to-day cluster size changes (adjusted</w:t>
      </w:r>
      <w:r>
        <w:t xml:space="preserve"> </w:t>
      </w:r>
      <m:oMath>
        <m:sSup>
          <m:e>
            <m:r>
              <m:t>R</m:t>
            </m:r>
          </m:e>
          <m:sup>
            <m:r>
              <m:t>2</m:t>
            </m:r>
          </m:sup>
        </m:sSup>
      </m:oMath>
      <w:r>
        <w:t xml:space="preserve"> </w:t>
      </w:r>
      <w:r>
        <w:t xml:space="preserve">= 0.397, n = 96), representing substantially greater explanatory power than the 30-minute responsive change analysis.</w:t>
      </w:r>
    </w:p>
    <w:bookmarkStart w:id="68" w:name="tab:m32_summary"/>
    <w:p>
      <w:pPr>
        <w:pStyle w:val="TableCaption"/>
      </w:pPr>
      <w:r>
        <w:t xml:space="preserve">Summary of best-fit model (M32) for predicting site fidelity. The model uses square-root transformed day-to-day changes in butterfly count as the response variable.</w:t>
      </w:r>
    </w:p>
    <w:tbl>
      <w:tblPr>
        <w:tblStyle w:val="Table"/>
        <w:tblW w:type="auto" w:w="0"/>
        <w:tblLook w:firstRow="1" w:lastRow="0" w:firstColumn="0" w:lastColumn="0" w:noHBand="0" w:noVBand="0" w:val="0020"/>
        <w:tblCaption w:val="Summary of best-fit model (M32) for predicting site fidelity. The model uses square-root transformed day-to-day changes in butterfly count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day maximum count</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24.88</w:t>
            </w:r>
          </w:p>
        </w:tc>
        <w:tc>
          <w:tcPr/>
          <w:p>
            <w:pPr>
              <w:pStyle w:val="Compact"/>
              <w:jc w:val="center"/>
            </w:pPr>
            <m:oMath>
              <m:r>
                <m:rPr>
                  <m:sty m:val="p"/>
                </m:rPr>
                <m:t>&lt;</m:t>
              </m:r>
            </m:oMath>
            <w:r>
              <w:t xml:space="preserve"> </w:t>
            </w:r>
            <w:r>
              <w:t xml:space="preserve">0.001***</w:t>
            </w:r>
          </w:p>
        </w:tc>
      </w:tr>
      <w:tr>
        <w:tc>
          <w:tcPr/>
          <w:p>
            <w:pPr>
              <w:pStyle w:val="Compact"/>
              <w:jc w:val="left"/>
            </w:pPr>
            <w:r>
              <w:t xml:space="preserve">Window duration</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1.14</w:t>
            </w:r>
          </w:p>
        </w:tc>
        <w:tc>
          <w:tcPr/>
          <w:p>
            <w:pPr>
              <w:pStyle w:val="Compact"/>
              <w:jc w:val="center"/>
            </w:pPr>
            <w:r>
              <w:t xml:space="preserve">0.289</w:t>
            </w:r>
          </w:p>
        </w:tc>
      </w:tr>
      <w:tr>
        <w:tc>
          <w:tcPr/>
          <w:p>
            <w:pPr>
              <w:pStyle w:val="Compact"/>
              <w:jc w:val="left"/>
            </w:pPr>
            <w:r>
              <w:t xml:space="preserve">Wind gust × Sunlight exposure</w:t>
            </w:r>
          </w:p>
        </w:tc>
        <w:tc>
          <w:tcPr/>
          <w:p>
            <w:pPr>
              <w:pStyle w:val="Compact"/>
              <w:jc w:val="center"/>
            </w:pPr>
            <w:r>
              <w:t xml:space="preserve">6.68</w:t>
            </w:r>
          </w:p>
        </w:tc>
        <w:tc>
          <w:tcPr/>
          <w:p>
            <w:pPr>
              <w:pStyle w:val="Compact"/>
              <w:jc w:val="center"/>
            </w:pPr>
            <w:r>
              <w:t xml:space="preserve">6.68</w:t>
            </w:r>
          </w:p>
        </w:tc>
        <w:tc>
          <w:tcPr/>
          <w:p>
            <w:pPr>
              <w:pStyle w:val="Compact"/>
              <w:jc w:val="center"/>
            </w:pPr>
            <w:r>
              <w:t xml:space="preserve">4.10</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0.397, Scale est. = 41.06, n = 96</w:t>
            </w:r>
          </w:p>
        </w:tc>
      </w:tr>
    </w:tbl>
    <w:bookmarkEnd w:id="68"/>
    <w:p>
      <w:pPr>
        <w:pStyle w:val="BodyText"/>
      </w:pPr>
      <w:r>
        <w:t xml:space="preserve">The previous day’s maximum count showed a significant negative linear relationship (coefficient = -0.030, SE = 0.006), indicating that larger clusters experienced proportionally greater losses between days. This pattern aligns with the wind disruption analysis. Window duration showed no significant relationship with cluster size changes. Partial effects for these linear predictors are shown in Figure </w:t>
      </w:r>
      <w:hyperlink w:anchor="fig:partial_effects_sunset">
        <w:r>
          <w:rPr>
            <w:rStyle w:val="Hyperlink"/>
          </w:rPr>
          <w:t xml:space="preserve">8</w:t>
        </w:r>
      </w:hyperlink>
      <w:r>
        <w:t xml:space="preserve">.</w:t>
      </w:r>
    </w:p>
    <w:bookmarkStart w:id="72" w:name="fig:partial_effects_sunset"/>
    <w:p>
      <w:pPr>
        <w:pStyle w:val="CaptionedFigure"/>
      </w:pPr>
      <w:r>
        <w:drawing>
          <wp:inline>
            <wp:extent cx="5334000" cy="2453639"/>
            <wp:effectExtent b="0" l="0" r="0" t="0"/>
            <wp:docPr descr="" title="" id="70" name="Picture"/>
            <a:graphic>
              <a:graphicData uri="http://schemas.openxmlformats.org/drawingml/2006/picture">
                <pic:pic>
                  <pic:nvPicPr>
                    <pic:cNvPr descr="supplemental/results/sunset/figures/partial_effects_best_1x2.png" id="71" name="Picture"/>
                    <pic:cNvPicPr>
                      <a:picLocks noChangeArrowheads="1" noChangeAspect="1"/>
                    </pic:cNvPicPr>
                  </pic:nvPicPr>
                  <pic:blipFill>
                    <a:blip r:embed="rId69"/>
                    <a:stretch>
                      <a:fillRect/>
                    </a:stretch>
                  </pic:blipFill>
                  <pic:spPr bwMode="auto">
                    <a:xfrm>
                      <a:off x="0" y="0"/>
                      <a:ext cx="5334000" cy="2453639"/>
                    </a:xfrm>
                    <a:prstGeom prst="rect">
                      <a:avLst/>
                    </a:prstGeom>
                    <a:noFill/>
                    <a:ln w="9525">
                      <a:noFill/>
                      <a:headEnd/>
                      <a:tailEnd/>
                    </a:ln>
                  </pic:spPr>
                </pic:pic>
              </a:graphicData>
            </a:graphic>
          </wp:inline>
        </w:drawing>
      </w:r>
    </w:p>
    <w:p>
      <w:pPr>
        <w:pStyle w:val="ImageCaption"/>
      </w:pPr>
      <w:r>
        <w:t xml:space="preserve">Partial effects of control variables on day-to-day monarch butterfly cluster size changes from the best-fit GAMM model (M32). Left panel shows the strong negative effect of previous day maximum count. Right panel shows window duration had no significant effect on cluster size changes. Shaded regions represent 95% confidence intervals.</w:t>
      </w:r>
    </w:p>
    <w:bookmarkEnd w:id="72"/>
    <w:p>
      <w:pPr>
        <w:pStyle w:val="BodyText"/>
      </w:pPr>
      <w:r>
        <w:t xml:space="preserve">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 xml:space="preserve">9</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Interpretation requires caution at interpolation boundaries and regions with single observations.</w:t>
      </w:r>
    </w:p>
    <w:bookmarkStart w:id="76" w:name="fig:interaction_wind_sun_sunset"/>
    <w:p>
      <w:pPr>
        <w:pStyle w:val="CaptionedFigure"/>
      </w:pPr>
      <w:r>
        <w:drawing>
          <wp:inline>
            <wp:extent cx="4267200" cy="3657600"/>
            <wp:effectExtent b="0" l="0" r="0" t="0"/>
            <wp:docPr descr="" title="" id="74" name="Picture"/>
            <a:graphic>
              <a:graphicData uri="http://schemas.openxmlformats.org/drawingml/2006/picture">
                <pic:pic>
                  <pic:nvPicPr>
                    <pic:cNvPr descr="supplemental/results/sunset/figures/interaction_wind_x_sun_binned.png" id="75" name="Picture"/>
                    <pic:cNvPicPr>
                      <a:picLocks noChangeArrowheads="1" noChangeAspect="1"/>
                    </pic:cNvPicPr>
                  </pic:nvPicPr>
                  <pic:blipFill>
                    <a:blip r:embed="rId7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bookmarkEnd w:id="76"/>
    <w:bookmarkEnd w:id="77"/>
    <w:bookmarkStart w:id="86" w:name="model-diagnostics-1"/>
    <w:p>
      <w:pPr>
        <w:pStyle w:val="Heading3"/>
      </w:pPr>
      <w:r>
        <w:t xml:space="preserve">Model Diagnostics</w:t>
      </w:r>
    </w:p>
    <w:p>
      <w:pPr>
        <w:pStyle w:val="FirstParagraph"/>
      </w:pPr>
      <w:r>
        <w:t xml:space="preserve">Model diagnostic plots confirmed the adequacy of the GAMM specification (Figure </w:t>
      </w:r>
      <w:hyperlink w:anchor="fig:model_diagnostics_sunset">
        <w:r>
          <w:rPr>
            <w:rStyle w:val="Hyperlink"/>
          </w:rPr>
          <w:t xml:space="preserve">10</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sample size and complexity of ecological data.</w:t>
      </w:r>
    </w:p>
    <w:bookmarkStart w:id="81" w:name="fig:model_diagnostics_sunset"/>
    <w:p>
      <w:pPr>
        <w:pStyle w:val="CaptionedFigure"/>
      </w:pPr>
      <w:r>
        <w:drawing>
          <wp:inline>
            <wp:extent cx="4800600" cy="2000250"/>
            <wp:effectExtent b="0" l="0" r="0" t="0"/>
            <wp:docPr descr="" title="" id="79" name="Picture"/>
            <a:graphic>
              <a:graphicData uri="http://schemas.openxmlformats.org/drawingml/2006/picture">
                <pic:pic>
                  <pic:nvPicPr>
                    <pic:cNvPr descr="supplemental/results/sunset/figures/diag_qq_and_residuals_1x2.png" id="80" name="Picture"/>
                    <pic:cNvPicPr>
                      <a:picLocks noChangeArrowheads="1" noChangeAspect="1"/>
                    </pic:cNvPicPr>
                  </pic:nvPicPr>
                  <pic:blipFill>
                    <a:blip r:embed="rId7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(M32). Left panel shows quantile-quantile plot comparing model residuals to theoretical normal distribution. Right panel displays residuals versus fitted values to assess homoscedasticity and model adequacy.</w:t>
      </w:r>
    </w:p>
    <w:bookmarkEnd w:id="81"/>
    <w:p>
      <w:pPr>
        <w:pStyle w:val="BodyText"/>
      </w:pPr>
      <w:r>
        <w:t xml:space="preserve">Basis dimension checks confirmed adequate smoothing parameter selection for the tensor smooth interaction term. The wind-sunlight interaction showed a k-index value of 1.06 (p = 0.72), indicating sufficient basis dimensions to capture the underlying functional form without evidence of undersmoothing. This confirms that the chosen basis dimensions adequately represent the complexity of the smooth relationship without overfitting.</w:t>
      </w:r>
    </w:p>
    <w:p>
      <w:pPr>
        <w:pStyle w:val="BodyText"/>
      </w:pPr>
      <w:r>
        <w:t xml:space="preserve">Temporal autocorrelation analysis revealed minimal residual correlation structure after accounting for the AR(1) correlation within deployment days (Figure </w:t>
      </w:r>
      <w:hyperlink w:anchor="fig:acf_diagnostics_sunset">
        <w:r>
          <w:rPr>
            <w:rStyle w:val="Hyperlink"/>
          </w:rPr>
          <w:t xml:space="preserve">11</w:t>
        </w:r>
      </w:hyperlink>
      <w:r>
        <w:t xml:space="preserve">). The autocorrelation function showed rapid decay with all lags beyond lag 1 falling within the significance bounds, confirming that the model adequately captured temporal dependencies in the data.</w:t>
      </w:r>
    </w:p>
    <w:bookmarkStart w:id="85" w:name="fig:acf_diagnostics_sunset"/>
    <w:p>
      <w:pPr>
        <w:pStyle w:val="CaptionedFigure"/>
      </w:pPr>
      <w:r>
        <w:drawing>
          <wp:inline>
            <wp:extent cx="4267200" cy="2844800"/>
            <wp:effectExtent b="0" l="0" r="0" t="0"/>
            <wp:docPr descr="" title="" id="83" name="Picture"/>
            <a:graphic>
              <a:graphicData uri="http://schemas.openxmlformats.org/drawingml/2006/picture">
                <pic:pic>
                  <pic:nvPicPr>
                    <pic:cNvPr descr="supplemental/results/sunset/figures/diag_acf.png" id="84" name="Picture"/>
                    <pic:cNvPicPr>
                      <a:picLocks noChangeArrowheads="1" noChangeAspect="1"/>
                    </pic:cNvPicPr>
                  </pic:nvPicPr>
                  <pic:blipFill>
                    <a:blip r:embed="rId82"/>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85"/>
    <w:bookmarkEnd w:id="86"/>
    <w:bookmarkEnd w:id="87"/>
    <w:bookmarkStart w:id="93" w:name="Xe530c608eb66f1228e691d7525299f243c2fd54"/>
    <w:p>
      <w:pPr>
        <w:pStyle w:val="Heading2"/>
      </w:pPr>
      <w:r>
        <w:t xml:space="preserve">Sensitivity Analysis: 24-Hour Butterfly Change</w:t>
      </w:r>
    </w:p>
    <w:p>
      <w:pPr>
        <w:pStyle w:val="FirstParagraph"/>
      </w:pPr>
      <w:r>
        <w:t xml:space="preserve">To assess the robustness of our findings, we conducted a sensitivity analysis examining butterfly cluster changes over 24-hour periods rather than sunset-specific intervals. This analysis evaluated the same 72 candidate models using identical GAMM specifications with deployment random intercepts and AR(1) temporal correlation. Notably, model selection converged on the same structural form as the primary sunset analysis. Model M31, incorporating a tensor smooth interaction between maximum wind gust and cumulative direct sun exposure, emerged as the decisively best-fit model with 50.7% of the total model weight (Table </w:t>
      </w:r>
      <w:hyperlink w:anchor="tab:24hr-model-selection-table">
        <w:r>
          <w:rPr>
            <w:rStyle w:val="Hyperlink"/>
          </w:rPr>
          <w:t xml:space="preserve">6</w:t>
        </w:r>
      </w:hyperlink>
      <w:r>
        <w:t xml:space="preserve">). Alternative models showed substantially weaker support, with the next best model achieving only 8.4% weight and</w:t>
      </w:r>
      <w:r>
        <w:t xml:space="preserve"> </w:t>
      </w:r>
      <m:oMath>
        <m:r>
          <m:rPr>
            <m:sty m:val="p"/>
          </m:rPr>
          <m:t>Δ</m:t>
        </m:r>
      </m:oMath>
      <w:r>
        <w:t xml:space="preserve">AICc = 3.6.</w:t>
      </w:r>
    </w:p>
    <w:bookmarkStart w:id="88" w:name="tab:24hr-model-selection-table"/>
    <w:p>
      <w:pPr>
        <w:pStyle w:val="TableCaption"/>
      </w:pPr>
      <w:r>
        <w:t xml:space="preserve">Top five models from 24-hour sensitivity analysis ranked by AICc. The best-fit model (M31) included a tensor smooth interaction between maximum wind gust and cumulative butterflies in direct sun, matching the structure identified in the sunset-specific analysis but applied to 24-hour periods.</w:t>
      </w:r>
    </w:p>
    <w:tbl>
      <w:tblPr>
        <w:tblStyle w:val="Table"/>
        <w:tblW w:type="auto" w:w="0"/>
        <w:tblLook w:firstRow="1" w:lastRow="0" w:firstColumn="0" w:lastColumn="0" w:noHBand="0" w:noVBand="0" w:val="0020"/>
        <w:tblCaption w:val="Top five models from 24-hour sensitivity analysis ranked by AICc. The best-fit model (M31) included a tensor smooth interaction between maximum wind gust and cumulative butterflies in direct sun, matching the structure identified in the sunset-specific analysis but applied to 24-hour period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Description</w:t>
            </w:r>
          </w:p>
        </w:tc>
        <w:tc>
          <w:tcPr/>
          <w:p>
            <w:pPr>
              <w:pStyle w:val="Compact"/>
              <w:jc w:val="center"/>
            </w:pPr>
            <w:r>
              <w:t xml:space="preserve">AICc</w:t>
            </w:r>
          </w:p>
        </w:tc>
        <w:tc>
          <w:tcPr/>
          <w:p>
            <w:pPr>
              <w:pStyle w:val="Compact"/>
              <w:jc w:val="center"/>
            </w:pPr>
            <m:oMath>
              <m:r>
                <m:rPr>
                  <m:sty m:val="p"/>
                </m:rPr>
                <m:t>Δ</m:t>
              </m:r>
            </m:oMath>
            <w:r>
              <w:t xml:space="preserve">AICc</w:t>
            </w:r>
          </w:p>
        </w:tc>
        <w:tc>
          <w:tcPr/>
          <w:p>
            <w:pPr>
              <w:pStyle w:val="Compact"/>
              <w:jc w:val="center"/>
            </w:pPr>
            <w:r>
              <w:t xml:space="preserve">Weight</w:t>
            </w:r>
          </w:p>
        </w:tc>
        <w:tc>
          <w:tcPr/>
          <w:p>
            <w:pPr>
              <w:pStyle w:val="Compact"/>
              <w:jc w:val="center"/>
            </w:pPr>
            <w:r>
              <w:t xml:space="preserve">adj.</w:t>
            </w:r>
            <w:r>
              <w:t xml:space="preserve"> </w:t>
            </w:r>
            <m:oMath>
              <m:sSup>
                <m:e>
                  <m:r>
                    <m:t>R</m:t>
                  </m:r>
                </m:e>
                <m:sup>
                  <m:r>
                    <m:t>2</m:t>
                  </m:r>
                </m:sup>
              </m:sSup>
            </m:oMath>
          </w:p>
        </w:tc>
      </w:tr>
      <w:tr>
        <w:tc>
          <w:tcPr/>
          <w:p>
            <w:pPr>
              <w:pStyle w:val="Compact"/>
              <w:jc w:val="left"/>
            </w:pPr>
            <w:r>
              <w:t xml:space="preserve">M31</w:t>
            </w:r>
          </w:p>
        </w:tc>
        <w:tc>
          <w:tcPr/>
          <w:p>
            <w:pPr>
              <w:pStyle w:val="Compact"/>
              <w:jc w:val="left"/>
            </w:pPr>
            <w:r>
              <w:t xml:space="preserve">Wind</w:t>
            </w:r>
            <w:r>
              <w:t xml:space="preserve"> </w:t>
            </w:r>
            <m:oMath>
              <m:r>
                <m:rPr>
                  <m:sty m:val="p"/>
                </m:rPr>
                <m:t>×</m:t>
              </m:r>
            </m:oMath>
            <w:r>
              <w:t xml:space="preserve"> </w:t>
            </w:r>
            <w:r>
              <w:t xml:space="preserve">sun exposure (smooth)</w:t>
            </w:r>
          </w:p>
        </w:tc>
        <w:tc>
          <w:tcPr/>
          <w:p>
            <w:pPr>
              <w:pStyle w:val="Compact"/>
              <w:jc w:val="center"/>
            </w:pPr>
            <w:r>
              <w:t xml:space="preserve">636.3</w:t>
            </w:r>
          </w:p>
        </w:tc>
        <w:tc>
          <w:tcPr/>
          <w:p>
            <w:pPr>
              <w:pStyle w:val="Compact"/>
              <w:jc w:val="center"/>
            </w:pPr>
            <w:r>
              <w:t xml:space="preserve">0.0</w:t>
            </w:r>
          </w:p>
        </w:tc>
        <w:tc>
          <w:tcPr/>
          <w:p>
            <w:pPr>
              <w:pStyle w:val="Compact"/>
              <w:jc w:val="center"/>
            </w:pPr>
            <w:r>
              <w:t xml:space="preserve">0.507</w:t>
            </w:r>
          </w:p>
        </w:tc>
        <w:tc>
          <w:tcPr/>
          <w:p>
            <w:pPr>
              <w:pStyle w:val="Compact"/>
              <w:jc w:val="center"/>
            </w:pPr>
            <w:r>
              <w:t xml:space="preserve">0.235</w:t>
            </w:r>
          </w:p>
        </w:tc>
      </w:tr>
      <w:tr>
        <w:tc>
          <w:tcPr/>
          <w:p>
            <w:pPr>
              <w:pStyle w:val="Compact"/>
              <w:jc w:val="left"/>
            </w:pPr>
            <w:r>
              <w:t xml:space="preserve">M23</w:t>
            </w:r>
          </w:p>
        </w:tc>
        <w:tc>
          <w:tcPr/>
          <w:p>
            <w:pPr>
              <w:pStyle w:val="Compact"/>
              <w:jc w:val="left"/>
            </w:pPr>
            <w:r>
              <w:t xml:space="preserve">Temperature</w:t>
            </w:r>
            <w:r>
              <w:t xml:space="preserve"> </w:t>
            </w:r>
            <m:oMath>
              <m:r>
                <m:rPr>
                  <m:sty m:val="p"/>
                </m:rPr>
                <m:t>×</m:t>
              </m:r>
            </m:oMath>
            <w:r>
              <w:t xml:space="preserve"> </w:t>
            </w:r>
            <w:r>
              <w:t xml:space="preserve">wind (smooth)</w:t>
            </w:r>
          </w:p>
        </w:tc>
        <w:tc>
          <w:tcPr/>
          <w:p>
            <w:pPr>
              <w:pStyle w:val="Compact"/>
              <w:jc w:val="center"/>
            </w:pPr>
            <w:r>
              <w:t xml:space="preserve">639.9</w:t>
            </w:r>
          </w:p>
        </w:tc>
        <w:tc>
          <w:tcPr/>
          <w:p>
            <w:pPr>
              <w:pStyle w:val="Compact"/>
              <w:jc w:val="center"/>
            </w:pPr>
            <w:r>
              <w:t xml:space="preserve">3.6</w:t>
            </w:r>
          </w:p>
        </w:tc>
        <w:tc>
          <w:tcPr/>
          <w:p>
            <w:pPr>
              <w:pStyle w:val="Compact"/>
              <w:jc w:val="center"/>
            </w:pPr>
            <w:r>
              <w:t xml:space="preserve">0.084</w:t>
            </w:r>
          </w:p>
        </w:tc>
        <w:tc>
          <w:tcPr/>
          <w:p>
            <w:pPr>
              <w:pStyle w:val="Compact"/>
              <w:jc w:val="center"/>
            </w:pPr>
            <w:r>
              <w:t xml:space="preserve">–</w:t>
            </w:r>
          </w:p>
        </w:tc>
      </w:tr>
      <w:tr>
        <w:tc>
          <w:tcPr/>
          <w:p>
            <w:pPr>
              <w:pStyle w:val="Compact"/>
              <w:jc w:val="left"/>
            </w:pPr>
            <w:r>
              <w:t xml:space="preserve">M29</w:t>
            </w:r>
          </w:p>
        </w:tc>
        <w:tc>
          <w:tcPr/>
          <w:p>
            <w:pPr>
              <w:pStyle w:val="Compact"/>
              <w:jc w:val="left"/>
            </w:pPr>
            <w:r>
              <w:t xml:space="preserve">Temperature</w:t>
            </w:r>
            <w:r>
              <w:t xml:space="preserve"> </w:t>
            </w:r>
            <m:oMath>
              <m:r>
                <m:rPr>
                  <m:sty m:val="p"/>
                </m:rPr>
                <m:t>×</m:t>
              </m:r>
            </m:oMath>
            <w:r>
              <w:t xml:space="preserve"> </w:t>
            </w:r>
            <w:r>
              <w:t xml:space="preserve">sun exposure (smooth)</w:t>
            </w:r>
          </w:p>
        </w:tc>
        <w:tc>
          <w:tcPr/>
          <w:p>
            <w:pPr>
              <w:pStyle w:val="Compact"/>
              <w:jc w:val="center"/>
            </w:pPr>
            <w:r>
              <w:t xml:space="preserve">640.8</w:t>
            </w:r>
          </w:p>
        </w:tc>
        <w:tc>
          <w:tcPr/>
          <w:p>
            <w:pPr>
              <w:pStyle w:val="Compact"/>
              <w:jc w:val="center"/>
            </w:pPr>
            <w:r>
              <w:t xml:space="preserve">4.4</w:t>
            </w:r>
          </w:p>
        </w:tc>
        <w:tc>
          <w:tcPr/>
          <w:p>
            <w:pPr>
              <w:pStyle w:val="Compact"/>
              <w:jc w:val="center"/>
            </w:pPr>
            <w:r>
              <w:t xml:space="preserve">0.056</w:t>
            </w:r>
          </w:p>
        </w:tc>
        <w:tc>
          <w:tcPr/>
          <w:p>
            <w:pPr>
              <w:pStyle w:val="Compact"/>
              <w:jc w:val="center"/>
            </w:pPr>
            <w:r>
              <w:t xml:space="preserve">–</w:t>
            </w:r>
          </w:p>
        </w:tc>
      </w:tr>
      <w:tr>
        <w:tc>
          <w:tcPr/>
          <w:p>
            <w:pPr>
              <w:pStyle w:val="Compact"/>
              <w:jc w:val="left"/>
            </w:pPr>
            <w:r>
              <w:t xml:space="preserve">M19</w:t>
            </w:r>
          </w:p>
        </w:tc>
        <w:tc>
          <w:tcPr/>
          <w:p>
            <w:pPr>
              <w:pStyle w:val="Compact"/>
              <w:jc w:val="left"/>
            </w:pPr>
            <w:r>
              <w:t xml:space="preserve">Min. temp.</w:t>
            </w:r>
            <w:r>
              <w:t xml:space="preserve"> </w:t>
            </w:r>
            <m:oMath>
              <m:r>
                <m:rPr>
                  <m:sty m:val="p"/>
                </m:rPr>
                <m:t>×</m:t>
              </m:r>
            </m:oMath>
            <w:r>
              <w:t xml:space="preserve"> </w:t>
            </w:r>
            <w:r>
              <w:t xml:space="preserve">sun exposure (smooth)</w:t>
            </w:r>
          </w:p>
        </w:tc>
        <w:tc>
          <w:tcPr/>
          <w:p>
            <w:pPr>
              <w:pStyle w:val="Compact"/>
              <w:jc w:val="center"/>
            </w:pPr>
            <w:r>
              <w:t xml:space="preserve">641.1</w:t>
            </w:r>
          </w:p>
        </w:tc>
        <w:tc>
          <w:tcPr/>
          <w:p>
            <w:pPr>
              <w:pStyle w:val="Compact"/>
              <w:jc w:val="center"/>
            </w:pPr>
            <w:r>
              <w:t xml:space="preserve">4.8</w:t>
            </w:r>
          </w:p>
        </w:tc>
        <w:tc>
          <w:tcPr/>
          <w:p>
            <w:pPr>
              <w:pStyle w:val="Compact"/>
              <w:jc w:val="center"/>
            </w:pPr>
            <w:r>
              <w:t xml:space="preserve">0.047</w:t>
            </w:r>
          </w:p>
        </w:tc>
        <w:tc>
          <w:tcPr/>
          <w:p>
            <w:pPr>
              <w:pStyle w:val="Compact"/>
              <w:jc w:val="center"/>
            </w:pPr>
            <w:r>
              <w:t xml:space="preserve">–</w:t>
            </w:r>
          </w:p>
        </w:tc>
      </w:tr>
      <w:tr>
        <w:tc>
          <w:tcPr/>
          <w:p>
            <w:pPr>
              <w:pStyle w:val="Compact"/>
              <w:jc w:val="left"/>
            </w:pPr>
            <w:r>
              <w:t xml:space="preserve">M51</w:t>
            </w:r>
          </w:p>
        </w:tc>
        <w:tc>
          <w:tcPr/>
          <w:p>
            <w:pPr>
              <w:pStyle w:val="Compact"/>
              <w:jc w:val="left"/>
            </w:pPr>
            <w:r>
              <w:t xml:space="preserve">Wind + sun + wind</w:t>
            </w:r>
            <m:oMath>
              <m:r>
                <m:rPr>
                  <m:sty m:val="p"/>
                </m:rPr>
                <m:t>×</m:t>
              </m:r>
            </m:oMath>
            <w:r>
              <w:t xml:space="preserve">sun (smooth)</w:t>
            </w:r>
          </w:p>
        </w:tc>
        <w:tc>
          <w:tcPr/>
          <w:p>
            <w:pPr>
              <w:pStyle w:val="Compact"/>
              <w:jc w:val="center"/>
            </w:pPr>
            <w:r>
              <w:t xml:space="preserve">641.7</w:t>
            </w:r>
          </w:p>
        </w:tc>
        <w:tc>
          <w:tcPr/>
          <w:p>
            <w:pPr>
              <w:pStyle w:val="Compact"/>
              <w:jc w:val="center"/>
            </w:pPr>
            <w:r>
              <w:t xml:space="preserve">5.4</w:t>
            </w:r>
          </w:p>
        </w:tc>
        <w:tc>
          <w:tcPr/>
          <w:p>
            <w:pPr>
              <w:pStyle w:val="Compact"/>
              <w:jc w:val="center"/>
            </w:pPr>
            <w:r>
              <w:t xml:space="preserve">0.034</w:t>
            </w:r>
          </w:p>
        </w:tc>
        <w:tc>
          <w:tcPr/>
          <w:p>
            <w:pPr>
              <w:pStyle w:val="Compact"/>
              <w:jc w:val="center"/>
            </w:pPr>
            <w:r>
              <w:t xml:space="preserve">–</w:t>
            </w:r>
          </w:p>
        </w:tc>
      </w:tr>
    </w:tbl>
    <w:bookmarkEnd w:id="88"/>
    <w:p>
      <w:pPr>
        <w:pStyle w:val="BodyText"/>
      </w:pPr>
      <w:r>
        <w:t xml:space="preserve">The 24-hour analysis revealed qualitatively similar interaction patterns to the sunset-specific model, though with attenuated effect magnitudes reflecting the longer temporal window (Figure </w:t>
      </w:r>
      <w:hyperlink w:anchor="fig:interaction_wind_sun_24hr">
        <w:r>
          <w:rPr>
            <w:rStyle w:val="Hyperlink"/>
          </w:rPr>
          <w:t xml:space="preserve">12</w:t>
        </w:r>
      </w:hyperlink>
      <w:r>
        <w:t xml:space="preserve">). Under low wind conditions (approximately 2 m/s) with minimal butterflies in direct sun, clusters increased over the subsequent 24 hours. This effect reversed sharply as butterfly counts increased under low winds, resulting in rapid cluster size decreases. When no butterflies occupied direct sun positions, cluster sizes remained relatively stable across wind speed values. Intermediate values for both wind speed and sun exposure produced cluster size increases. The convergent model selection and consistent interaction patterns across temporal scales strengthen confidence in the identified environmental relationships, while interpretation requires similar caution near data boundaries and regions with sparse observations.</w:t>
      </w:r>
    </w:p>
    <w:bookmarkStart w:id="92" w:name="fig:interaction_wind_sun_24hr"/>
    <w:p>
      <w:pPr>
        <w:pStyle w:val="CaptionedFigure"/>
      </w:pPr>
      <w:r>
        <w:drawing>
          <wp:inline>
            <wp:extent cx="4267200" cy="3657600"/>
            <wp:effectExtent b="0" l="0" r="0" t="0"/>
            <wp:docPr descr="" title="" id="90" name="Picture"/>
            <a:graphic>
              <a:graphicData uri="http://schemas.openxmlformats.org/drawingml/2006/picture">
                <pic:pic>
                  <pic:nvPicPr>
                    <pic:cNvPr descr="supplemental/results/24hr/figures/interaction_wind_x_sun_binned.png" id="91" name="Picture"/>
                    <pic:cNvPicPr>
                      <a:picLocks noChangeArrowheads="1" noChangeAspect="1"/>
                    </pic:cNvPicPr>
                  </pic:nvPicPr>
                  <pic:blipFill>
                    <a:blip r:embed="rId8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24-hour cluster size changes. Color gradient indicates partial effect magnitude on square-root transformed scale (red = positive, blue = negative). Black points show observed data distribution. Gray regions indicate areas beyond reliable interpolation range. The interaction pattern mirrors that observed in the sunset-specific analysis, supporting the robustness of identified environmental relationships.</w:t>
      </w:r>
    </w:p>
    <w:bookmarkEnd w:id="92"/>
    <w:bookmarkEnd w:id="93"/>
    <w:bookmarkEnd w:id="94"/>
    <w:bookmarkStart w:id="108" w:name="discussion"/>
    <w:p>
      <w:pPr>
        <w:pStyle w:val="Heading1"/>
      </w:pPr>
      <w:r>
        <w:t xml:space="preserve">Discussion</w:t>
      </w:r>
    </w:p>
    <w:bookmarkStart w:id="95" w:name="X63e1245851a6a59872c1c21077764299a7ea682"/>
    <w:p>
      <w:pPr>
        <w:pStyle w:val="Heading2"/>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over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w:t>
      </w:r>
      <m:oMath>
        <m:r>
          <m:rPr>
            <m:sty m:val="p"/>
          </m:rPr>
          <m:t>Δ</m:t>
        </m:r>
      </m:oMath>
      <w:r>
        <w:t xml:space="preserve">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95"/>
    <w:bookmarkStart w:id="99" w:name="alternative-drivers-of-monarch-movement"/>
    <w:p>
      <w:pPr>
        <w:pStyle w:val="Heading2"/>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96" w:name="X68d4caad7b9dff1382d16a19c618b08132be296"/>
    <w:p>
      <w:pPr>
        <w:pStyle w:val="Heading3"/>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96"/>
    <w:bookmarkStart w:id="97" w:name="Xd9199e8982adf52c1650d45fe5056e5bee40933"/>
    <w:p>
      <w:pPr>
        <w:pStyle w:val="Heading3"/>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(within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97"/>
    <w:bookmarkStart w:id="98" w:name="diurnal-activity-patterns"/>
    <w:p>
      <w:pPr>
        <w:pStyle w:val="Heading3"/>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98"/>
    <w:bookmarkEnd w:id="99"/>
    <w:bookmarkStart w:id="100" w:name="study-limitations"/>
    <w:p>
      <w:pPr>
        <w:pStyle w:val="Heading2"/>
      </w:pPr>
      <w:r>
        <w:t xml:space="preserve">Study Limitations</w:t>
      </w:r>
    </w:p>
    <w:p>
      <w:pPr>
        <w:pStyle w:val="FirstParagraph"/>
      </w:pPr>
      <w:r>
        <w:t xml:space="preserve">Several limitations warrant consideration. Our data derive from a single season (2023–2024) with typical monarch abundance at two sites</w:t>
      </w:r>
      <w:r>
        <w:t xml:space="preserve"> </w:t>
      </w:r>
      <w:r>
        <w:t xml:space="preserve">(Xerces Society 2025a)</w:t>
      </w:r>
      <w:r>
        <w:t xml:space="preserve">.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w:t>
      </w:r>
      <w:r>
        <w:t xml:space="preserve"> </w:t>
      </w:r>
      <w:r>
        <w:t xml:space="preserve">(L. P. Brower et al. 2008)</w:t>
      </w:r>
      <w:r>
        <w:t xml:space="preserve">.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100"/>
    <w:bookmarkStart w:id="101" w:name="management-implications"/>
    <w:p>
      <w:pPr>
        <w:pStyle w:val="Heading2"/>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w:t>
      </w:r>
      <w:r>
        <w:t xml:space="preserve"> </w:t>
      </w:r>
      <w:r>
        <w:t xml:space="preserve">Saniee and Villablanca (2022)</w:t>
      </w:r>
      <w:r>
        <w:t xml:space="preserve">, it may become relevant to explore ways in which to manage for thermal attributes, specifically sunlight.</w:t>
      </w:r>
    </w:p>
    <w:bookmarkEnd w:id="101"/>
    <w:bookmarkStart w:id="106" w:name="future-research-directions"/>
    <w:p>
      <w:pPr>
        <w:pStyle w:val="Heading2"/>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Monarchs possess well-developed visual systems that enable sophisticated navigation during migration, including specialized neurons tuned to track celestial cues and the ability to detect polarized light patterns</w:t>
      </w:r>
      <w:r>
        <w:t xml:space="preserve"> </w:t>
      </w:r>
      <w:r>
        <w:t xml:space="preserve">(Nguyen et al. 2021; Mouritsen and Frost 2002)</w:t>
      </w:r>
      <w:r>
        <w:t xml:space="preserve">. This visual acuity, demonstrated in their use of sun compass orientation during long-distance migration, suggests they are fully capable of detecting and responding to the consistent light patterns created by canopy structure. Previous research also suggests light conditions may play an important role in habitat selection.</w:t>
      </w:r>
      <w:r>
        <w:t xml:space="preserve"> </w:t>
      </w:r>
      <w:r>
        <w:t xml:space="preserve">(Stuart B. Weiss et al. 1991)</w:t>
      </w:r>
      <w:r>
        <w:t xml:space="preserve"> </w:t>
      </w:r>
      <w:r>
        <w:t xml:space="preserve">examined canopy structure across monarch aggregation sites with different occupancy histories in Santa Barbara County, California. Sites were classified as</w:t>
      </w:r>
      <w:r>
        <w:t xml:space="preserve"> </w:t>
      </w:r>
      <w:r>
        <w:t xml:space="preserve">“permanent sites”</w:t>
      </w:r>
      <w:r>
        <w:t xml:space="preserve"> </w:t>
      </w:r>
      <w:r>
        <w:t xml:space="preserve">that support aggregations throughout the overwintering season (October through March),</w:t>
      </w:r>
      <w:r>
        <w:t xml:space="preserve"> </w:t>
      </w:r>
      <w:r>
        <w:t xml:space="preserve">“transient sites”</w:t>
      </w:r>
      <w:r>
        <w:t xml:space="preserve"> </w:t>
      </w:r>
      <w:r>
        <w:t xml:space="preserve">that support aggregations for only part of the season, or</w:t>
      </w:r>
      <w:r>
        <w:t xml:space="preserve"> </w:t>
      </w:r>
      <w:r>
        <w:t xml:space="preserve">“former sites”</w:t>
      </w:r>
      <w:r>
        <w:t xml:space="preserve"> </w:t>
      </w:r>
      <w:r>
        <w:t xml:space="preserve">that once supported aggregations but no longer do so. Using hemispherical photography to measure the Indirect Site Factor (ISF), which quantifies percent canopy openness, Weiss found that permanent overwintering sites clustered within a narrow range of canopy openness (approximately 20%) with relatively low variance, while transient and former sites showed progressively greater variability (Figure </w:t>
      </w:r>
      <w:hyperlink w:anchor="fig:weiss_canopy">
        <w:r>
          <w:rPr>
            <w:rStyle w:val="Hyperlink"/>
          </w:rPr>
          <w:t xml:space="preserve">13</w:t>
        </w:r>
      </w:hyperlink>
      <w:r>
        <w:t xml:space="preserve">). This pattern of consistent light conditions at successful sites provides additional context for understanding how canopy structure might influence clustering behavior.</w:t>
      </w:r>
    </w:p>
    <w:bookmarkStart w:id="105" w:name="fig:weiss_canopy"/>
    <w:p>
      <w:pPr>
        <w:pStyle w:val="CaptionedFigure"/>
      </w:pPr>
      <w:r>
        <w:drawing>
          <wp:inline>
            <wp:extent cx="4267200" cy="2517273"/>
            <wp:effectExtent b="0" l="0" r="0" t="0"/>
            <wp:docPr descr="" title="" id="103" name="Picture"/>
            <a:graphic>
              <a:graphicData uri="http://schemas.openxmlformats.org/drawingml/2006/picture">
                <pic:pic>
                  <pic:nvPicPr>
                    <pic:cNvPr descr="figures/discussion/weiss_adapted_boxplot.png" id="104" name="Picture"/>
                    <pic:cNvPicPr>
                      <a:picLocks noChangeArrowheads="1" noChangeAspect="1"/>
                    </pic:cNvPicPr>
                  </pic:nvPicPr>
                  <pic:blipFill>
                    <a:blip r:embed="rId102"/>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105"/>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r>
        <w:t xml:space="preserve"> </w:t>
      </w:r>
      <w:r>
        <w:t xml:space="preserve">(Berdahl et al. 2013)</w:t>
      </w:r>
      <w:r>
        <w:t xml:space="preserve">.</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106"/>
    <w:bookmarkStart w:id="107" w:name="conclusions"/>
    <w:p>
      <w:pPr>
        <w:pStyle w:val="Heading2"/>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107"/>
    <w:bookmarkEnd w:id="108"/>
    <w:bookmarkStart w:id="224" w:name="references"/>
    <w:p>
      <w:pPr>
        <w:pStyle w:val="Heading1"/>
      </w:pPr>
      <w:r>
        <w:t xml:space="preserve">References</w:t>
      </w:r>
    </w:p>
    <w:bookmarkStart w:id="223" w:name="refs"/>
    <w:bookmarkStart w:id="110"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109">
        <w:r>
          <w:rPr>
            <w:rStyle w:val="Hyperlink"/>
          </w:rPr>
          <w:t xml:space="preserve">https://doi.org/10.2307/2388612</w:t>
        </w:r>
      </w:hyperlink>
      <w:r>
        <w:t xml:space="preserve">.</w:t>
      </w:r>
    </w:p>
    <w:bookmarkEnd w:id="110"/>
    <w:bookmarkStart w:id="111"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111"/>
    <w:bookmarkStart w:id="113"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112">
        <w:r>
          <w:rPr>
            <w:rStyle w:val="Hyperlink"/>
          </w:rPr>
          <w:t xml:space="preserve">https://doi.org/10.1016/0022-1910(76)90046-9</w:t>
        </w:r>
      </w:hyperlink>
      <w:r>
        <w:t xml:space="preserve">.</w:t>
      </w:r>
    </w:p>
    <w:bookmarkEnd w:id="113"/>
    <w:bookmarkStart w:id="115"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114">
        <w:r>
          <w:rPr>
            <w:rStyle w:val="Hyperlink"/>
          </w:rPr>
          <w:t xml:space="preserve">https://doi.org/10.1086/698656</w:t>
        </w:r>
      </w:hyperlink>
      <w:r>
        <w:t xml:space="preserve">.</w:t>
      </w:r>
    </w:p>
    <w:bookmarkEnd w:id="115"/>
    <w:bookmarkStart w:id="117"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116">
        <w:r>
          <w:rPr>
            <w:rStyle w:val="Hyperlink"/>
          </w:rPr>
          <w:t xml:space="preserve">https://doi.org/10.1016/0022-1910(79)90112-4</w:t>
        </w:r>
      </w:hyperlink>
      <w:r>
        <w:t xml:space="preserve">.</w:t>
      </w:r>
    </w:p>
    <w:bookmarkEnd w:id="117"/>
    <w:bookmarkStart w:id="119"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118">
        <w:r>
          <w:rPr>
            <w:rStyle w:val="Hyperlink"/>
          </w:rPr>
          <w:t xml:space="preserve">https://doi.org/10.1126/science.1225883</w:t>
        </w:r>
      </w:hyperlink>
      <w:r>
        <w:t xml:space="preserve">.</w:t>
      </w:r>
    </w:p>
    <w:bookmarkEnd w:id="119"/>
    <w:bookmarkStart w:id="121"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120">
        <w:r>
          <w:rPr>
            <w:rStyle w:val="Hyperlink"/>
          </w:rPr>
          <w:t xml:space="preserve">https://www.ncbi.nlm.nih.gov/pubmed/8551296</w:t>
        </w:r>
      </w:hyperlink>
      <w:r>
        <w:t xml:space="preserve">.</w:t>
      </w:r>
    </w:p>
    <w:bookmarkEnd w:id="121"/>
    <w:bookmarkStart w:id="123"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122">
        <w:r>
          <w:rPr>
            <w:rStyle w:val="Hyperlink"/>
          </w:rPr>
          <w:t xml:space="preserve">https://doi.org/10.1007/BF00329753</w:t>
        </w:r>
      </w:hyperlink>
      <w:r>
        <w:t xml:space="preserve">.</w:t>
      </w:r>
    </w:p>
    <w:bookmarkEnd w:id="123"/>
    <w:bookmarkStart w:id="125"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124">
        <w:r>
          <w:rPr>
            <w:rStyle w:val="Hyperlink"/>
          </w:rPr>
          <w:t xml:space="preserve">https://www.semanticscholar.org/paper/Heritability-of-spider-ballooning-motivation-under-Bonte-Lens/d6118c2cd143572bc4f098b5916186ec63c0f12a</w:t>
        </w:r>
      </w:hyperlink>
      <w:r>
        <w:t xml:space="preserve">.</w:t>
      </w:r>
    </w:p>
    <w:bookmarkEnd w:id="125"/>
    <w:bookmarkStart w:id="127"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126">
        <w:r>
          <w:rPr>
            <w:rStyle w:val="Hyperlink"/>
          </w:rPr>
          <w:t xml:space="preserve">https://www.semanticscholar.org/paper/Understanding-and-misunderstanding-the-migration-of-Brower/79380ddbf559e310fef9bb8919c03c63ccddecb7</w:t>
        </w:r>
      </w:hyperlink>
      <w:r>
        <w:t xml:space="preserve">.</w:t>
      </w:r>
    </w:p>
    <w:bookmarkEnd w:id="127"/>
    <w:bookmarkStart w:id="128"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128"/>
    <w:bookmarkStart w:id="130"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129">
        <w:r>
          <w:rPr>
            <w:rStyle w:val="Hyperlink"/>
          </w:rPr>
          <w:t xml:space="preserve">https://doi.org/10.2307/2387997</w:t>
        </w:r>
      </w:hyperlink>
      <w:r>
        <w:t xml:space="preserve">.</w:t>
      </w:r>
    </w:p>
    <w:bookmarkEnd w:id="130"/>
    <w:bookmarkStart w:id="132"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131">
        <w:r>
          <w:rPr>
            <w:rStyle w:val="Hyperlink"/>
          </w:rPr>
          <w:t xml:space="preserve">https://doi.org/10.1111/j.1365-2311.1982.tb00664.x</w:t>
        </w:r>
      </w:hyperlink>
      <w:r>
        <w:t xml:space="preserve">.</w:t>
      </w:r>
    </w:p>
    <w:bookmarkEnd w:id="132"/>
    <w:bookmarkStart w:id="134"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133">
        <w:r>
          <w:rPr>
            <w:rStyle w:val="Hyperlink"/>
          </w:rPr>
          <w:t xml:space="preserve">https://doi.org/10.1016/j.jinsphys.2011.05.004</w:t>
        </w:r>
      </w:hyperlink>
      <w:r>
        <w:t xml:space="preserve">.</w:t>
      </w:r>
    </w:p>
    <w:bookmarkEnd w:id="134"/>
    <w:bookmarkStart w:id="136"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135">
        <w:r>
          <w:rPr>
            <w:rStyle w:val="Hyperlink"/>
          </w:rPr>
          <w:t xml:space="preserve">https://hero.epa.gov/hero/index.cfm/reference/details/reference_id/52731</w:t>
        </w:r>
      </w:hyperlink>
      <w:r>
        <w:t xml:space="preserve">.</w:t>
      </w:r>
    </w:p>
    <w:bookmarkEnd w:id="136"/>
    <w:bookmarkStart w:id="138"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137">
        <w:r>
          <w:rPr>
            <w:rStyle w:val="Hyperlink"/>
          </w:rPr>
          <w:t xml:space="preserve">https://doi.org/10.1002/eap.1975</w:t>
        </w:r>
      </w:hyperlink>
      <w:r>
        <w:t xml:space="preserve">.</w:t>
      </w:r>
    </w:p>
    <w:bookmarkEnd w:id="138"/>
    <w:bookmarkStart w:id="140"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139">
        <w:r>
          <w:rPr>
            <w:rStyle w:val="Hyperlink"/>
          </w:rPr>
          <w:t xml:space="preserve">https://doi.org/10.1016/j.jtherbio.2014.05.004</w:t>
        </w:r>
      </w:hyperlink>
      <w:r>
        <w:t xml:space="preserve">.</w:t>
      </w:r>
    </w:p>
    <w:bookmarkEnd w:id="140"/>
    <w:bookmarkStart w:id="142"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141">
        <w:r>
          <w:rPr>
            <w:rStyle w:val="Hyperlink"/>
          </w:rPr>
          <w:t xml:space="preserve">https://doi.org/10.3390/insects9040167</w:t>
        </w:r>
      </w:hyperlink>
      <w:r>
        <w:t xml:space="preserve">.</w:t>
      </w:r>
    </w:p>
    <w:bookmarkEnd w:id="142"/>
    <w:bookmarkStart w:id="144"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43">
        <w:r>
          <w:rPr>
            <w:rStyle w:val="Hyperlink"/>
          </w:rPr>
          <w:t xml:space="preserve">https://doi.org/10.1111/csp2.432</w:t>
        </w:r>
      </w:hyperlink>
      <w:r>
        <w:t xml:space="preserve">.</w:t>
      </w:r>
    </w:p>
    <w:bookmarkEnd w:id="144"/>
    <w:bookmarkStart w:id="146"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145">
        <w:r>
          <w:rPr>
            <w:rStyle w:val="Hyperlink"/>
          </w:rPr>
          <w:t xml:space="preserve">https://doi.org/10.1006/anbe.1993.1120</w:t>
        </w:r>
      </w:hyperlink>
      <w:r>
        <w:t xml:space="preserve">.</w:t>
      </w:r>
    </w:p>
    <w:bookmarkEnd w:id="146"/>
    <w:bookmarkStart w:id="148"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47">
        <w:r>
          <w:rPr>
            <w:rStyle w:val="Hyperlink"/>
          </w:rPr>
          <w:t xml:space="preserve">https://doi.org/10.1046/j.1365-2311.2002.00454.x</w:t>
        </w:r>
      </w:hyperlink>
      <w:r>
        <w:t xml:space="preserve">.</w:t>
      </w:r>
    </w:p>
    <w:bookmarkEnd w:id="148"/>
    <w:bookmarkStart w:id="150"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49">
        <w:r>
          <w:rPr>
            <w:rStyle w:val="Hyperlink"/>
          </w:rPr>
          <w:t xml:space="preserve">https://doi.org/10.1080/02541858.1997.11448445</w:t>
        </w:r>
      </w:hyperlink>
      <w:r>
        <w:t xml:space="preserve">.</w:t>
      </w:r>
    </w:p>
    <w:bookmarkEnd w:id="150"/>
    <w:bookmarkStart w:id="152"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51">
        <w:r>
          <w:rPr>
            <w:rStyle w:val="Hyperlink"/>
          </w:rPr>
          <w:t xml:space="preserve">https://doi.org/10.1098/rspb.2001.1765</w:t>
        </w:r>
      </w:hyperlink>
      <w:r>
        <w:t xml:space="preserve">.</w:t>
      </w:r>
    </w:p>
    <w:bookmarkEnd w:id="152"/>
    <w:bookmarkStart w:id="154"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53">
        <w:r>
          <w:rPr>
            <w:rStyle w:val="Hyperlink"/>
          </w:rPr>
          <w:t xml:space="preserve">https://www.frontiersin.org/articles/10.3389/fevo.2019.00266</w:t>
        </w:r>
      </w:hyperlink>
      <w:r>
        <w:t xml:space="preserve">.</w:t>
      </w:r>
    </w:p>
    <w:bookmarkEnd w:id="154"/>
    <w:bookmarkStart w:id="155"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55"/>
    <w:bookmarkStart w:id="157"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56">
        <w:r>
          <w:rPr>
            <w:rStyle w:val="Hyperlink"/>
          </w:rPr>
          <w:t xml:space="preserve">https://xerces.org/protecting-californias-butterfly-groves</w:t>
        </w:r>
      </w:hyperlink>
      <w:r>
        <w:t xml:space="preserve">.</w:t>
      </w:r>
    </w:p>
    <w:bookmarkEnd w:id="157"/>
    <w:bookmarkStart w:id="159"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58">
        <w:r>
          <w:rPr>
            <w:rStyle w:val="Hyperlink"/>
          </w:rPr>
          <w:t xml:space="preserve">https://www.xerces.org</w:t>
        </w:r>
      </w:hyperlink>
      <w:r>
        <w:t xml:space="preserve">.</w:t>
      </w:r>
    </w:p>
    <w:bookmarkEnd w:id="159"/>
    <w:bookmarkStart w:id="161"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60">
        <w:r>
          <w:rPr>
            <w:rStyle w:val="Hyperlink"/>
          </w:rPr>
          <w:t xml:space="preserve">https://doi.org/10.1007/BF00298260</w:t>
        </w:r>
      </w:hyperlink>
      <w:r>
        <w:t xml:space="preserve">.</w:t>
      </w:r>
    </w:p>
    <w:bookmarkEnd w:id="161"/>
    <w:bookmarkStart w:id="163"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62">
        <w:r>
          <w:rPr>
            <w:rStyle w:val="Hyperlink"/>
          </w:rPr>
          <w:t xml:space="preserve">https://doi.org/10.1242/jeb.073668</w:t>
        </w:r>
      </w:hyperlink>
      <w:r>
        <w:t xml:space="preserve">.</w:t>
      </w:r>
    </w:p>
    <w:bookmarkEnd w:id="163"/>
    <w:bookmarkStart w:id="165"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64">
        <w:r>
          <w:rPr>
            <w:rStyle w:val="Hyperlink"/>
          </w:rPr>
          <w:t xml:space="preserve">https://doi.org/10.1111/aen.12175</w:t>
        </w:r>
      </w:hyperlink>
      <w:r>
        <w:t xml:space="preserve">.</w:t>
      </w:r>
    </w:p>
    <w:bookmarkEnd w:id="165"/>
    <w:bookmarkStart w:id="166"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66"/>
    <w:bookmarkStart w:id="167"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67"/>
    <w:bookmarkStart w:id="169"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68">
        <w:r>
          <w:rPr>
            <w:rStyle w:val="Hyperlink"/>
          </w:rPr>
          <w:t xml:space="preserve">https://doi.org/10.1093/aesa/83.5.906</w:t>
        </w:r>
      </w:hyperlink>
      <w:r>
        <w:t xml:space="preserve">.</w:t>
      </w:r>
    </w:p>
    <w:bookmarkEnd w:id="169"/>
    <w:bookmarkStart w:id="171"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70">
        <w:r>
          <w:rPr>
            <w:rStyle w:val="Hyperlink"/>
          </w:rPr>
          <w:t xml:space="preserve">https://doi.org/10.1093/aesa/84.3.263</w:t>
        </w:r>
      </w:hyperlink>
      <w:r>
        <w:t xml:space="preserve">.</w:t>
      </w:r>
    </w:p>
    <w:bookmarkEnd w:id="171"/>
    <w:bookmarkStart w:id="173"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72">
        <w:r>
          <w:rPr>
            <w:rStyle w:val="Hyperlink"/>
          </w:rPr>
          <w:t xml:space="preserve">https://doi.org/10.1038/s41598-017-14510-w</w:t>
        </w:r>
      </w:hyperlink>
      <w:r>
        <w:t xml:space="preserve">.</w:t>
      </w:r>
    </w:p>
    <w:bookmarkEnd w:id="173"/>
    <w:bookmarkStart w:id="175"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74">
        <w:r>
          <w:rPr>
            <w:rStyle w:val="Hyperlink"/>
          </w:rPr>
          <w:t xml:space="preserve">https://doi.org/10.2307/1940444</w:t>
        </w:r>
      </w:hyperlink>
      <w:r>
        <w:t xml:space="preserve">.</w:t>
      </w:r>
    </w:p>
    <w:bookmarkEnd w:id="175"/>
    <w:bookmarkStart w:id="177"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76">
        <w:r>
          <w:rPr>
            <w:rStyle w:val="Hyperlink"/>
          </w:rPr>
          <w:t xml:space="preserve">https://doi.org/10.1002/ecy.3634</w:t>
        </w:r>
      </w:hyperlink>
      <w:r>
        <w:t xml:space="preserve">.</w:t>
      </w:r>
    </w:p>
    <w:bookmarkEnd w:id="177"/>
    <w:bookmarkStart w:id="179"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78">
        <w:r>
          <w:rPr>
            <w:rStyle w:val="Hyperlink"/>
          </w:rPr>
          <w:t xml:space="preserve">https://doi.org/10.1073/pnas.152137299</w:t>
        </w:r>
      </w:hyperlink>
      <w:r>
        <w:t xml:space="preserve">.</w:t>
      </w:r>
    </w:p>
    <w:bookmarkEnd w:id="179"/>
    <w:bookmarkStart w:id="181"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80">
        <w:r>
          <w:rPr>
            <w:rStyle w:val="Hyperlink"/>
          </w:rPr>
          <w:t xml:space="preserve">https://doi.org/10.1111/j.1366-9516.2005.00146.x</w:t>
        </w:r>
      </w:hyperlink>
      <w:r>
        <w:t xml:space="preserve">.</w:t>
      </w:r>
    </w:p>
    <w:bookmarkEnd w:id="181"/>
    <w:bookmarkStart w:id="183"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82">
        <w:r>
          <w:rPr>
            <w:rStyle w:val="Hyperlink"/>
          </w:rPr>
          <w:t xml:space="preserve">https://doi.org/10.1098/rspb.2020.2988</w:t>
        </w:r>
      </w:hyperlink>
      <w:r>
        <w:t xml:space="preserve">.</w:t>
      </w:r>
    </w:p>
    <w:bookmarkEnd w:id="183"/>
    <w:bookmarkStart w:id="184"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84"/>
    <w:bookmarkStart w:id="186"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85">
        <w:r>
          <w:rPr>
            <w:rStyle w:val="Hyperlink"/>
          </w:rPr>
          <w:t xml:space="preserve">https://www.frontiersin.org/articles/10.3389/fevo.2019.00258</w:t>
        </w:r>
      </w:hyperlink>
      <w:r>
        <w:t xml:space="preserve">.</w:t>
      </w:r>
    </w:p>
    <w:bookmarkEnd w:id="186"/>
    <w:bookmarkStart w:id="188"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87">
        <w:r>
          <w:rPr>
            <w:rStyle w:val="Hyperlink"/>
          </w:rPr>
          <w:t xml:space="preserve">https://doi.org/10.1016/j.cub.2018.02.067</w:t>
        </w:r>
      </w:hyperlink>
      <w:r>
        <w:t xml:space="preserve">.</w:t>
      </w:r>
    </w:p>
    <w:bookmarkEnd w:id="188"/>
    <w:bookmarkStart w:id="190"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89">
        <w:r>
          <w:rPr>
            <w:rStyle w:val="Hyperlink"/>
          </w:rPr>
          <w:t xml:space="preserve">https://www.frontiersin.org/articles/10.3389/fcosc.2022.844299</w:t>
        </w:r>
      </w:hyperlink>
      <w:r>
        <w:t xml:space="preserve">.</w:t>
      </w:r>
    </w:p>
    <w:bookmarkEnd w:id="190"/>
    <w:bookmarkStart w:id="192"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91">
        <w:r>
          <w:rPr>
            <w:rStyle w:val="Hyperlink"/>
          </w:rPr>
          <w:t xml:space="preserve">https://doi.org/10.1016/j.biocon.2017.08.019</w:t>
        </w:r>
      </w:hyperlink>
      <w:r>
        <w:t xml:space="preserve">.</w:t>
      </w:r>
    </w:p>
    <w:bookmarkEnd w:id="192"/>
    <w:bookmarkStart w:id="194"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93">
        <w:r>
          <w:rPr>
            <w:rStyle w:val="Hyperlink"/>
          </w:rPr>
          <w:t xml:space="preserve">https://doi.org/10.1002/ece3.5607</w:t>
        </w:r>
      </w:hyperlink>
      <w:r>
        <w:t xml:space="preserve">.</w:t>
      </w:r>
    </w:p>
    <w:bookmarkEnd w:id="194"/>
    <w:bookmarkStart w:id="196"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95">
        <w:r>
          <w:rPr>
            <w:rStyle w:val="Hyperlink"/>
          </w:rPr>
          <w:t xml:space="preserve">https://books.google.com/books?id=H5nRqhCGA4UC</w:t>
        </w:r>
      </w:hyperlink>
      <w:r>
        <w:t xml:space="preserve">.</w:t>
      </w:r>
    </w:p>
    <w:bookmarkEnd w:id="196"/>
    <w:bookmarkStart w:id="198"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97">
        <w:r>
          <w:rPr>
            <w:rStyle w:val="Hyperlink"/>
          </w:rPr>
          <w:t xml:space="preserve">https://www.goletamonarchpress.com/2019/06/city-awarded-3-9-million-in-funding-for-the-monarch-butterfly-habitat-management-plan/</w:t>
        </w:r>
      </w:hyperlink>
      <w:r>
        <w:t xml:space="preserve">.</w:t>
      </w:r>
    </w:p>
    <w:bookmarkEnd w:id="198"/>
    <w:bookmarkStart w:id="200"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99">
        <w:r>
          <w:rPr>
            <w:rStyle w:val="Hyperlink"/>
          </w:rPr>
          <w:t xml:space="preserve">https://doi.org/10.1111/j.1365-2311.1978.tb00912.x</w:t>
        </w:r>
      </w:hyperlink>
      <w:r>
        <w:t xml:space="preserve">.</w:t>
      </w:r>
    </w:p>
    <w:bookmarkEnd w:id="200"/>
    <w:bookmarkStart w:id="201"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201"/>
    <w:bookmarkStart w:id="202"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202"/>
    <w:bookmarkStart w:id="204"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203">
        <w:r>
          <w:rPr>
            <w:rStyle w:val="Hyperlink"/>
          </w:rPr>
          <w:t xml:space="preserve">https://doi.org/10.1007/s00265-020-02842-z</w:t>
        </w:r>
      </w:hyperlink>
      <w:r>
        <w:t xml:space="preserve">.</w:t>
      </w:r>
    </w:p>
    <w:bookmarkEnd w:id="204"/>
    <w:bookmarkStart w:id="206"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205">
        <w:r>
          <w:rPr>
            <w:rStyle w:val="Hyperlink"/>
          </w:rPr>
          <w:t xml:space="preserve">https://doi.org/10.1016/j.biocon.2014.09.041</w:t>
        </w:r>
      </w:hyperlink>
      <w:r>
        <w:t xml:space="preserve">.</w:t>
      </w:r>
    </w:p>
    <w:bookmarkEnd w:id="206"/>
    <w:bookmarkStart w:id="207"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207"/>
    <w:bookmarkStart w:id="209"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208">
        <w:r>
          <w:rPr>
            <w:rStyle w:val="Hyperlink"/>
          </w:rPr>
          <w:t xml:space="preserve">http://www.creeksidescience.com</w:t>
        </w:r>
      </w:hyperlink>
      <w:r>
        <w:t xml:space="preserve">.</w:t>
      </w:r>
    </w:p>
    <w:bookmarkEnd w:id="209"/>
    <w:bookmarkStart w:id="211"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210">
        <w:r>
          <w:rPr>
            <w:rStyle w:val="Hyperlink"/>
          </w:rPr>
          <w:t xml:space="preserve">https://doi.org/10.1111/j.1523-1739.1991.tb00121.x</w:t>
        </w:r>
      </w:hyperlink>
      <w:r>
        <w:t xml:space="preserve">.</w:t>
      </w:r>
    </w:p>
    <w:bookmarkEnd w:id="211"/>
    <w:bookmarkStart w:id="213"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212">
        <w:r>
          <w:rPr>
            <w:rStyle w:val="Hyperlink"/>
          </w:rPr>
          <w:t xml:space="preserve">https://www.xerces.org/sites/default/files/2018-05/16-015_01_XercesSoc_State-of-Monarch-Overwintering-Sites-in-California_web.pdf</w:t>
        </w:r>
      </w:hyperlink>
      <w:r>
        <w:t xml:space="preserve">.</w:t>
      </w:r>
    </w:p>
    <w:bookmarkEnd w:id="213"/>
    <w:bookmarkStart w:id="214"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58">
        <w:r>
          <w:rPr>
            <w:rStyle w:val="Hyperlink"/>
          </w:rPr>
          <w:t xml:space="preserve">https://www.xerces.org</w:t>
        </w:r>
      </w:hyperlink>
      <w:r>
        <w:t xml:space="preserve">.</w:t>
      </w:r>
    </w:p>
    <w:bookmarkEnd w:id="214"/>
    <w:bookmarkStart w:id="216"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215">
        <w:r>
          <w:rPr>
            <w:rStyle w:val="Hyperlink"/>
          </w:rPr>
          <w:t xml:space="preserve">https://WesternMonarchCount.com</w:t>
        </w:r>
      </w:hyperlink>
      <w:r>
        <w:t xml:space="preserve">.</w:t>
      </w:r>
    </w:p>
    <w:bookmarkEnd w:id="216"/>
    <w:bookmarkStart w:id="218"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217">
        <w:r>
          <w:rPr>
            <w:rStyle w:val="Hyperlink"/>
          </w:rPr>
          <w:t xml:space="preserve">https://www.xerces.org/press/western-monarch-butterfly-population-declines-to-near-record-low</w:t>
        </w:r>
      </w:hyperlink>
      <w:r>
        <w:t xml:space="preserve">.</w:t>
      </w:r>
    </w:p>
    <w:bookmarkEnd w:id="218"/>
    <w:bookmarkStart w:id="220"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219">
        <w:r>
          <w:rPr>
            <w:rStyle w:val="Hyperlink"/>
          </w:rPr>
          <w:t xml:space="preserve">https://doi.org/10.1111/ecog.01994</w:t>
        </w:r>
      </w:hyperlink>
      <w:r>
        <w:t xml:space="preserve">.</w:t>
      </w:r>
    </w:p>
    <w:bookmarkEnd w:id="220"/>
    <w:bookmarkStart w:id="222"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221">
        <w:r>
          <w:rPr>
            <w:rStyle w:val="Hyperlink"/>
          </w:rPr>
          <w:t xml:space="preserve">https://doi.org/10.1111/j.1440-6055.1982.tb01803.x</w:t>
        </w:r>
      </w:hyperlink>
      <w:r>
        <w:t xml:space="preserve">.</w:t>
      </w:r>
    </w:p>
    <w:bookmarkEnd w:id="222"/>
    <w:bookmarkEnd w:id="223"/>
    <w:bookmarkEnd w:id="2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02" Target="media/rId102.png" /><Relationship Type="http://schemas.openxmlformats.org/officeDocument/2006/relationships/image" Id="rId89" Target="media/rId89.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59" Target="media/rId59.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hyperlink" Id="rId208" Target="http://www.creeksidescience.com" TargetMode="External" /><Relationship Type="http://schemas.openxmlformats.org/officeDocument/2006/relationships/hyperlink" Id="rId215" Target="https://WesternMonarchCount.com" TargetMode="External" /><Relationship Type="http://schemas.openxmlformats.org/officeDocument/2006/relationships/hyperlink" Id="rId195" Target="https://books.google.com/books?id=H5nRqhCGA4UC" TargetMode="External" /><Relationship Type="http://schemas.openxmlformats.org/officeDocument/2006/relationships/hyperlink" Id="rId137" Target="https://doi.org/10.1002/eap.1975" TargetMode="External" /><Relationship Type="http://schemas.openxmlformats.org/officeDocument/2006/relationships/hyperlink" Id="rId193" Target="https://doi.org/10.1002/ece3.5607" TargetMode="External" /><Relationship Type="http://schemas.openxmlformats.org/officeDocument/2006/relationships/hyperlink" Id="rId176" Target="https://doi.org/10.1002/ecy.3634" TargetMode="External" /><Relationship Type="http://schemas.openxmlformats.org/officeDocument/2006/relationships/hyperlink" Id="rId145" Target="https://doi.org/10.1006/anbe.1993.1120" TargetMode="External" /><Relationship Type="http://schemas.openxmlformats.org/officeDocument/2006/relationships/hyperlink" Id="rId160" Target="https://doi.org/10.1007/BF00298260" TargetMode="External" /><Relationship Type="http://schemas.openxmlformats.org/officeDocument/2006/relationships/hyperlink" Id="rId122" Target="https://doi.org/10.1007/BF00329753" TargetMode="External" /><Relationship Type="http://schemas.openxmlformats.org/officeDocument/2006/relationships/hyperlink" Id="rId203" Target="https://doi.org/10.1007/s00265-020-02842-z" TargetMode="External" /><Relationship Type="http://schemas.openxmlformats.org/officeDocument/2006/relationships/hyperlink" Id="rId112" Target="https://doi.org/10.1016/0022-1910(76)90046-9" TargetMode="External" /><Relationship Type="http://schemas.openxmlformats.org/officeDocument/2006/relationships/hyperlink" Id="rId116" Target="https://doi.org/10.1016/0022-1910(79)90112-4" TargetMode="External" /><Relationship Type="http://schemas.openxmlformats.org/officeDocument/2006/relationships/hyperlink" Id="rId205" Target="https://doi.org/10.1016/j.biocon.2014.09.041" TargetMode="External" /><Relationship Type="http://schemas.openxmlformats.org/officeDocument/2006/relationships/hyperlink" Id="rId191" Target="https://doi.org/10.1016/j.biocon.2017.08.019" TargetMode="External" /><Relationship Type="http://schemas.openxmlformats.org/officeDocument/2006/relationships/hyperlink" Id="rId187" Target="https://doi.org/10.1016/j.cub.2018.02.067" TargetMode="External" /><Relationship Type="http://schemas.openxmlformats.org/officeDocument/2006/relationships/hyperlink" Id="rId133" Target="https://doi.org/10.1016/j.jinsphys.2011.05.004" TargetMode="External" /><Relationship Type="http://schemas.openxmlformats.org/officeDocument/2006/relationships/hyperlink" Id="rId139" Target="https://doi.org/10.1016/j.jtherbio.2014.05.004" TargetMode="External" /><Relationship Type="http://schemas.openxmlformats.org/officeDocument/2006/relationships/hyperlink" Id="rId172" Target="https://doi.org/10.1038/s41598-017-14510-w" TargetMode="External" /><Relationship Type="http://schemas.openxmlformats.org/officeDocument/2006/relationships/hyperlink" Id="rId147" Target="https://doi.org/10.1046/j.1365-2311.2002.00454.x" TargetMode="External" /><Relationship Type="http://schemas.openxmlformats.org/officeDocument/2006/relationships/hyperlink" Id="rId178" Target="https://doi.org/10.1073/pnas.152137299" TargetMode="External" /><Relationship Type="http://schemas.openxmlformats.org/officeDocument/2006/relationships/hyperlink" Id="rId149" Target="https://doi.org/10.1080/02541858.1997.11448445" TargetMode="External" /><Relationship Type="http://schemas.openxmlformats.org/officeDocument/2006/relationships/hyperlink" Id="rId114" Target="https://doi.org/10.1086/698656" TargetMode="External" /><Relationship Type="http://schemas.openxmlformats.org/officeDocument/2006/relationships/hyperlink" Id="rId168" Target="https://doi.org/10.1093/aesa/83.5.906" TargetMode="External" /><Relationship Type="http://schemas.openxmlformats.org/officeDocument/2006/relationships/hyperlink" Id="rId170" Target="https://doi.org/10.1093/aesa/84.3.263" TargetMode="External" /><Relationship Type="http://schemas.openxmlformats.org/officeDocument/2006/relationships/hyperlink" Id="rId151" Target="https://doi.org/10.1098/rspb.2001.1765" TargetMode="External" /><Relationship Type="http://schemas.openxmlformats.org/officeDocument/2006/relationships/hyperlink" Id="rId182" Target="https://doi.org/10.1098/rspb.2020.2988" TargetMode="External" /><Relationship Type="http://schemas.openxmlformats.org/officeDocument/2006/relationships/hyperlink" Id="rId164" Target="https://doi.org/10.1111/aen.12175" TargetMode="External" /><Relationship Type="http://schemas.openxmlformats.org/officeDocument/2006/relationships/hyperlink" Id="rId143" Target="https://doi.org/10.1111/csp2.432" TargetMode="External" /><Relationship Type="http://schemas.openxmlformats.org/officeDocument/2006/relationships/hyperlink" Id="rId219" Target="https://doi.org/10.1111/ecog.01994" TargetMode="External" /><Relationship Type="http://schemas.openxmlformats.org/officeDocument/2006/relationships/hyperlink" Id="rId199" Target="https://doi.org/10.1111/j.1365-2311.1978.tb00912.x" TargetMode="External" /><Relationship Type="http://schemas.openxmlformats.org/officeDocument/2006/relationships/hyperlink" Id="rId131" Target="https://doi.org/10.1111/j.1365-2311.1982.tb00664.x" TargetMode="External" /><Relationship Type="http://schemas.openxmlformats.org/officeDocument/2006/relationships/hyperlink" Id="rId180" Target="https://doi.org/10.1111/j.1366-9516.2005.00146.x" TargetMode="External" /><Relationship Type="http://schemas.openxmlformats.org/officeDocument/2006/relationships/hyperlink" Id="rId221" Target="https://doi.org/10.1111/j.1440-6055.1982.tb01803.x" TargetMode="External" /><Relationship Type="http://schemas.openxmlformats.org/officeDocument/2006/relationships/hyperlink" Id="rId210" Target="https://doi.org/10.1111/j.1523-1739.1991.tb00121.x" TargetMode="External" /><Relationship Type="http://schemas.openxmlformats.org/officeDocument/2006/relationships/hyperlink" Id="rId118" Target="https://doi.org/10.1126/science.1225883" TargetMode="External" /><Relationship Type="http://schemas.openxmlformats.org/officeDocument/2006/relationships/hyperlink" Id="rId162" Target="https://doi.org/10.1242/jeb.073668" TargetMode="External" /><Relationship Type="http://schemas.openxmlformats.org/officeDocument/2006/relationships/hyperlink" Id="rId174" Target="https://doi.org/10.2307/1940444" TargetMode="External" /><Relationship Type="http://schemas.openxmlformats.org/officeDocument/2006/relationships/hyperlink" Id="rId129" Target="https://doi.org/10.2307/2387997" TargetMode="External" /><Relationship Type="http://schemas.openxmlformats.org/officeDocument/2006/relationships/hyperlink" Id="rId109" Target="https://doi.org/10.2307/2388612" TargetMode="External" /><Relationship Type="http://schemas.openxmlformats.org/officeDocument/2006/relationships/hyperlink" Id="rId141" Target="https://doi.org/10.3390/insects9040167" TargetMode="External" /><Relationship Type="http://schemas.openxmlformats.org/officeDocument/2006/relationships/hyperlink" Id="rId135" Target="https://hero.epa.gov/hero/index.cfm/reference/details/reference_id/52731" TargetMode="External" /><Relationship Type="http://schemas.openxmlformats.org/officeDocument/2006/relationships/hyperlink" Id="rId14" Target="https://kylenessen.github.io/monarch_trailcam_classifier/" TargetMode="External" /><Relationship Type="http://schemas.openxmlformats.org/officeDocument/2006/relationships/hyperlink" Id="rId189" Target="https://www.frontiersin.org/articles/10.3389/fcosc.2022.844299" TargetMode="External" /><Relationship Type="http://schemas.openxmlformats.org/officeDocument/2006/relationships/hyperlink" Id="rId185" Target="https://www.frontiersin.org/articles/10.3389/fevo.2019.00258" TargetMode="External" /><Relationship Type="http://schemas.openxmlformats.org/officeDocument/2006/relationships/hyperlink" Id="rId153" Target="https://www.frontiersin.org/articles/10.3389/fevo.2019.00266" TargetMode="External" /><Relationship Type="http://schemas.openxmlformats.org/officeDocument/2006/relationships/hyperlink" Id="rId197" Target="https://www.goletamonarchpress.com/2019/06/city-awarded-3-9-million-in-funding-for-the-monarch-butterfly-habitat-management-plan/" TargetMode="External" /><Relationship Type="http://schemas.openxmlformats.org/officeDocument/2006/relationships/hyperlink" Id="rId120" Target="https://www.ncbi.nlm.nih.gov/pubmed/8551296" TargetMode="External" /><Relationship Type="http://schemas.openxmlformats.org/officeDocument/2006/relationships/hyperlink" Id="rId124" Target="https://www.semanticscholar.org/paper/Heritability-of-spider-ballooning-motivation-under-Bonte-Lens/d6118c2cd143572bc4f098b5916186ec63c0f12a" TargetMode="External" /><Relationship Type="http://schemas.openxmlformats.org/officeDocument/2006/relationships/hyperlink" Id="rId126" Target="https://www.semanticscholar.org/paper/Understanding-and-misunderstanding-the-migration-of-Brower/79380ddbf559e310fef9bb8919c03c63ccddecb7" TargetMode="External" /><Relationship Type="http://schemas.openxmlformats.org/officeDocument/2006/relationships/hyperlink" Id="rId158" Target="https://www.xerces.org" TargetMode="External" /><Relationship Type="http://schemas.openxmlformats.org/officeDocument/2006/relationships/hyperlink" Id="rId217" Target="https://www.xerces.org/press/western-monarch-butterfly-population-declines-to-near-record-low" TargetMode="External" /><Relationship Type="http://schemas.openxmlformats.org/officeDocument/2006/relationships/hyperlink" Id="rId212" Target="https://www.xerces.org/sites/default/files/2018-05/16-015_01_XercesSoc_State-of-Monarch-Overwintering-Sites-in-California_web.pdf" TargetMode="External" /><Relationship Type="http://schemas.openxmlformats.org/officeDocument/2006/relationships/hyperlink" Id="rId156"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208" Target="http://www.creeksidescience.com" TargetMode="External" /><Relationship Type="http://schemas.openxmlformats.org/officeDocument/2006/relationships/hyperlink" Id="rId215" Target="https://WesternMonarchCount.com" TargetMode="External" /><Relationship Type="http://schemas.openxmlformats.org/officeDocument/2006/relationships/hyperlink" Id="rId195" Target="https://books.google.com/books?id=H5nRqhCGA4UC" TargetMode="External" /><Relationship Type="http://schemas.openxmlformats.org/officeDocument/2006/relationships/hyperlink" Id="rId137" Target="https://doi.org/10.1002/eap.1975" TargetMode="External" /><Relationship Type="http://schemas.openxmlformats.org/officeDocument/2006/relationships/hyperlink" Id="rId193" Target="https://doi.org/10.1002/ece3.5607" TargetMode="External" /><Relationship Type="http://schemas.openxmlformats.org/officeDocument/2006/relationships/hyperlink" Id="rId176" Target="https://doi.org/10.1002/ecy.3634" TargetMode="External" /><Relationship Type="http://schemas.openxmlformats.org/officeDocument/2006/relationships/hyperlink" Id="rId145" Target="https://doi.org/10.1006/anbe.1993.1120" TargetMode="External" /><Relationship Type="http://schemas.openxmlformats.org/officeDocument/2006/relationships/hyperlink" Id="rId160" Target="https://doi.org/10.1007/BF00298260" TargetMode="External" /><Relationship Type="http://schemas.openxmlformats.org/officeDocument/2006/relationships/hyperlink" Id="rId122" Target="https://doi.org/10.1007/BF00329753" TargetMode="External" /><Relationship Type="http://schemas.openxmlformats.org/officeDocument/2006/relationships/hyperlink" Id="rId203" Target="https://doi.org/10.1007/s00265-020-02842-z" TargetMode="External" /><Relationship Type="http://schemas.openxmlformats.org/officeDocument/2006/relationships/hyperlink" Id="rId112" Target="https://doi.org/10.1016/0022-1910(76)90046-9" TargetMode="External" /><Relationship Type="http://schemas.openxmlformats.org/officeDocument/2006/relationships/hyperlink" Id="rId116" Target="https://doi.org/10.1016/0022-1910(79)90112-4" TargetMode="External" /><Relationship Type="http://schemas.openxmlformats.org/officeDocument/2006/relationships/hyperlink" Id="rId205" Target="https://doi.org/10.1016/j.biocon.2014.09.041" TargetMode="External" /><Relationship Type="http://schemas.openxmlformats.org/officeDocument/2006/relationships/hyperlink" Id="rId191" Target="https://doi.org/10.1016/j.biocon.2017.08.019" TargetMode="External" /><Relationship Type="http://schemas.openxmlformats.org/officeDocument/2006/relationships/hyperlink" Id="rId187" Target="https://doi.org/10.1016/j.cub.2018.02.067" TargetMode="External" /><Relationship Type="http://schemas.openxmlformats.org/officeDocument/2006/relationships/hyperlink" Id="rId133" Target="https://doi.org/10.1016/j.jinsphys.2011.05.004" TargetMode="External" /><Relationship Type="http://schemas.openxmlformats.org/officeDocument/2006/relationships/hyperlink" Id="rId139" Target="https://doi.org/10.1016/j.jtherbio.2014.05.004" TargetMode="External" /><Relationship Type="http://schemas.openxmlformats.org/officeDocument/2006/relationships/hyperlink" Id="rId172" Target="https://doi.org/10.1038/s41598-017-14510-w" TargetMode="External" /><Relationship Type="http://schemas.openxmlformats.org/officeDocument/2006/relationships/hyperlink" Id="rId147" Target="https://doi.org/10.1046/j.1365-2311.2002.00454.x" TargetMode="External" /><Relationship Type="http://schemas.openxmlformats.org/officeDocument/2006/relationships/hyperlink" Id="rId178" Target="https://doi.org/10.1073/pnas.152137299" TargetMode="External" /><Relationship Type="http://schemas.openxmlformats.org/officeDocument/2006/relationships/hyperlink" Id="rId149" Target="https://doi.org/10.1080/02541858.1997.11448445" TargetMode="External" /><Relationship Type="http://schemas.openxmlformats.org/officeDocument/2006/relationships/hyperlink" Id="rId114" Target="https://doi.org/10.1086/698656" TargetMode="External" /><Relationship Type="http://schemas.openxmlformats.org/officeDocument/2006/relationships/hyperlink" Id="rId168" Target="https://doi.org/10.1093/aesa/83.5.906" TargetMode="External" /><Relationship Type="http://schemas.openxmlformats.org/officeDocument/2006/relationships/hyperlink" Id="rId170" Target="https://doi.org/10.1093/aesa/84.3.263" TargetMode="External" /><Relationship Type="http://schemas.openxmlformats.org/officeDocument/2006/relationships/hyperlink" Id="rId151" Target="https://doi.org/10.1098/rspb.2001.1765" TargetMode="External" /><Relationship Type="http://schemas.openxmlformats.org/officeDocument/2006/relationships/hyperlink" Id="rId182" Target="https://doi.org/10.1098/rspb.2020.2988" TargetMode="External" /><Relationship Type="http://schemas.openxmlformats.org/officeDocument/2006/relationships/hyperlink" Id="rId164" Target="https://doi.org/10.1111/aen.12175" TargetMode="External" /><Relationship Type="http://schemas.openxmlformats.org/officeDocument/2006/relationships/hyperlink" Id="rId143" Target="https://doi.org/10.1111/csp2.432" TargetMode="External" /><Relationship Type="http://schemas.openxmlformats.org/officeDocument/2006/relationships/hyperlink" Id="rId219" Target="https://doi.org/10.1111/ecog.01994" TargetMode="External" /><Relationship Type="http://schemas.openxmlformats.org/officeDocument/2006/relationships/hyperlink" Id="rId199" Target="https://doi.org/10.1111/j.1365-2311.1978.tb00912.x" TargetMode="External" /><Relationship Type="http://schemas.openxmlformats.org/officeDocument/2006/relationships/hyperlink" Id="rId131" Target="https://doi.org/10.1111/j.1365-2311.1982.tb00664.x" TargetMode="External" /><Relationship Type="http://schemas.openxmlformats.org/officeDocument/2006/relationships/hyperlink" Id="rId180" Target="https://doi.org/10.1111/j.1366-9516.2005.00146.x" TargetMode="External" /><Relationship Type="http://schemas.openxmlformats.org/officeDocument/2006/relationships/hyperlink" Id="rId221" Target="https://doi.org/10.1111/j.1440-6055.1982.tb01803.x" TargetMode="External" /><Relationship Type="http://schemas.openxmlformats.org/officeDocument/2006/relationships/hyperlink" Id="rId210" Target="https://doi.org/10.1111/j.1523-1739.1991.tb00121.x" TargetMode="External" /><Relationship Type="http://schemas.openxmlformats.org/officeDocument/2006/relationships/hyperlink" Id="rId118" Target="https://doi.org/10.1126/science.1225883" TargetMode="External" /><Relationship Type="http://schemas.openxmlformats.org/officeDocument/2006/relationships/hyperlink" Id="rId162" Target="https://doi.org/10.1242/jeb.073668" TargetMode="External" /><Relationship Type="http://schemas.openxmlformats.org/officeDocument/2006/relationships/hyperlink" Id="rId174" Target="https://doi.org/10.2307/1940444" TargetMode="External" /><Relationship Type="http://schemas.openxmlformats.org/officeDocument/2006/relationships/hyperlink" Id="rId129" Target="https://doi.org/10.2307/2387997" TargetMode="External" /><Relationship Type="http://schemas.openxmlformats.org/officeDocument/2006/relationships/hyperlink" Id="rId109" Target="https://doi.org/10.2307/2388612" TargetMode="External" /><Relationship Type="http://schemas.openxmlformats.org/officeDocument/2006/relationships/hyperlink" Id="rId141" Target="https://doi.org/10.3390/insects9040167" TargetMode="External" /><Relationship Type="http://schemas.openxmlformats.org/officeDocument/2006/relationships/hyperlink" Id="rId135" Target="https://hero.epa.gov/hero/index.cfm/reference/details/reference_id/52731" TargetMode="External" /><Relationship Type="http://schemas.openxmlformats.org/officeDocument/2006/relationships/hyperlink" Id="rId14" Target="https://kylenessen.github.io/monarch_trailcam_classifier/" TargetMode="External" /><Relationship Type="http://schemas.openxmlformats.org/officeDocument/2006/relationships/hyperlink" Id="rId189" Target="https://www.frontiersin.org/articles/10.3389/fcosc.2022.844299" TargetMode="External" /><Relationship Type="http://schemas.openxmlformats.org/officeDocument/2006/relationships/hyperlink" Id="rId185" Target="https://www.frontiersin.org/articles/10.3389/fevo.2019.00258" TargetMode="External" /><Relationship Type="http://schemas.openxmlformats.org/officeDocument/2006/relationships/hyperlink" Id="rId153" Target="https://www.frontiersin.org/articles/10.3389/fevo.2019.00266" TargetMode="External" /><Relationship Type="http://schemas.openxmlformats.org/officeDocument/2006/relationships/hyperlink" Id="rId197" Target="https://www.goletamonarchpress.com/2019/06/city-awarded-3-9-million-in-funding-for-the-monarch-butterfly-habitat-management-plan/" TargetMode="External" /><Relationship Type="http://schemas.openxmlformats.org/officeDocument/2006/relationships/hyperlink" Id="rId120" Target="https://www.ncbi.nlm.nih.gov/pubmed/8551296" TargetMode="External" /><Relationship Type="http://schemas.openxmlformats.org/officeDocument/2006/relationships/hyperlink" Id="rId124" Target="https://www.semanticscholar.org/paper/Heritability-of-spider-ballooning-motivation-under-Bonte-Lens/d6118c2cd143572bc4f098b5916186ec63c0f12a" TargetMode="External" /><Relationship Type="http://schemas.openxmlformats.org/officeDocument/2006/relationships/hyperlink" Id="rId126" Target="https://www.semanticscholar.org/paper/Understanding-and-misunderstanding-the-migration-of-Brower/79380ddbf559e310fef9bb8919c03c63ccddecb7" TargetMode="External" /><Relationship Type="http://schemas.openxmlformats.org/officeDocument/2006/relationships/hyperlink" Id="rId158" Target="https://www.xerces.org" TargetMode="External" /><Relationship Type="http://schemas.openxmlformats.org/officeDocument/2006/relationships/hyperlink" Id="rId217" Target="https://www.xerces.org/press/western-monarch-butterfly-population-declines-to-near-record-low" TargetMode="External" /><Relationship Type="http://schemas.openxmlformats.org/officeDocument/2006/relationships/hyperlink" Id="rId212" Target="https://www.xerces.org/sites/default/files/2018-05/16-015_01_XercesSoc_State-of-Monarch-Overwintering-Sites-in-California_web.pdf" TargetMode="External" /><Relationship Type="http://schemas.openxmlformats.org/officeDocument/2006/relationships/hyperlink" Id="rId156"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2025-10-10T05:09:17Z</dcterms:created>
  <dcterms:modified xsi:type="dcterms:W3CDTF">2025-10-10T05:09:17Z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