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3.png" ContentType="image/png"/>
  <Override PartName="/word/media/rId38.png" ContentType="image/png"/>
  <Override PartName="/word/media/rId33.png" ContentType="image/png"/>
  <Override PartName="/word/media/rId29.png" ContentType="image/png"/>
  <Override PartName="/word/media/rId49.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98"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through its remarkable multi-generational migration. North American monarchs complete an annual cycle that links vast northern breeding ranges with small, highly specific overwintering sites</w:t>
      </w:r>
      <w:r>
        <w:t xml:space="preserve"> </w:t>
      </w:r>
      <w:r>
        <w:t xml:space="preserve">(L. Brower 1995; Solensky 2004; S. Jepsen et al. 2015)</w:t>
      </w:r>
      <w:r>
        <w:t xml:space="preserve">. The continent is home to two populations separated by the Rocky Mountains: a larger Eastern population and a Western population</w:t>
      </w:r>
      <w:r>
        <w:t xml:space="preserve"> </w:t>
      </w:r>
      <w:r>
        <w:t xml:space="preserve">(Cockrell, Malcolm, and Brower 1993; S. Jepsen et al. 2015; Freedman et al. 2021)</w:t>
      </w:r>
      <w:r>
        <w:t xml:space="preserve">.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w:t>
      </w:r>
      <w:r>
        <w:t xml:space="preserve"> </w:t>
      </w:r>
      <w:r>
        <w:t xml:space="preserve">(Zalucki 1982; Cockrell, Malcolm, and Brower 1993)</w:t>
      </w:r>
      <w:r>
        <w:t xml:space="preserve">. This breeding phase builds the population as they radiate northward, but as late summer approaches, environmental cues such as shortening day length and cooling temperatures trigger the shift to the migratory generation</w:t>
      </w:r>
      <w:r>
        <w:t xml:space="preserve"> </w:t>
      </w:r>
      <w:r>
        <w:t xml:space="preserve">(Reppert and de Roode 2018; Goehring and Oberhauser 2002; Herman and Tatar 2001; Barker and Herman 1976)</w:t>
      </w:r>
      <w:r>
        <w:t xml:space="preserve">. These migratory adults exhibit a unique phenotype: they enter a state of reproductive diapause (suspended reproduction) and possess elongated wings suited for long-distance travel</w:t>
      </w:r>
      <w:r>
        <w:t xml:space="preserve"> </w:t>
      </w:r>
      <w:r>
        <w:t xml:space="preserve">(Barker and Herman 1976; Yang et al. 2016; Tuskes and Brower 1978)</w:t>
      </w:r>
      <w:r>
        <w:t xml:space="preserve">.</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w:t>
      </w:r>
      <w:r>
        <w:t xml:space="preserve"> </w:t>
      </w:r>
      <w:r>
        <w:t xml:space="preserve">(Herman and Tatar 2001; Chaplin and Wells 1982; Urquhart and Urquhart 1978)</w:t>
      </w:r>
      <w:r>
        <w:t xml:space="preserve">. Navigational feats are guided by a sophisticated system that includes a time-compensated sun compass residing in the antennae, allowing them to maintain direction throughout the day</w:t>
      </w:r>
      <w:r>
        <w:t xml:space="preserve"> </w:t>
      </w:r>
      <w:r>
        <w:t xml:space="preserve">(Mouritsen and Frost 2002; Nguyen et al. 2021)</w:t>
      </w:r>
      <w:r>
        <w:t xml:space="preserve">. Eastern monarchs travel to the high-altitude oyamel fir (</w:t>
      </w:r>
      <w:r>
        <w:rPr>
          <w:i/>
          <w:iCs/>
        </w:rPr>
        <w:t xml:space="preserve">Abies religiosa</w:t>
      </w:r>
      <w:r>
        <w:t xml:space="preserve">) forests in central Mexico, while the Western population migrates to overwintering groves located along the Pacific coast of California</w:t>
      </w:r>
      <w:r>
        <w:t xml:space="preserve"> </w:t>
      </w:r>
      <w:r>
        <w:t xml:space="preserve">(L. Brower 1995; Urquhart and Urquhart 1978)</w:t>
      </w:r>
      <w:r>
        <w:t xml:space="preserve">.</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w:t>
      </w:r>
      <w:r>
        <w:t xml:space="preserve"> </w:t>
      </w:r>
      <w:r>
        <w:t xml:space="preserve">(Solensky 2004; Vidal and Rendón-Salinas 2014; S. J. Jepsen and Black 2015)</w:t>
      </w:r>
      <w:r>
        <w:t xml:space="preserve">.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w:t>
      </w:r>
      <w:r>
        <w:t xml:space="preserve"> </w:t>
      </w:r>
      <w:r>
        <w:t xml:space="preserve">(Masters, Malcolm, and Brower 1988; Chaplin and Wells 1982; Kammer 1970; Alonso-Mejia and Arellano-Guillermo 1992)</w:t>
      </w:r>
      <w:r>
        <w:t xml:space="preserve">.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 Alonso-Mejia and Arellano-Guillermo 1992; Calvert, Zuchowski, and Brower 1983)</w:t>
      </w:r>
      <w:r>
        <w:t xml:space="preserve">.</w:t>
      </w:r>
    </w:p>
    <w:p>
      <w:pPr>
        <w:pStyle w:val="BodyText"/>
      </w:pPr>
      <w:r>
        <w:t xml:space="preserve">Building on early studies from Mexican overwintering sites that identified abiotic factors limiting butterfly survival, Leong proposed the microclimate hypothesis for western monarchs overwintering in California</w:t>
      </w:r>
      <w:r>
        <w:t xml:space="preserve"> </w:t>
      </w:r>
      <w:r>
        <w:t xml:space="preserve">(Kingston. L. H. Leong 1990)</w:t>
      </w:r>
      <w:r>
        <w:t xml:space="preserve">. This hypothesis posited that monarchs select clustering locations within groves based on a measurable microenvironmental envelope characterized by four key parameters: wind protection below 2 m/s to prevent cluster disruption,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 Kingston L. H. Leong et al. 1991)</w:t>
      </w:r>
      <w:r>
        <w:t xml:space="preserve">. Wind emerged as particularly critical in this framework, though these conclusions derived from correlational measurements rather than direct behavioral observations. Leong’s initial studies measured wind speeds at trees with and without butterfly clusters, while noting that</w:t>
      </w:r>
      <w:r>
        <w:t xml:space="preserve"> </w:t>
      </w:r>
      <w:r>
        <w:t xml:space="preserve">“during winter storms, the butterflies clustered on those few trees that offered the greatest protection against winds of 2 m/s or greater”</w:t>
      </w:r>
      <w:r>
        <w:t xml:space="preserve"> </w:t>
      </w:r>
      <w:r>
        <w:t xml:space="preserve">(Kingston. L. H. Leong 1990)</w:t>
      </w:r>
      <w:r>
        <w:t xml:space="preserve">, though the highest wind speed measured in this study was 1.66 m/s. Based on these correlational patterns, Leong reported that</w:t>
      </w:r>
      <w:r>
        <w:t xml:space="preserve"> </w:t>
      </w:r>
      <w:r>
        <w:t xml:space="preserve">“butterflies cluster in areas of the grove that offer exposure to filtered sunlight and shelter from strong wind movement”</w:t>
      </w:r>
      <w:r>
        <w:t xml:space="preserve"> </w:t>
      </w:r>
      <w:r>
        <w:t xml:space="preserve">(Kingston L. H. Leong et al. 1991)</w:t>
      </w:r>
      <w:r>
        <w:t xml:space="preserve">. In later publications, Leong described increasingly dramatic wind effects through anecdotal observations, noting that</w:t>
      </w:r>
      <w:r>
        <w:t xml:space="preserve"> </w:t>
      </w:r>
      <w:r>
        <w:t xml:space="preserve">“roosting butterflies were blown from their clusters or dislodged by excessive branch movements (shaking) caused by winds exceeding 2 m/sec”</w:t>
      </w:r>
      <w:r>
        <w:t xml:space="preserve"> </w:t>
      </w:r>
      <w:r>
        <w:t xml:space="preserve">and that</w:t>
      </w:r>
      <w:r>
        <w:t xml:space="preserve"> </w:t>
      </w:r>
      <w:r>
        <w:t xml:space="preserve">“upon dislodgment, the butterflies flew to and resettled on foliage of trees that offered better shelter from strong winds”</w:t>
      </w:r>
      <w:r>
        <w:t xml:space="preserve"> </w:t>
      </w:r>
      <w:r>
        <w:t xml:space="preserve">(K. L. H. Leong 1999)</w:t>
      </w:r>
      <w:r>
        <w:t xml:space="preserve">. When storm winds coincided with cold morning temperatures below 15°C,</w:t>
      </w:r>
      <w:r>
        <w:t xml:space="preserve"> </w:t>
      </w:r>
      <w:r>
        <w:t xml:space="preserve">“the dislodged butterflies would be blown to the ground and remain there until temperatures reached flight threshold,”</w:t>
      </w:r>
      <w:r>
        <w:t xml:space="preserve"> </w:t>
      </w:r>
      <w:r>
        <w:t xml:space="preserve">with</w:t>
      </w:r>
      <w:r>
        <w:t xml:space="preserve"> </w:t>
      </w:r>
      <w:r>
        <w:t xml:space="preserve">“butterflies littering the ground at the base of roosting trees”</w:t>
      </w:r>
      <w:r>
        <w:t xml:space="preserve"> </w:t>
      </w:r>
      <w:r>
        <w:t xml:space="preserve">commonly observed after winter storms</w:t>
      </w:r>
      <w:r>
        <w:t xml:space="preserve"> </w:t>
      </w:r>
      <w:r>
        <w:t xml:space="preserve">(K. L. H. Leong 1999)</w:t>
      </w:r>
      <w:r>
        <w:t xml:space="preserve">. Despite originating from correlational field measurements and anecdotal obervations, this hypothesis gained widespread acceptance and directly informed management guidelines at multiple levels. Leong’s 2016 synthesis for California Department of Fish and Wildlife formally established that</w:t>
      </w:r>
      <w:r>
        <w:t xml:space="preserve"> </w:t>
      </w:r>
      <w:r>
        <w:t xml:space="preserve">“winds ≥ 2 m/s are disruptive to the aggregating butterflies by blowing them from their roosting branches or dislodging them by shaking the branches,”</w:t>
      </w:r>
      <w:r>
        <w:t xml:space="preserve"> </w:t>
      </w:r>
      <w:r>
        <w:t xml:space="preserve">and that when subjected to such winds above flight threshold, butterflies</w:t>
      </w:r>
      <w:r>
        <w:t xml:space="preserve"> </w:t>
      </w:r>
      <w:r>
        <w:t xml:space="preserve">“either flew to a more sheltered area of the grove or, if no refuge area was available, abandoned the grove temporarily or for the remainder of the season”</w:t>
      </w:r>
      <w:r>
        <w:t xml:space="preserve"> </w:t>
      </w:r>
      <w:r>
        <w:t xml:space="preserve">(Kingston L. H. Leong 2016)</w:t>
      </w:r>
      <w:r>
        <w:t xml:space="preserve">. The microclimate hypothesis thus dictated that successful overwintering sites must consistently exhibit this specific suite of conditions, particularly wind protection, implying that these abiotic parameters should guide habitat restoration efforts, a principle now widely adopted in monarch conservation plans</w:t>
      </w:r>
      <w:r>
        <w:t xml:space="preserve"> </w:t>
      </w:r>
      <w:r>
        <w:t xml:space="preserve">(Xerces Society 2016; S. Jepsen et al. 2017; E. Pelton 2020; Stuart B. Weiss and Rich 2008; Althouse &amp; Meade, Inc. and Creekside Science 2023)</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w:t>
      </w:r>
      <w:r>
        <w:t xml:space="preserve"> </w:t>
      </w:r>
      <w:r>
        <w:t xml:space="preserve">(Saniee and Villablanca 2022)</w:t>
      </w:r>
      <w:r>
        <w:t xml:space="preserve">. Of the four original parameters, only light exposure showed potential support as a unifying factor, with successful overwintering sites exhibiting consistent patterns of canopy openness</w:t>
      </w:r>
      <w:r>
        <w:t xml:space="preserve"> </w:t>
      </w:r>
      <w:r>
        <w:t xml:space="preserve">(Saniee and Villablanca 2022; Stuart B. Weiss et al. 1991)</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of butterfly behavioral responses to wind exposure. Despite wind protection below 2 m/s being identified as a critical factor in Leong’s framework</w:t>
      </w:r>
      <w:r>
        <w:t xml:space="preserve"> </w:t>
      </w:r>
      <w:r>
        <w:t xml:space="preserve">(Kingston L. H. Leong 2016)</w:t>
      </w:r>
      <w:r>
        <w:t xml:space="preserve">, widely adopted in restoration efforts</w:t>
      </w:r>
      <w:r>
        <w:t xml:space="preserve"> </w:t>
      </w:r>
      <w:r>
        <w:t xml:space="preserve">(Xerces Society 2018; S. Jepsen et al. 2017; Althouse &amp; Meade, Inc. and Creekside Science 2023; U.S. Fish and Wildlife Service 2024; Stuart B. Weiss 2018)</w:t>
      </w:r>
      <w:r>
        <w:t xml:space="preserve">, no study has established causal relationships between wind exposure and butterfly behavior. Leong’s methodology of comparing wind measurements between occupied and unoccupied trees provided only correlational evidence, never directly testing butterfly responses to wind exposure or distinguishing whether butterflies actively avoid wind or whether wind simply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most critical state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 Marini and Zalucki 2017)</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The Monarch Press 2019)</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 Kammer 1970)</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w:t>
      </w:r>
      <w:r>
        <w:t xml:space="preserve"> </w:t>
      </w:r>
      <w:r>
        <w:t xml:space="preserve">(Mouritsen and Frost 2002)</w:t>
      </w:r>
      <w:r>
        <w:t xml:space="preserve">.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p>
      <w:pPr>
        <w:pStyle w:val="BodyText"/>
      </w:pPr>
      <w:r>
        <w:t xml:space="preserve">Finally, we hypothesized that experiencing disruptive winds affects monarch site fidelity. If wind disruption influences future roost selection, we predict decreased site fidelity manifested as sustained abundance reductions at wind-disturbed roosts compared to pre-disturbance levels.</w:t>
      </w:r>
    </w:p>
    <w:bookmarkStart w:id="25" w:name="materials-and-methods"/>
    <w:p>
      <w:pPr>
        <w:pStyle w:val="Heading2"/>
      </w:pPr>
      <w:r>
        <w:t xml:space="preserve">Materials and Methods</w:t>
      </w:r>
    </w:p>
    <w:bookmarkStart w:id="9"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9"/>
    <w:bookmarkStart w:id="10"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0"/>
    <w:bookmarkStart w:id="11"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1"/>
    <w:bookmarkStart w:id="16" w:name="image-analysis"/>
    <w:p>
      <w:pPr>
        <w:pStyle w:val="Heading3"/>
      </w:pPr>
      <w:r>
        <w:t xml:space="preserve">Image Analysis</w:t>
      </w:r>
    </w:p>
    <w:bookmarkStart w:id="12"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2"/>
    <w:bookmarkStart w:id="14"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3">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4"/>
    <w:bookmarkStart w:id="15"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5"/>
    <w:bookmarkEnd w:id="16"/>
    <w:bookmarkStart w:id="17"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7"/>
    <w:bookmarkStart w:id="24" w:name="sec:statistical-analysis"/>
    <w:p>
      <w:pPr>
        <w:pStyle w:val="Heading3"/>
      </w:pPr>
      <w:r>
        <w:t xml:space="preserve">Statistical Analysis</w:t>
      </w:r>
    </w:p>
    <w:bookmarkStart w:id="18"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8"/>
    <w:bookmarkStart w:id="19"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19"/>
    <w:bookmarkStart w:id="20"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0"/>
    <w:bookmarkStart w:id="21"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1"/>
    <w:bookmarkStart w:id="22"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2"/>
    <w:bookmarkStart w:id="23" w:name="dynamic-window-analysis"/>
    <w:p>
      <w:pPr>
        <w:pStyle w:val="Heading4"/>
      </w:pPr>
      <w:r>
        <w:t xml:space="preserve">Dynamic Window Analysis</w:t>
      </w:r>
    </w:p>
    <w:p>
      <w:pPr>
        <w:pStyle w:val="FirstParagraph"/>
      </w:pPr>
      <w:r>
        <w:t xml:space="preserve">To examine whether day-to-day changes in roost size depend on cumulative weather exposure aligned with butterfly roosting biology, we conducted a complementary analysis using dynamic temporal windows. This approach tested wind effects at a daily scale, capturing overnight and full-day weather exposure that the 30-minute lag analysis could not assess.</w:t>
      </w:r>
    </w:p>
    <w:p>
      <w:pPr>
        <w:pStyle w:val="BodyText"/>
      </w:pPr>
      <w:r>
        <w:t xml:space="preserve">We constructed two window definitions to test the robustness of our findings. The sunset window spanned from the previous day’s maximum butterfly count to the current day’s last observation, approximating functional sunset when roosting decisions finalize. This biologically-aligned window varied in duration (mean = 29.6 hours) to capture the complete exposure period from peak aggregation through the subsequent roosting decision point. The 24-hour window provided a standardized comparison, extending exactly 24 hours from the previous day’s maximum count.</w:t>
      </w:r>
    </w:p>
    <w:p>
      <w:pPr>
        <w:pStyle w:val="BodyText"/>
      </w:pPr>
      <w:r>
        <w:t xml:space="preserve">Daily aggregates were computed for each deployment-day combination, including maximum butterfly count, 95th percentile count, and mean of the top three counts. We retained only days with 15-25 daytime photographs to ensure adequate temporal coverage, then constructed consecutive day pairs separated by exactly one day. Pairs where both days recorded zero butterflies were excluded as uninformative. The response variable, defined as the change in maximum daily count between consecutive days, underwent signed square root transformation to achieve approximate normality while preserving directional information.</w:t>
      </w:r>
    </w:p>
    <w:p>
      <w:pPr>
        <w:pStyle w:val="BodyText"/>
      </w:pPr>
      <w:r>
        <w:t xml:space="preserve">Weather metrics were calculated within each dynamic window. Temperature variables included minimum, maximum, and mean values, plus cumulative metrics such as degree-hours above 15°C. Wind measurements comprised average sustained speed, maximum gust, cumulative gust exposure, and time above the proposed 2 m/s threshold. Direct sun exposure was quantified as the cumulative count of butterflies observed in direct sunlight across all frames within the window, integrating both exposure duration and instantaneous abundance. We required 95% data completeness across temperature, wind, and daylight observations, calculated as the geometric mean of coverage ratios.</w:t>
      </w:r>
    </w:p>
    <w:p>
      <w:pPr>
        <w:pStyle w:val="BodyText"/>
      </w:pPr>
      <w:r>
        <w:t xml:space="preserve">Variable selection for the dynamic window analysis began with 19 candidate predictors spanning baseline abundance metrics, temperature summaries, wind exposure measures, and cumulative sun exposure. We conducted correlation analysis to identify multicollinearity within predictor families, particularly among the highly intercorrelated wind metrics (all pairwise correlations</w:t>
      </w:r>
      <w:r>
        <w:t xml:space="preserve"> </w:t>
      </w:r>
      <m:oMath>
        <m:r>
          <m:t>r</m:t>
        </m:r>
        <m:r>
          <m:rPr>
            <m:sty m:val="p"/>
          </m:rPr>
          <m:t>&gt;</m:t>
        </m:r>
        <m:r>
          <m:t>0.75</m:t>
        </m:r>
      </m:oMath>
      <w:r>
        <w:t xml:space="preserve">) and temperature variables. Based on this analysis, we selected predictors that minimized redundancy while maintaining interpretability and adequate degrees of freedom relative to sample size.</w:t>
      </w:r>
    </w:p>
    <w:p>
      <w:pPr>
        <w:pStyle w:val="BodyText"/>
      </w:pPr>
      <w:r>
        <w:t xml:space="preserve">For wind exposure, we selected maximum wind gust as the primary metric because it captured the variance of all wind variables in a single interpretable measure, showed high correlation with sustained speed, gust summation, and threshold exceedance metrics, and maintained consistency with the 30-minute analysis. We excluded wind mode gust despite its biological relevance because it contained only approximately five unique values across the dataset, causing model convergence issues. Temperature representation focused on non-overlapping summaries that captured both the exposure range (minimum and maximum) and the thermal state at the previous day’s peak abundance. We excluded highly correlated metrics such as mean temperature and degree-hours above 15°C to reduce multicollinearity. The cumulative direct sun exposure variable was retained as a biologically relevant measure of thermal conditions that integrated both exposure duration and instantaneous abundance. For the sunset window analysis, we included lag duration (hours) as a control variable to account for varying window lengths.</w:t>
      </w:r>
    </w:p>
    <w:p>
      <w:pPr>
        <w:pStyle w:val="BodyText"/>
      </w:pPr>
      <w:r>
        <w:t xml:space="preserve">Model selection followed the same information-theoretic approach as the 30-minute analysis. We evaluated 76 candidate models per window type using generalized additive mixed models with deployment random intercepts and AR(1) temporal correlation structures. The candidate set included null models, single predictors, additive combinations, and models with smooth interaction terms. To address potential overfitting given the reduced sample size (n = 94-96 pairs), we applied conservative thresholds for the ratio of effective degrees of freedom to sample size and conducted leave-one-deployment-out cross-validation on top-performing models. The final predictor set comprised: temperature minimum and maximum, maximum wind gust, cumulative direct sun exposure, and baseline abundance controls.</w:t>
      </w:r>
    </w:p>
    <w:bookmarkEnd w:id="23"/>
    <w:bookmarkEnd w:id="24"/>
    <w:bookmarkEnd w:id="25"/>
    <w:bookmarkStart w:id="67" w:name="results"/>
    <w:p>
      <w:pPr>
        <w:pStyle w:val="Heading2"/>
      </w:pPr>
      <w:r>
        <w:t xml:space="preserve">Results</w:t>
      </w:r>
    </w:p>
    <w:bookmarkStart w:id="26" w:name="descriptive-statistics"/>
    <w:p>
      <w:pPr>
        <w:pStyle w:val="Heading3"/>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6"/>
    <w:bookmarkStart w:id="54" w:name="wind-disruption-analysis"/>
    <w:p>
      <w:pPr>
        <w:pStyle w:val="Heading3"/>
      </w:pPr>
      <w:r>
        <w:t xml:space="preserve">Wind Disruption Analysis</w:t>
      </w:r>
    </w:p>
    <w:p>
      <w:pPr>
        <w:pStyle w:val="FirstParagraph"/>
      </w:pPr>
      <w:r>
        <w:t xml:space="preserve">To examine how monarchs respond to immediate environmental conditions, we analyzed 1,894 paired observations collected at 30-minute intervals throughout the overwintering season. This responsive change analysis tested whether short-term fluctuations in cluster size could be explained by concurrent weather variables, particularly wind exposure.</w:t>
      </w:r>
    </w:p>
    <w:bookmarkStart w:id="27" w:name="model-selection"/>
    <w:p>
      <w:pPr>
        <w:pStyle w:val="Heading4"/>
      </w:pPr>
      <w:r>
        <w:t xml:space="preserve">Model Selection</w:t>
      </w:r>
    </w:p>
    <w:p>
      <w:pPr>
        <w:pStyle w:val="FirstParagraph"/>
      </w:pPr>
      <w:r>
        <w:t xml:space="preserve">We evaluated 52 candidate models using generalized additive mixed models (GAMMs) to identify the environmental predictors of monarch abundance changes. Model selection via Akaike Information Criterion (AIC) identified M50 as the decisively best-fit model, capturing 85.8% of the total model weight (Table </w:t>
      </w:r>
      <w:hyperlink w:anchor="tab:export-model-selection-table">
        <w:r>
          <w:rPr>
            <w:rStyle w:val="Hyperlink"/>
          </w:rPr>
          <w:t xml:space="preserve">[tab:export-model-selection-table]</w:t>
        </w:r>
      </w:hyperlink>
      <w:r>
        <w:t xml:space="preserve">). The next best model (M23) showed substantially weaker support with</w:t>
      </w:r>
      <w:r>
        <w:t xml:space="preserve"> </w:t>
      </w:r>
      <m:oMath>
        <m:r>
          <m:rPr>
            <m:sty m:val="p"/>
          </m:rPr>
          <m:t>Δ</m:t>
        </m:r>
      </m:oMath>
      <w:r>
        <w:t xml:space="preserve">AIC = 3.8 and only 12.6% model weight. Model M50 incorporated smooth terms for previous butterfly count, temperature, and time since sunrise, along with a tensor interaction between maximum wind speed and butterflies in direct sun.</w:t>
      </w:r>
    </w:p>
    <w:p>
      <w:pPr>
        <w:pStyle w:val="TableCaption"/>
      </w:pPr>
      <w:r>
        <w:t xml:space="preserve">Top 5 models ranked by AIC (30-minute analysis)</w:t>
      </w:r>
    </w:p>
    <w:tbl>
      <w:tblPr>
        <w:tblStyle w:val="Table"/>
        <w:tblW w:type="auto" w:w="0"/>
        <w:tblLook w:firstRow="1" w:lastRow="0" w:firstColumn="0" w:lastColumn="0" w:noHBand="0" w:noVBand="0" w:val="0020"/>
        <w:tblCaption w:val="Top 5 models ranked by AIC (30-minute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M50</w:t>
            </w:r>
          </w:p>
        </w:tc>
        <w:tc>
          <w:tcPr/>
          <w:p>
            <w:pPr>
              <w:pStyle w:val="Compact"/>
              <w:jc w:val="left"/>
            </w:pPr>
            <w:r>
              <w:t xml:space="preserve">Previous butterfly count, Temperature, Time since sunrise, Interaction (tensor): Maximum wind speed, Butterflies in direct sun</w:t>
            </w:r>
          </w:p>
        </w:tc>
        <w:tc>
          <w:tcPr/>
          <w:p>
            <w:pPr>
              <w:pStyle w:val="Compact"/>
              <w:jc w:val="right"/>
            </w:pPr>
            <w:r>
              <w:t xml:space="preserve">8074.03</w:t>
            </w:r>
          </w:p>
        </w:tc>
        <w:tc>
          <w:tcPr/>
          <w:p>
            <w:pPr>
              <w:pStyle w:val="Compact"/>
              <w:jc w:val="right"/>
            </w:pPr>
            <w:r>
              <w:t xml:space="preserve">0.00</w:t>
            </w:r>
          </w:p>
        </w:tc>
        <w:tc>
          <w:tcPr/>
          <w:p>
            <w:pPr>
              <w:pStyle w:val="Compact"/>
              <w:jc w:val="right"/>
            </w:pPr>
            <w:r>
              <w:t xml:space="preserve">0.86</w:t>
            </w:r>
          </w:p>
        </w:tc>
      </w:tr>
      <w:tr>
        <w:tc>
          <w:tcPr/>
          <w:p>
            <w:pPr>
              <w:pStyle w:val="Compact"/>
              <w:jc w:val="left"/>
            </w:pPr>
            <w:r>
              <w:t xml:space="preserve">M23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3.83</w:t>
            </w:r>
          </w:p>
        </w:tc>
        <w:tc>
          <w:tcPr/>
          <w:p>
            <w:pPr>
              <w:pStyle w:val="Compact"/>
              <w:jc w:val="right"/>
            </w:pPr>
            <w:r>
              <w:t xml:space="preserve">0.13</w:t>
            </w:r>
          </w:p>
        </w:tc>
      </w:tr>
      <w:tr>
        <w:tc>
          <w:tcPr/>
          <w:p>
            <w:pPr>
              <w:pStyle w:val="Compact"/>
              <w:jc w:val="left"/>
            </w:pPr>
            <w:r>
              <w:t xml:space="preserve">M22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8.87</w:t>
            </w:r>
          </w:p>
        </w:tc>
        <w:tc>
          <w:tcPr/>
          <w:p>
            <w:pPr>
              <w:pStyle w:val="Compact"/>
              <w:jc w:val="right"/>
            </w:pPr>
            <w:r>
              <w:t xml:space="preserve">0.01</w:t>
            </w:r>
          </w:p>
        </w:tc>
      </w:tr>
      <w:tr>
        <w:tc>
          <w:tcPr/>
          <w:p>
            <w:pPr>
              <w:pStyle w:val="Compact"/>
              <w:jc w:val="left"/>
            </w:pPr>
            <w:r>
              <w:t xml:space="preserve">M24</w:t>
            </w:r>
          </w:p>
        </w:tc>
        <w:tc>
          <w:tcPr/>
          <w:p>
            <w:pPr>
              <w:pStyle w:val="Compact"/>
              <w:jc w:val="left"/>
            </w:pPr>
            <w:r>
              <w:t xml:space="preserve">Previous butterfly count, Maximum wind speed, Temperature, Butterflies in direct sun, Time since sunrise</w:t>
            </w:r>
          </w:p>
        </w:tc>
        <w:tc>
          <w:tcPr/>
          <w:p>
            <w:pPr>
              <w:pStyle w:val="Compact"/>
              <w:jc w:val="right"/>
            </w:pPr>
            <w:r>
              <w:t xml:space="preserve">8084.05</w:t>
            </w:r>
          </w:p>
        </w:tc>
        <w:tc>
          <w:tcPr/>
          <w:p>
            <w:pPr>
              <w:pStyle w:val="Compact"/>
              <w:jc w:val="right"/>
            </w:pPr>
            <w:r>
              <w:t xml:space="preserve">10.02</w:t>
            </w:r>
          </w:p>
        </w:tc>
        <w:tc>
          <w:tcPr/>
          <w:p>
            <w:pPr>
              <w:pStyle w:val="Compact"/>
              <w:jc w:val="right"/>
            </w:pPr>
            <w:r>
              <w:t xml:space="preserve">0.01</w:t>
            </w:r>
          </w:p>
        </w:tc>
      </w:tr>
      <w:tr>
        <w:tc>
          <w:tcPr/>
          <w:p>
            <w:pPr>
              <w:pStyle w:val="Compact"/>
              <w:jc w:val="left"/>
            </w:pPr>
            <w:r>
              <w:t xml:space="preserve">M52</w:t>
            </w:r>
          </w:p>
        </w:tc>
        <w:tc>
          <w:tcPr/>
          <w:p>
            <w:pPr>
              <w:pStyle w:val="Compact"/>
              <w:jc w:val="left"/>
            </w:pPr>
            <w:r>
              <w:t xml:space="preserve">Temperature, Time since sunrise, Interaction (tensor): Maximum wind speed, Butterflies in direct sun</w:t>
            </w:r>
          </w:p>
        </w:tc>
        <w:tc>
          <w:tcPr/>
          <w:p>
            <w:pPr>
              <w:pStyle w:val="Compact"/>
              <w:jc w:val="right"/>
            </w:pPr>
            <w:r>
              <w:t xml:space="preserve">8092.72</w:t>
            </w:r>
          </w:p>
        </w:tc>
        <w:tc>
          <w:tcPr/>
          <w:p>
            <w:pPr>
              <w:pStyle w:val="Compact"/>
              <w:jc w:val="right"/>
            </w:pPr>
            <w:r>
              <w:t xml:space="preserve">18.69</w:t>
            </w:r>
          </w:p>
        </w:tc>
        <w:tc>
          <w:tcPr/>
          <w:p>
            <w:pPr>
              <w:pStyle w:val="Compact"/>
              <w:jc w:val="right"/>
            </w:pPr>
            <w:r>
              <w:t xml:space="preserve">0.00</w:t>
            </w:r>
          </w:p>
        </w:tc>
      </w:tr>
    </w:tbl>
    <w:bookmarkEnd w:id="27"/>
    <w:bookmarkStart w:id="37" w:name="analysis-of-best-fit-model"/>
    <w:p>
      <w:pPr>
        <w:pStyle w:val="Heading4"/>
      </w:pPr>
      <w:r>
        <w:t xml:space="preserve">Analysis of Best Fit Model</w:t>
      </w:r>
    </w:p>
    <w:p>
      <w:pPr>
        <w:pStyle w:val="FirstParagraph"/>
      </w:pPr>
      <w:r>
        <w:t xml:space="preserve">The best-fit model (M50) predicted change in butterfly abundance as a function of: (1) the previous observation’s butterfly count, (2) average temperature, (3) time since sunrise, and (4) an interaction between maximum wind gust speed and the number of butterflies in direct sunlight.</w:t>
      </w:r>
    </w:p>
    <w:p>
      <w:pPr>
        <w:pStyle w:val="BodyText"/>
      </w:pPr>
      <w:r>
        <w:t xml:space="preserve">Statistical analysis of the model revealed significant effects for three of the four predictors (Table </w:t>
      </w:r>
      <w:hyperlink w:anchor="tab:m50_summary">
        <w:r>
          <w:rPr>
            <w:rStyle w:val="Hyperlink"/>
          </w:rPr>
          <w:t xml:space="preserve">1.1</w:t>
        </w:r>
      </w:hyperlink>
      <w:r>
        <w:t xml:space="preserve">). The previous butterfly count (F = 12.50, p</w:t>
      </w:r>
      <w:r>
        <w:t xml:space="preserve"> </w:t>
      </w:r>
      <m:oMath>
        <m:r>
          <m:rPr>
            <m:sty m:val="p"/>
          </m:rPr>
          <m:t>&lt;</m:t>
        </m:r>
      </m:oMath>
      <w:r>
        <w:t xml:space="preserve"> </w:t>
      </w:r>
      <w:r>
        <w:t xml:space="preserve">0.001), time since sunrise (F = 9.85, p</w:t>
      </w:r>
      <w:r>
        <w:t xml:space="preserve"> </w:t>
      </w:r>
      <m:oMath>
        <m:r>
          <m:rPr>
            <m:sty m:val="p"/>
          </m:rPr>
          <m:t>&lt;</m:t>
        </m:r>
      </m:oMath>
      <w:r>
        <w:t xml:space="preserve"> </w:t>
      </w:r>
      <w:r>
        <w:t xml:space="preserve">0.001), and the wind-sunlight interaction (F = 4.67, p</w:t>
      </w:r>
      <w:r>
        <w:t xml:space="preserve"> </w:t>
      </w:r>
      <m:oMath>
        <m:r>
          <m:rPr>
            <m:sty m:val="p"/>
          </m:rPr>
          <m:t>&lt;</m:t>
        </m:r>
      </m:oMath>
      <w:r>
        <w:t xml:space="preserve"> </w:t>
      </w:r>
      <w:r>
        <w:t xml:space="preserve">0.001) all showed strong statistical significance. Temperature effects approached but did not reach conventional significance thresholds (F = 3.19, p = 0.057). The model explained 6.4% of the variance in butterfly abundance changes (adjusted</w:t>
      </w:r>
      <w:r>
        <w:t xml:space="preserve"> </w:t>
      </w:r>
      <m:oMath>
        <m:sSup>
          <m:e>
            <m:r>
              <m:t>R</m:t>
            </m:r>
          </m:e>
          <m:sup>
            <m:r>
              <m:t>2</m:t>
            </m:r>
          </m:sup>
        </m:sSup>
      </m:oMath>
      <w:r>
        <w:t xml:space="preserve"> </w:t>
      </w:r>
      <w:r>
        <w:t xml:space="preserve">= 0.064, n = 1894).</w:t>
      </w:r>
    </w:p>
    <w:bookmarkStart w:id="28" w:name="tab:m50_summary"/>
    <w:p>
      <w:pPr>
        <w:pStyle w:val="TableCaption"/>
      </w:pPr>
      <w:r>
        <w:t xml:space="preserve">Summary of best-fit model (M50) for predicting changes in butterfly abundance. The model uses cube-root transformed butterfly count differences as the response variable.</w:t>
      </w:r>
    </w:p>
    <w:tbl>
      <w:tblPr>
        <w:tblStyle w:val="Table"/>
        <w:tblW w:type="auto" w:w="0"/>
        <w:tblLook w:firstRow="1" w:lastRow="0" w:firstColumn="0" w:lastColumn="0" w:noHBand="0" w:noVBand="0" w:val="0020"/>
        <w:tblCaption w:val="Summary of best-fit model (M50) for predicting changes in butterfly abundance. The model uses cube-root transformed butterfly count differences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butterfly count</w:t>
            </w:r>
          </w:p>
        </w:tc>
        <w:tc>
          <w:tcPr/>
          <w:p>
            <w:pPr>
              <w:pStyle w:val="Compact"/>
              <w:jc w:val="center"/>
            </w:pPr>
            <w:r>
              <w:t xml:space="preserve">2.41</w:t>
            </w:r>
          </w:p>
        </w:tc>
        <w:tc>
          <w:tcPr/>
          <w:p>
            <w:pPr>
              <w:pStyle w:val="Compact"/>
              <w:jc w:val="center"/>
            </w:pPr>
            <w:r>
              <w:t xml:space="preserve">2.41</w:t>
            </w:r>
          </w:p>
        </w:tc>
        <w:tc>
          <w:tcPr/>
          <w:p>
            <w:pPr>
              <w:pStyle w:val="Compact"/>
              <w:jc w:val="center"/>
            </w:pPr>
            <w:r>
              <w:t xml:space="preserve">12.50</w:t>
            </w:r>
          </w:p>
        </w:tc>
        <w:tc>
          <w:tcPr/>
          <w:p>
            <w:pPr>
              <w:pStyle w:val="Compact"/>
              <w:jc w:val="center"/>
            </w:pPr>
            <m:oMath>
              <m:r>
                <m:rPr>
                  <m:sty m:val="p"/>
                </m:rPr>
                <m:t>&lt;</m:t>
              </m:r>
            </m:oMath>
            <w:r>
              <w:t xml:space="preserve"> </w:t>
            </w:r>
            <w:r>
              <w:t xml:space="preserve">0.001***</w:t>
            </w:r>
          </w:p>
        </w:tc>
      </w:tr>
      <w:tr>
        <w:tc>
          <w:tcPr/>
          <w:p>
            <w:pPr>
              <w:pStyle w:val="Compact"/>
              <w:jc w:val="left"/>
            </w:pPr>
            <w:r>
              <w:t xml:space="preserve">Average temperature</w:t>
            </w:r>
          </w:p>
        </w:tc>
        <w:tc>
          <w:tcPr/>
          <w:p>
            <w:pPr>
              <w:pStyle w:val="Compact"/>
              <w:jc w:val="center"/>
            </w:pPr>
            <w:r>
              <w:t xml:space="preserve">3.68</w:t>
            </w:r>
          </w:p>
        </w:tc>
        <w:tc>
          <w:tcPr/>
          <w:p>
            <w:pPr>
              <w:pStyle w:val="Compact"/>
              <w:jc w:val="center"/>
            </w:pPr>
            <w:r>
              <w:t xml:space="preserve">3.68</w:t>
            </w:r>
          </w:p>
        </w:tc>
        <w:tc>
          <w:tcPr/>
          <w:p>
            <w:pPr>
              <w:pStyle w:val="Compact"/>
              <w:jc w:val="center"/>
            </w:pPr>
            <w:r>
              <w:t xml:space="preserve">3.19</w:t>
            </w:r>
          </w:p>
        </w:tc>
        <w:tc>
          <w:tcPr/>
          <w:p>
            <w:pPr>
              <w:pStyle w:val="Compact"/>
              <w:jc w:val="center"/>
            </w:pPr>
            <w:r>
              <w:t xml:space="preserve">0.057</w:t>
            </w:r>
          </w:p>
        </w:tc>
      </w:tr>
      <w:tr>
        <w:tc>
          <w:tcPr/>
          <w:p>
            <w:pPr>
              <w:pStyle w:val="Compact"/>
              <w:jc w:val="left"/>
            </w:pPr>
            <w:r>
              <w:t xml:space="preserve">Time since sunrise</w:t>
            </w:r>
          </w:p>
        </w:tc>
        <w:tc>
          <w:tcPr/>
          <w:p>
            <w:pPr>
              <w:pStyle w:val="Compact"/>
              <w:jc w:val="center"/>
            </w:pPr>
            <w:r>
              <w:t xml:space="preserve">4.87</w:t>
            </w:r>
          </w:p>
        </w:tc>
        <w:tc>
          <w:tcPr/>
          <w:p>
            <w:pPr>
              <w:pStyle w:val="Compact"/>
              <w:jc w:val="center"/>
            </w:pPr>
            <w:r>
              <w:t xml:space="preserve">4.87</w:t>
            </w:r>
          </w:p>
        </w:tc>
        <w:tc>
          <w:tcPr/>
          <w:p>
            <w:pPr>
              <w:pStyle w:val="Compact"/>
              <w:jc w:val="center"/>
            </w:pPr>
            <w:r>
              <w:t xml:space="preserve">9.85</w:t>
            </w:r>
          </w:p>
        </w:tc>
        <w:tc>
          <w:tcPr/>
          <w:p>
            <w:pPr>
              <w:pStyle w:val="Compact"/>
              <w:jc w:val="center"/>
            </w:pPr>
            <m:oMath>
              <m:r>
                <m:rPr>
                  <m:sty m:val="p"/>
                </m:rPr>
                <m:t>&lt;</m:t>
              </m:r>
            </m:oMath>
            <w:r>
              <w:t xml:space="preserve"> </w:t>
            </w:r>
            <w:r>
              <w:t xml:space="preserve">0.001***</w:t>
            </w:r>
          </w:p>
        </w:tc>
      </w:tr>
      <w:tr>
        <w:tc>
          <w:tcPr/>
          <w:p>
            <w:pPr>
              <w:pStyle w:val="Compact"/>
              <w:jc w:val="left"/>
            </w:pPr>
            <w:r>
              <w:t xml:space="preserve">Wind gust × Sunlight exposure</w:t>
            </w:r>
          </w:p>
        </w:tc>
        <w:tc>
          <w:tcPr/>
          <w:p>
            <w:pPr>
              <w:pStyle w:val="Compact"/>
              <w:jc w:val="center"/>
            </w:pPr>
            <w:r>
              <w:t xml:space="preserve">7.35</w:t>
            </w:r>
          </w:p>
        </w:tc>
        <w:tc>
          <w:tcPr/>
          <w:p>
            <w:pPr>
              <w:pStyle w:val="Compact"/>
              <w:jc w:val="center"/>
            </w:pPr>
            <w:r>
              <w:t xml:space="preserve">7.35</w:t>
            </w:r>
          </w:p>
        </w:tc>
        <w:tc>
          <w:tcPr/>
          <w:p>
            <w:pPr>
              <w:pStyle w:val="Compact"/>
              <w:jc w:val="center"/>
            </w:pPr>
            <w:r>
              <w:t xml:space="preserve">4.67</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0.064, Scale est. = 4.03, n = 1894</w:t>
            </w:r>
          </w:p>
        </w:tc>
      </w:tr>
    </w:tbl>
    <w:bookmarkEnd w:id="28"/>
    <w:p>
      <w:pPr>
        <w:pStyle w:val="BodyText"/>
      </w:pPr>
      <w:r>
        <w:t xml:space="preserve">Partial effects for the smooth terms are shown in Figure </w:t>
      </w:r>
      <w:hyperlink w:anchor="fig:partial_effects_30min">
        <w:r>
          <w:rPr>
            <w:rStyle w:val="Hyperlink"/>
          </w:rPr>
          <w:t xml:space="preserve">1.1</w:t>
        </w:r>
      </w:hyperlink>
      <w:r>
        <w:t xml:space="preserve">. The previous butterfly count showed a significant non-linear negative relationship (p &lt; 0.001) consistent with proportionally greater departures from larger aggregations. Time since sunrise captured a significant diurnal pattern (p &lt; 0.001) with morning departures and afternoon returns. Temperature showed a marginally non-significant trend (p = 0.057) suggesting possible effects near the 12.7–16°C flight threshold range.</w:t>
      </w:r>
    </w:p>
    <w:bookmarkStart w:id="32" w:name="fig:partial_effects_30min"/>
    <w:p>
      <w:pPr>
        <w:pStyle w:val="CaptionedFigure"/>
      </w:pPr>
      <w:r>
        <w:drawing>
          <wp:inline>
            <wp:extent cx="5334000" cy="1752600"/>
            <wp:effectExtent b="0" l="0" r="0" t="0"/>
            <wp:docPr descr="" title="" id="30" name="Picture"/>
            <a:graphic>
              <a:graphicData uri="http://schemas.openxmlformats.org/drawingml/2006/picture">
                <pic:pic>
                  <pic:nvPicPr>
                    <pic:cNvPr descr="supplemental/results/30_min/figures/partial_effects_best_1x3.png" id="31" name="Picture"/>
                    <pic:cNvPicPr>
                      <a:picLocks noChangeArrowheads="1" noChangeAspect="1"/>
                    </pic:cNvPicPr>
                  </pic:nvPicPr>
                  <pic:blipFill>
                    <a:blip r:embed="rId29"/>
                    <a:stretch>
                      <a:fillRect/>
                    </a:stretch>
                  </pic:blipFill>
                  <pic:spPr bwMode="auto">
                    <a:xfrm>
                      <a:off x="0" y="0"/>
                      <a:ext cx="5334000" cy="1752600"/>
                    </a:xfrm>
                    <a:prstGeom prst="rect">
                      <a:avLst/>
                    </a:prstGeom>
                    <a:noFill/>
                    <a:ln w="9525">
                      <a:noFill/>
                      <a:headEnd/>
                      <a:tailEnd/>
                    </a:ln>
                  </pic:spPr>
                </pic:pic>
              </a:graphicData>
            </a:graphic>
          </wp:inline>
        </w:drawing>
      </w:r>
    </w:p>
    <w:p>
      <w:pPr>
        <w:pStyle w:val="ImageCaption"/>
      </w:pPr>
      <w:r>
        <w:t xml:space="preserve">Partial effects of environmental predictors on monarch butterfly abundance changes from the best-fit GAMM model (M50). Shaded regions represent 95% confidence intervals.</w:t>
      </w:r>
    </w:p>
    <w:bookmarkEnd w:id="32"/>
    <w:p>
      <w:pPr>
        <w:pStyle w:val="BodyText"/>
      </w:pPr>
      <w:r>
        <w:t xml:space="preserve">The tensor interaction between wind speed and butterflies in direct sun (p &lt; 0.001) revealed a complex conditional relationship where wind effects depended on solar exposure conditions (Figure </w:t>
      </w:r>
      <w:hyperlink w:anchor="fig:interaction_wind_sun">
        <w:r>
          <w:rPr>
            <w:rStyle w:val="Hyperlink"/>
          </w:rPr>
          <w:t xml:space="preserve">1.2</w:t>
        </w:r>
      </w:hyperlink>
      <w:r>
        <w:t xml:space="preserve">). When butterflies in direct sun were held at zero (all butterflies in indirect light), cluster size changes showed no consistent trend across the observed wind speed range (0-12 m/s). Conversely, when wind was held constant, low numbers of butterflies in direct sun were associated with decreasing cluster sizes, while higher counts led to increasing cluster sizes. At low butterfly counts in direct sun, the wind effect showed distinct patterns: clusters decreased in size at very calm winds (&lt;1 m/s), showed no change from 1-3 m/s, and tended to increase from 4-8 m/s. At moderate wind speeds (1-3 m/s) and high butterfly counts (&gt;100), cluster sizes tended to decrease. However, as wind speeds exceeded 3 m/s at these same butterfly counts, the pattern reversed, with cluster sizes increasing. The red dashed line at 2 m/s indicates the behavioral threshold identified in previous analyses. Gray regions mask areas too distant from observed data points for reliable interpretation, and caution is warranted when interpreting the strongest partial effects at the edges of the data distribution, where observations are sparse and interpolation artifacts may occur. Notably, the overwhelming majority of observations occurred at very low butterfly counts in direct sun, emphasizing that most clustering behavior happens when few butterflies are exposed to direct sunlight.</w:t>
      </w:r>
    </w:p>
    <w:bookmarkStart w:id="36" w:name="fig:interaction_wind_sun"/>
    <w:p>
      <w:pPr>
        <w:pStyle w:val="CaptionedFigure"/>
      </w:pPr>
      <w:r>
        <w:drawing>
          <wp:inline>
            <wp:extent cx="4267200" cy="3657600"/>
            <wp:effectExtent b="0" l="0" r="0" t="0"/>
            <wp:docPr descr="" title="" id="34" name="Picture"/>
            <a:graphic>
              <a:graphicData uri="http://schemas.openxmlformats.org/drawingml/2006/picture">
                <pic:pic>
                  <pic:nvPicPr>
                    <pic:cNvPr descr="supplemental/results/30_min/figures/interaction_wind_x_sun_binned.png" id="35" name="Picture"/>
                    <pic:cNvPicPr>
                      <a:picLocks noChangeArrowheads="1" noChangeAspect="1"/>
                    </pic:cNvPicPr>
                  </pic:nvPicPr>
                  <pic:blipFill>
                    <a:blip r:embed="rId3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speed (m/s) and butterflies in direct sun on cluster size changes. Color gradient indicates partial effect magnitude (red = positive, blue = negative). Black points show observed data distribution. Red dashed line marks the 2 m/s behavioral threshold. Gray regions indicate areas beyond reliable interpolation range.</w:t>
      </w:r>
    </w:p>
    <w:bookmarkEnd w:id="36"/>
    <w:bookmarkEnd w:id="37"/>
    <w:bookmarkStart w:id="47" w:name="model-diagnostics"/>
    <w:p>
      <w:pPr>
        <w:pStyle w:val="Heading4"/>
      </w:pPr>
      <w:r>
        <w:t xml:space="preserve">Model Diagnostics</w:t>
      </w:r>
    </w:p>
    <w:p>
      <w:pPr>
        <w:pStyle w:val="FirstParagraph"/>
      </w:pPr>
      <w:r>
        <w:t xml:space="preserve">Model diagnostic plots confirmed the adequacy of the GAMM specification (Figure </w:t>
      </w:r>
      <w:hyperlink w:anchor="fig:model_diagnostics_30min">
        <w:r>
          <w:rPr>
            <w:rStyle w:val="Hyperlink"/>
          </w:rPr>
          <w:t xml:space="preserve">1.3</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large sample size and complexity of ecological data.</w:t>
      </w:r>
    </w:p>
    <w:bookmarkStart w:id="41" w:name="fig:model_diagnostics_30min"/>
    <w:p>
      <w:pPr>
        <w:pStyle w:val="CaptionedFigure"/>
      </w:pPr>
      <w:r>
        <w:drawing>
          <wp:inline>
            <wp:extent cx="4800600" cy="2000250"/>
            <wp:effectExtent b="0" l="0" r="0" t="0"/>
            <wp:docPr descr="" title="" id="39" name="Picture"/>
            <a:graphic>
              <a:graphicData uri="http://schemas.openxmlformats.org/drawingml/2006/picture">
                <pic:pic>
                  <pic:nvPicPr>
                    <pic:cNvPr descr="supplemental/results/30_min/figures/diag_qq_and_residuals_1x2.png" id="40" name="Picture"/>
                    <pic:cNvPicPr>
                      <a:picLocks noChangeArrowheads="1" noChangeAspect="1"/>
                    </pic:cNvPicPr>
                  </pic:nvPicPr>
                  <pic:blipFill>
                    <a:blip r:embed="rId3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(M50). Left panel shows quantile-quantile plot comparing model residuals to theoretical normal distribution. Right panel displays residuals versus fitted values to assess homoscedasticity and model adequacy.</w:t>
      </w:r>
    </w:p>
    <w:bookmarkEnd w:id="41"/>
    <w:p>
      <w:pPr>
        <w:pStyle w:val="BodyText"/>
      </w:pPr>
      <w:r>
        <w:t xml:space="preserve">Basis dimension checks confirmed adequate smoothing parameter selection for all model terms (Table </w:t>
      </w:r>
      <w:hyperlink w:anchor="tab:gam_basis_check">
        <w:r>
          <w:rPr>
            <w:rStyle w:val="Hyperlink"/>
          </w:rPr>
          <w:t xml:space="preserve">1.2</w:t>
        </w:r>
      </w:hyperlink>
      <w:r>
        <w:t xml:space="preserve">). All smooth functions showed k-index values near 1.0, indicating sufficient basis dimensions to capture the underlying functional forms. None of the smooth terms showed evidence of undersmoothing (all p-values &gt; 0.05), with the possible exception of time within day which showed marginal evidence (k-index = 0.96, p = 0.065). These diagnostics confirm that the chosen basis dimensions adequately represent the complexity of the smooth relationships without overfitting.</w:t>
      </w:r>
    </w:p>
    <w:bookmarkStart w:id="42" w:name="tab:gam_basis_check"/>
    <w:p>
      <w:pPr>
        <w:pStyle w:val="TableCaption"/>
      </w:pPr>
      <w:r>
        <w:t xml:space="preserve">Basis dimension adequacy checks for smooth terms in best-fit GAMM model (M50). Low p-values (k-index &lt; 1) may indicate insufficient basis dimensions, particularly when edf approaches k’.</w:t>
      </w:r>
    </w:p>
    <w:tbl>
      <w:tblPr>
        <w:tblStyle w:val="Table"/>
        <w:tblW w:type="auto" w:w="0"/>
        <w:tblLook w:firstRow="1" w:lastRow="0" w:firstColumn="0" w:lastColumn="0" w:noHBand="0" w:noVBand="0" w:val="0020"/>
        <w:tblCaption w:val="Basis dimension adequacy checks for smooth terms in best-fit GAMM model (M50). Low p-values (k-index &lt; 1) may indicate insufficient basis dimensions, particularly when edf approaches k’."/>
      </w:tblPr>
      <w:tblGrid>
        <w:gridCol w:w="1584"/>
        <w:gridCol w:w="1584"/>
        <w:gridCol w:w="1584"/>
        <w:gridCol w:w="1584"/>
        <w:gridCol w:w="1584"/>
      </w:tblGrid>
      <w:tr>
        <w:trPr>
          <w:tblHeader w:val="on"/>
        </w:trPr>
        <w:tc>
          <w:tcPr/>
          <w:p>
            <w:pPr>
              <w:pStyle w:val="Compact"/>
              <w:jc w:val="left"/>
            </w:pPr>
            <w:r>
              <w:t xml:space="preserve">Smooth Term</w:t>
            </w:r>
          </w:p>
        </w:tc>
        <w:tc>
          <w:tcPr/>
          <w:p>
            <w:pPr>
              <w:pStyle w:val="Compact"/>
              <w:jc w:val="right"/>
            </w:pPr>
            <w:r>
              <w:t xml:space="preserve">k’</w:t>
            </w:r>
          </w:p>
        </w:tc>
        <w:tc>
          <w:tcPr/>
          <w:p>
            <w:pPr>
              <w:pStyle w:val="Compact"/>
              <w:jc w:val="right"/>
            </w:pPr>
            <w:r>
              <w:t xml:space="preserve">edf</w:t>
            </w:r>
          </w:p>
        </w:tc>
        <w:tc>
          <w:tcPr/>
          <w:p>
            <w:pPr>
              <w:pStyle w:val="Compact"/>
              <w:jc w:val="right"/>
            </w:pPr>
            <w:r>
              <w:t xml:space="preserve">k-index</w:t>
            </w:r>
          </w:p>
        </w:tc>
        <w:tc>
          <w:tcPr/>
          <w:p>
            <w:pPr>
              <w:pStyle w:val="Compact"/>
              <w:jc w:val="center"/>
            </w:pPr>
            <w:r>
              <w:t xml:space="preserve">p-value</w:t>
            </w:r>
          </w:p>
        </w:tc>
      </w:tr>
      <w:tr>
        <w:tc>
          <w:tcPr/>
          <w:p>
            <w:pPr>
              <w:pStyle w:val="Compact"/>
              <w:jc w:val="left"/>
            </w:pPr>
            <w:r>
              <w:t xml:space="preserve">s(total butterflies</w:t>
            </w:r>
            <w:r>
              <w:t xml:space="preserve"> </w:t>
            </w:r>
            <m:oMath>
              <m:sSub>
                <m:e>
                  <m:r>
                    <m:t>t</m:t>
                  </m:r>
                </m:e>
                <m:sub>
                  <m:r>
                    <m:t>l</m:t>
                  </m:r>
                  <m:r>
                    <m:t>a</m:t>
                  </m:r>
                  <m:r>
                    <m:t>g</m:t>
                  </m:r>
                </m:sub>
              </m:sSub>
            </m:oMath>
            <w:r>
              <w:t xml:space="preserve">)</w:t>
            </w:r>
          </w:p>
        </w:tc>
        <w:tc>
          <w:tcPr/>
          <w:p>
            <w:pPr>
              <w:pStyle w:val="Compact"/>
              <w:jc w:val="right"/>
            </w:pPr>
            <w:r>
              <w:t xml:space="preserve">9.00</w:t>
            </w:r>
          </w:p>
        </w:tc>
        <w:tc>
          <w:tcPr/>
          <w:p>
            <w:pPr>
              <w:pStyle w:val="Compact"/>
              <w:jc w:val="right"/>
            </w:pPr>
            <w:r>
              <w:t xml:space="preserve">2.41</w:t>
            </w:r>
          </w:p>
        </w:tc>
        <w:tc>
          <w:tcPr/>
          <w:p>
            <w:pPr>
              <w:pStyle w:val="Compact"/>
              <w:jc w:val="right"/>
            </w:pPr>
            <w:r>
              <w:t xml:space="preserve">1.00</w:t>
            </w:r>
          </w:p>
        </w:tc>
        <w:tc>
          <w:tcPr/>
          <w:p>
            <w:pPr>
              <w:pStyle w:val="Compact"/>
              <w:jc w:val="center"/>
            </w:pPr>
            <w:r>
              <w:t xml:space="preserve">0.735</w:t>
            </w:r>
          </w:p>
        </w:tc>
      </w:tr>
      <w:tr>
        <w:tc>
          <w:tcPr/>
          <w:p>
            <w:pPr>
              <w:pStyle w:val="Compact"/>
              <w:jc w:val="left"/>
            </w:pPr>
            <w:r>
              <w:t xml:space="preserve">s(temperature avg)</w:t>
            </w:r>
          </w:p>
        </w:tc>
        <w:tc>
          <w:tcPr/>
          <w:p>
            <w:pPr>
              <w:pStyle w:val="Compact"/>
              <w:jc w:val="right"/>
            </w:pPr>
            <w:r>
              <w:t xml:space="preserve">9.00</w:t>
            </w:r>
          </w:p>
        </w:tc>
        <w:tc>
          <w:tcPr/>
          <w:p>
            <w:pPr>
              <w:pStyle w:val="Compact"/>
              <w:jc w:val="right"/>
            </w:pPr>
            <w:r>
              <w:t xml:space="preserve">3.67</w:t>
            </w:r>
          </w:p>
        </w:tc>
        <w:tc>
          <w:tcPr/>
          <w:p>
            <w:pPr>
              <w:pStyle w:val="Compact"/>
              <w:jc w:val="right"/>
            </w:pPr>
            <w:r>
              <w:t xml:space="preserve">1.02</w:t>
            </w:r>
          </w:p>
        </w:tc>
        <w:tc>
          <w:tcPr/>
          <w:p>
            <w:pPr>
              <w:pStyle w:val="Compact"/>
              <w:jc w:val="center"/>
            </w:pPr>
            <w:r>
              <w:t xml:space="preserve">0.895</w:t>
            </w:r>
          </w:p>
        </w:tc>
      </w:tr>
      <w:tr>
        <w:tc>
          <w:tcPr/>
          <w:p>
            <w:pPr>
              <w:pStyle w:val="Compact"/>
              <w:jc w:val="left"/>
            </w:pPr>
            <w:r>
              <w:t xml:space="preserve">s(time within day</w:t>
            </w:r>
            <w:r>
              <w:t xml:space="preserve"> </w:t>
            </w:r>
            <m:oMath>
              <m:r>
                <m:t>t</m:t>
              </m:r>
            </m:oMath>
            <w:r>
              <w:t xml:space="preserve">)</w:t>
            </w:r>
          </w:p>
        </w:tc>
        <w:tc>
          <w:tcPr/>
          <w:p>
            <w:pPr>
              <w:pStyle w:val="Compact"/>
              <w:jc w:val="right"/>
            </w:pPr>
            <w:r>
              <w:t xml:space="preserve">9.00</w:t>
            </w:r>
          </w:p>
        </w:tc>
        <w:tc>
          <w:tcPr/>
          <w:p>
            <w:pPr>
              <w:pStyle w:val="Compact"/>
              <w:jc w:val="right"/>
            </w:pPr>
            <w:r>
              <w:t xml:space="preserve">4.87</w:t>
            </w:r>
          </w:p>
        </w:tc>
        <w:tc>
          <w:tcPr/>
          <w:p>
            <w:pPr>
              <w:pStyle w:val="Compact"/>
              <w:jc w:val="right"/>
            </w:pPr>
            <w:r>
              <w:t xml:space="preserve">0.96</w:t>
            </w:r>
          </w:p>
        </w:tc>
        <w:tc>
          <w:tcPr/>
          <w:p>
            <w:pPr>
              <w:pStyle w:val="Compact"/>
              <w:jc w:val="center"/>
            </w:pPr>
            <w:r>
              <w:t xml:space="preserve">0.065</w:t>
            </w:r>
          </w:p>
        </w:tc>
      </w:tr>
      <w:tr>
        <w:tc>
          <w:tcPr/>
          <w:p>
            <w:pPr>
              <w:pStyle w:val="Compact"/>
              <w:jc w:val="left"/>
            </w:pPr>
            <w:r>
              <w:t xml:space="preserve">ti(max gust, butterflies direct sun</w:t>
            </w:r>
            <w:r>
              <w:t xml:space="preserve"> </w:t>
            </w:r>
            <m:oMath>
              <m:sSub>
                <m:e>
                  <m:r>
                    <m:t>t</m:t>
                  </m:r>
                </m:e>
                <m:sub>
                  <m:r>
                    <m:t>l</m:t>
                  </m:r>
                  <m:r>
                    <m:t>a</m:t>
                  </m:r>
                  <m:r>
                    <m:t>g</m:t>
                  </m:r>
                </m:sub>
              </m:sSub>
            </m:oMath>
            <w:r>
              <w:t xml:space="preserve">)</w:t>
            </w:r>
          </w:p>
        </w:tc>
        <w:tc>
          <w:tcPr/>
          <w:p>
            <w:pPr>
              <w:pStyle w:val="Compact"/>
              <w:jc w:val="right"/>
            </w:pPr>
            <w:r>
              <w:t xml:space="preserve">16.00</w:t>
            </w:r>
          </w:p>
        </w:tc>
        <w:tc>
          <w:tcPr/>
          <w:p>
            <w:pPr>
              <w:pStyle w:val="Compact"/>
              <w:jc w:val="right"/>
            </w:pPr>
            <w:r>
              <w:t xml:space="preserve">7.35</w:t>
            </w:r>
          </w:p>
        </w:tc>
        <w:tc>
          <w:tcPr/>
          <w:p>
            <w:pPr>
              <w:pStyle w:val="Compact"/>
              <w:jc w:val="right"/>
            </w:pPr>
            <w:r>
              <w:t xml:space="preserve">0.99</w:t>
            </w:r>
          </w:p>
        </w:tc>
        <w:tc>
          <w:tcPr/>
          <w:p>
            <w:pPr>
              <w:pStyle w:val="Compact"/>
              <w:jc w:val="center"/>
            </w:pPr>
            <w:r>
              <w:t xml:space="preserve">0.490</w:t>
            </w:r>
          </w:p>
        </w:tc>
      </w:tr>
    </w:tbl>
    <w:bookmarkEnd w:id="42"/>
    <w:p>
      <w:pPr>
        <w:pStyle w:val="BodyText"/>
      </w:pPr>
      <w:r>
        <w:t xml:space="preserve">Temporal autocorrelation analysis revealed minimal residual correlation structure after accounting for the AR(1) correlation within deployment days (Figure </w:t>
      </w:r>
      <w:hyperlink w:anchor="fig:acf_diagnostics">
        <w:r>
          <w:rPr>
            <w:rStyle w:val="Hyperlink"/>
          </w:rPr>
          <w:t xml:space="preserve">1.4</w:t>
        </w:r>
      </w:hyperlink>
      <w:r>
        <w:t xml:space="preserve">). The autocorrelation function showed rapid decay with all lags beyond lag 1 falling within the significance bounds, confirming that the model adequately captured temporal dependencies in the data. This indicates that our mixed-effects structure with autoregressive errors appropriately addressed the repeated measures nature of the time-series observations.</w:t>
      </w:r>
    </w:p>
    <w:bookmarkStart w:id="46" w:name="fig:acf_diagnostics"/>
    <w:p>
      <w:pPr>
        <w:pStyle w:val="CaptionedFigure"/>
      </w:pPr>
      <w:r>
        <w:drawing>
          <wp:inline>
            <wp:extent cx="4267200" cy="2844800"/>
            <wp:effectExtent b="0" l="0" r="0" t="0"/>
            <wp:docPr descr="" title="" id="44" name="Picture"/>
            <a:graphic>
              <a:graphicData uri="http://schemas.openxmlformats.org/drawingml/2006/picture">
                <pic:pic>
                  <pic:nvPicPr>
                    <pic:cNvPr descr="supplemental/results/30_min/figures/diag_acf.png" id="45" name="Picture"/>
                    <pic:cNvPicPr>
                      <a:picLocks noChangeArrowheads="1" noChangeAspect="1"/>
                    </pic:cNvPicPr>
                  </pic:nvPicPr>
                  <pic:blipFill>
                    <a:blip r:embed="rId43"/>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46"/>
    <w:bookmarkEnd w:id="47"/>
    <w:bookmarkStart w:id="53" w:name="sensitivity-analysis"/>
    <w:p>
      <w:pPr>
        <w:pStyle w:val="Heading4"/>
      </w:pPr>
      <w:r>
        <w:t xml:space="preserve">Sensitivity Analysis</w:t>
      </w:r>
    </w:p>
    <w:p>
      <w:pPr>
        <w:pStyle w:val="FirstParagraph"/>
      </w:pPr>
      <w:r>
        <w:t xml:space="preserve">To test the hypothesis that wind acts as a binary disruption threshold rather than a continuous variable, we repeated the entire analysis using minutes above 2 m/s as the wind predictor. This threshold-based approach directly tests our second hypothesis that wind becomes disruptive above the 2 m/s threshold, which, if it represents a meaningful biological boundary, should predict declining monarch abundance at roosts experiencing sustained winds exceeding this threshold. The best threshold model (T50) maintained the same structure as our primary analysis but showed notably weaker performance (Table </w:t>
      </w:r>
      <w:hyperlink w:anchor="tab:threshold_model_selection">
        <w:r>
          <w:rPr>
            <w:rStyle w:val="Hyperlink"/>
          </w:rPr>
          <w:t xml:space="preserve">1.3</w:t>
        </w:r>
      </w:hyperlink>
      <w:r>
        <w:t xml:space="preserve">).</w:t>
      </w:r>
    </w:p>
    <w:p>
      <w:pPr>
        <w:pStyle w:val="BodyText"/>
      </w:pPr>
      <w:r>
        <w:t xml:space="preserve">While T50 achieved the lowest AIC among threshold models, it failed to decisively outperform simpler alternatives, capturing only 55.4% of model weight compared to 40.4% for the model without any wind term (T23). The negligible difference in AIC (</w:t>
      </w:r>
      <m:oMath>
        <m:r>
          <m:rPr>
            <m:sty m:val="p"/>
          </m:rPr>
          <m:t>Δ</m:t>
        </m:r>
      </m:oMath>
      <w:r>
        <w:t xml:space="preserve">AIC = 0.63) between these models indicates substantial uncertainty about whether the threshold wind variable improves predictions. Despite this weaker overall performance (adjusted</w:t>
      </w:r>
      <w:r>
        <w:t xml:space="preserve"> </w:t>
      </w:r>
      <m:oMath>
        <m:sSup>
          <m:e>
            <m:r>
              <m:t>R</m:t>
            </m:r>
          </m:e>
          <m:sup>
            <m:r>
              <m:t>2</m:t>
            </m:r>
          </m:sup>
        </m:sSup>
      </m:oMath>
      <w:r>
        <w:t xml:space="preserve"> </w:t>
      </w:r>
      <w:r>
        <w:t xml:space="preserve">= 0.061 compared to 0.064 in the primary analysis), the interaction term between minutes above threshold and butterflies in direct sun achieved statistical significance (p = 0.0001), and notably, T50 was the only model among the top five candidates to include any wind parameters. This suggests that while the threshold approach may not optimally characterize wind effects, the interaction with solar exposure warrants examination.</w:t>
      </w:r>
    </w:p>
    <w:bookmarkStart w:id="48" w:name="tab:threshold_model_selection"/>
    <w:p>
      <w:pPr>
        <w:pStyle w:val="TableCaption"/>
      </w:pPr>
      <w:r>
        <w:t xml:space="preserve">Top 5 models ranked by AIC (30-minute threshold analysis)</w:t>
      </w:r>
    </w:p>
    <w:tbl>
      <w:tblPr>
        <w:tblStyle w:val="Table"/>
        <w:tblW w:type="auto" w:w="0"/>
        <w:tblLook w:firstRow="1" w:lastRow="0" w:firstColumn="0" w:lastColumn="0" w:noHBand="0" w:noVBand="0" w:val="0020"/>
        <w:tblCaption w:val="Top 5 models ranked by AIC (30-minute threshold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T50</w:t>
            </w:r>
          </w:p>
        </w:tc>
        <w:tc>
          <w:tcPr/>
          <w:p>
            <w:pPr>
              <w:pStyle w:val="Compact"/>
              <w:jc w:val="left"/>
            </w:pPr>
            <w:r>
              <w:t xml:space="preserve">Previous butterfly count, Temperature, Time since sunrise, Interaction (tensor): Minutes above 2 m/s, Butterflies in direct sun</w:t>
            </w:r>
          </w:p>
        </w:tc>
        <w:tc>
          <w:tcPr/>
          <w:p>
            <w:pPr>
              <w:pStyle w:val="Compact"/>
              <w:jc w:val="right"/>
            </w:pPr>
            <w:r>
              <w:t xml:space="preserve">8077.23</w:t>
            </w:r>
          </w:p>
        </w:tc>
        <w:tc>
          <w:tcPr/>
          <w:p>
            <w:pPr>
              <w:pStyle w:val="Compact"/>
              <w:jc w:val="right"/>
            </w:pPr>
            <w:r>
              <w:t xml:space="preserve">0.00</w:t>
            </w:r>
          </w:p>
        </w:tc>
        <w:tc>
          <w:tcPr/>
          <w:p>
            <w:pPr>
              <w:pStyle w:val="Compact"/>
              <w:jc w:val="right"/>
            </w:pPr>
            <w:r>
              <w:t xml:space="preserve">0.55</w:t>
            </w:r>
          </w:p>
        </w:tc>
      </w:tr>
      <w:tr>
        <w:tc>
          <w:tcPr/>
          <w:p>
            <w:pPr>
              <w:pStyle w:val="Compact"/>
              <w:jc w:val="left"/>
            </w:pPr>
            <w:r>
              <w:t xml:space="preserve">T23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0.63</w:t>
            </w:r>
          </w:p>
        </w:tc>
        <w:tc>
          <w:tcPr/>
          <w:p>
            <w:pPr>
              <w:pStyle w:val="Compact"/>
              <w:jc w:val="right"/>
            </w:pPr>
            <w:r>
              <w:t xml:space="preserve">0.40</w:t>
            </w:r>
          </w:p>
        </w:tc>
      </w:tr>
      <w:tr>
        <w:tc>
          <w:tcPr/>
          <w:p>
            <w:pPr>
              <w:pStyle w:val="Compact"/>
              <w:jc w:val="left"/>
            </w:pPr>
            <w:r>
              <w:t xml:space="preserve">T22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5.67</w:t>
            </w:r>
          </w:p>
        </w:tc>
        <w:tc>
          <w:tcPr/>
          <w:p>
            <w:pPr>
              <w:pStyle w:val="Compact"/>
              <w:jc w:val="right"/>
            </w:pPr>
            <w:r>
              <w:t xml:space="preserve">0.03</w:t>
            </w:r>
          </w:p>
        </w:tc>
      </w:tr>
      <w:tr>
        <w:tc>
          <w:tcPr/>
          <w:p>
            <w:pPr>
              <w:pStyle w:val="Compact"/>
              <w:jc w:val="left"/>
            </w:pPr>
            <w:r>
              <w:t xml:space="preserve">T24</w:t>
            </w:r>
          </w:p>
        </w:tc>
        <w:tc>
          <w:tcPr/>
          <w:p>
            <w:pPr>
              <w:pStyle w:val="Compact"/>
              <w:jc w:val="left"/>
            </w:pPr>
            <w:r>
              <w:t xml:space="preserve">Previous butterfly count, Minutes above 2 m/s, Temperature, Butterflies in direct sun, Time since sunrise</w:t>
            </w:r>
          </w:p>
        </w:tc>
        <w:tc>
          <w:tcPr/>
          <w:p>
            <w:pPr>
              <w:pStyle w:val="Compact"/>
              <w:jc w:val="right"/>
            </w:pPr>
            <w:r>
              <w:t xml:space="preserve">8085.41</w:t>
            </w:r>
          </w:p>
        </w:tc>
        <w:tc>
          <w:tcPr/>
          <w:p>
            <w:pPr>
              <w:pStyle w:val="Compact"/>
              <w:jc w:val="right"/>
            </w:pPr>
            <w:r>
              <w:t xml:space="preserve">8.18</w:t>
            </w:r>
          </w:p>
        </w:tc>
        <w:tc>
          <w:tcPr/>
          <w:p>
            <w:pPr>
              <w:pStyle w:val="Compact"/>
              <w:jc w:val="right"/>
            </w:pPr>
            <w:r>
              <w:t xml:space="preserve">0.01</w:t>
            </w:r>
          </w:p>
        </w:tc>
      </w:tr>
      <w:tr>
        <w:tc>
          <w:tcPr/>
          <w:p>
            <w:pPr>
              <w:pStyle w:val="Compact"/>
              <w:jc w:val="left"/>
            </w:pPr>
            <w:r>
              <w:t xml:space="preserve">T47</w:t>
            </w:r>
          </w:p>
        </w:tc>
        <w:tc>
          <w:tcPr/>
          <w:p>
            <w:pPr>
              <w:pStyle w:val="Compact"/>
              <w:jc w:val="left"/>
            </w:pPr>
            <w:r>
              <w:t xml:space="preserve">Temperature, Butterflies in direct sun, Time since sunrise</w:t>
            </w:r>
          </w:p>
        </w:tc>
        <w:tc>
          <w:tcPr/>
          <w:p>
            <w:pPr>
              <w:pStyle w:val="Compact"/>
              <w:jc w:val="right"/>
            </w:pPr>
            <w:r>
              <w:t xml:space="preserve">8097.30</w:t>
            </w:r>
          </w:p>
        </w:tc>
        <w:tc>
          <w:tcPr/>
          <w:p>
            <w:pPr>
              <w:pStyle w:val="Compact"/>
              <w:jc w:val="right"/>
            </w:pPr>
            <w:r>
              <w:t xml:space="preserve">20.07</w:t>
            </w:r>
          </w:p>
        </w:tc>
        <w:tc>
          <w:tcPr/>
          <w:p>
            <w:pPr>
              <w:pStyle w:val="Compact"/>
              <w:jc w:val="right"/>
            </w:pPr>
            <w:r>
              <w:t xml:space="preserve">0.00</w:t>
            </w:r>
          </w:p>
        </w:tc>
      </w:tr>
    </w:tbl>
    <w:bookmarkEnd w:id="48"/>
    <w:p>
      <w:pPr>
        <w:pStyle w:val="BodyText"/>
      </w:pPr>
      <w:r>
        <w:t xml:space="preserve">The interaction plot from the threshold analysis reveals complex conditional relationships between wind exposure duration and solar conditions (Figure </w:t>
      </w:r>
      <w:hyperlink w:anchor="fig:threshold_interaction">
        <w:r>
          <w:rPr>
            <w:rStyle w:val="Hyperlink"/>
          </w:rPr>
          <w:t xml:space="preserve">1.5</w:t>
        </w:r>
      </w:hyperlink>
      <w:r>
        <w:t xml:space="preserve">). When butterflies in direct sun are held at zero (all butterflies in indirect light), cluster size changes show no apparent trend across the entire range of wind exposure duration, from no time above threshold to the full 30-minute observation period. This suggests that wind effects on shaded butterflies are minimal regardless of exposure duration.</w:t>
      </w:r>
    </w:p>
    <w:p>
      <w:pPr>
        <w:pStyle w:val="BodyText"/>
      </w:pPr>
      <w:r>
        <w:t xml:space="preserve">As butterfly counts in direct sun increase, distinct patterns emerge. At moderate counts (25-50 butterflies), cluster sizes tend to decrease when wind exposure extends from 15 to 25 minutes above threshold. However, at the extremes of sustained wind exposure (greater than 25 minutes), cluster sizes tend to increase. When wind exposure is minimal (0-5 minutes above threshold), increasing butterfly counts in sun show no effect on cluster size changes. The strongest effects appear at intermediate wind exposure durations (15-25 minutes) combined with moderate solar exposure levels.</w:t>
      </w:r>
    </w:p>
    <w:p>
      <w:pPr>
        <w:pStyle w:val="BodyText"/>
      </w:pPr>
      <w:r>
        <w:t xml:space="preserve">The same caveats apply regarding sparse data at the extremes and the limits of interpolation, particularly given that most observations occurred at low butterfly counts in direct sun.</w:t>
      </w:r>
    </w:p>
    <w:bookmarkStart w:id="52" w:name="fig:threshold_interaction"/>
    <w:p>
      <w:pPr>
        <w:pStyle w:val="CaptionedFigure"/>
      </w:pPr>
      <w:r>
        <w:drawing>
          <wp:inline>
            <wp:extent cx="4267200" cy="3657600"/>
            <wp:effectExtent b="0" l="0" r="0" t="0"/>
            <wp:docPr descr="" title="" id="50" name="Picture"/>
            <a:graphic>
              <a:graphicData uri="http://schemas.openxmlformats.org/drawingml/2006/picture">
                <pic:pic>
                  <pic:nvPicPr>
                    <pic:cNvPr descr="supplemental/results/30_min_threshold/figures/interaction_wind_x_sun_binned.png" id="51" name="Picture"/>
                    <pic:cNvPicPr>
                      <a:picLocks noChangeArrowheads="1" noChangeAspect="1"/>
                    </pic:cNvPicPr>
                  </pic:nvPicPr>
                  <pic:blipFill>
                    <a:blip r:embed="rId4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minutes above 2 m/s wind threshold and butterflies in direct sun on cluster size changes. Color gradient indicates partial effect magnitude (red = positive, blue = negative). Black points show observed data distribution. Gray regions indicate areas beyond reliable interpolation range.</w:t>
      </w:r>
    </w:p>
    <w:bookmarkEnd w:id="52"/>
    <w:bookmarkEnd w:id="53"/>
    <w:bookmarkEnd w:id="54"/>
    <w:bookmarkStart w:id="56"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study has sufficient statistical power for effect sizes of biological relevance.</w:t>
      </w:r>
    </w:p>
    <w:bookmarkStart w:id="55"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55"/>
    <w:bookmarkEnd w:id="56"/>
    <w:bookmarkStart w:id="66" w:name="site-fidelity-analysis"/>
    <w:p>
      <w:pPr>
        <w:pStyle w:val="Heading3"/>
      </w:pPr>
      <w:r>
        <w:t xml:space="preserve">Site Fidelity Analysis</w:t>
      </w:r>
    </w:p>
    <w:p>
      <w:pPr>
        <w:pStyle w:val="FirstParagraph"/>
      </w:pPr>
      <w:r>
        <w:t xml:space="preserve">To test whether cumulative weather exposure influenced day-to-day roost dynamics, we analyzed 96 consecutive-day pairs from the same deployment dataset using biologically-aligned temporal windows. The primary analysis employed a sunset window spanning from the previous day’s maximum count to the current day’s last observation (mean duration = 29.6 hours), capturing the full period from peak aggregation through the subsequent roosting decision. A secondary analysis using fixed 24-hour windows (n = 94 pairs) provided a sensitivity test of our findings.</w:t>
      </w:r>
    </w:p>
    <w:p>
      <w:pPr>
        <w:pStyle w:val="BodyText"/>
      </w:pPr>
      <w:r>
        <w:t xml:space="preserve">Daily maximum cluster sizes ranged from 0 to 770 butterflies (mean = 134.7 ± 138.1), with day-to-day changes in maximum count ranging from losses of 376 butterflies to gains of 464 butterflies (mean change = -10.5 ± 111.6). Within the sunset windows, maximum wind gusts ranged from 2.0 to 12.8 m/s (mean = 4.5 ± 1.8 m/s), with all observation windows exceeding the proposed 2 m/s threshold. Cumulative direct sun exposure varied from 0 to 1,122 butterfly-observations in sunlight per window (mean = 139.8 ± 206.9), reflecting diverse thermal exposure conditions across monitoring days.</w:t>
      </w:r>
    </w:p>
    <w:bookmarkStart w:id="57" w:name="model-selection-1"/>
    <w:p>
      <w:pPr>
        <w:pStyle w:val="Heading4"/>
      </w:pPr>
      <w:r>
        <w:t xml:space="preserve">Model Selection</w:t>
      </w:r>
    </w:p>
    <w:p>
      <w:pPr>
        <w:pStyle w:val="FirstParagraph"/>
      </w:pPr>
      <w:r>
        <w:t xml:space="preserve">We evaluated 76 candidate models using generalized additive mixed models (GAMMs) to identify environmental predictors of day-to-day changes in maximum cluster size. The model space included null, single-predictor, interaction-only, additive, main effects with interactions, and complex formulations, all incorporating deployment random intercepts and AR(1) temporal correlation. Model selection via corrected Akaike Information Criterion (AICc) identified M32 as the decisively best-fit model, capturing 84.7% of the total model weight (Table </w:t>
      </w:r>
      <w:hyperlink w:anchor="tab:sunset-model-selection-table">
        <w:r>
          <w:rPr>
            <w:rStyle w:val="Hyperlink"/>
          </w:rPr>
          <w:t xml:space="preserve">[tab:sunset-model-selection-table]</w:t>
        </w:r>
      </w:hyperlink>
      <w:r>
        <w:t xml:space="preserve">). The next best model (M52) showed substantially weaker support with</w:t>
      </w:r>
      <w:r>
        <w:t xml:space="preserve"> </w:t>
      </w:r>
      <m:oMath>
        <m:r>
          <m:rPr>
            <m:sty m:val="p"/>
          </m:rPr>
          <m:t>Δ</m:t>
        </m:r>
      </m:oMath>
      <w:r>
        <w:t xml:space="preserve">AICc = 5.6 and only 5.2% model weight. Model M32 incorporated a tensor smooth interaction between maximum wind gust and cumulative direct sun exposure, along with baseline controls for previous day’s maximum count and window duration.</w:t>
      </w:r>
    </w:p>
    <w:p>
      <w:pPr>
        <w:pStyle w:val="TableCaption"/>
      </w:pPr>
      <w:r>
        <w:t xml:space="preserve">Top 5 models ranked by AICc (sunset analysis)</w:t>
      </w:r>
    </w:p>
    <w:tbl>
      <w:tblPr>
        <w:tblStyle w:val="Table"/>
        <w:tblW w:type="auto" w:w="0"/>
        <w:tblLook w:firstRow="1" w:lastRow="0" w:firstColumn="0" w:lastColumn="0" w:noHBand="0" w:noVBand="0" w:val="0020"/>
        <w:tblCaption w:val="Top 5 models ranked by AICc (sunset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AICc</w:t>
            </w:r>
          </w:p>
        </w:tc>
        <w:tc>
          <w:tcPr/>
          <w:p>
            <w:pPr>
              <w:pStyle w:val="Compact"/>
              <w:jc w:val="right"/>
            </w:pPr>
            <m:oMath>
              <m:r>
                <m:rPr>
                  <m:sty m:val="p"/>
                </m:rPr>
                <m:t>Δ</m:t>
              </m:r>
            </m:oMath>
            <w:r>
              <w:t xml:space="preserve">AICc</w:t>
            </w:r>
          </w:p>
        </w:tc>
        <w:tc>
          <w:tcPr/>
          <w:p>
            <w:pPr>
              <w:pStyle w:val="Compact"/>
              <w:jc w:val="right"/>
            </w:pPr>
            <w:r>
              <w:t xml:space="preserve">Weight</w:t>
            </w:r>
          </w:p>
        </w:tc>
      </w:tr>
      <w:tr>
        <w:tc>
          <w:tcPr/>
          <w:p>
            <w:pPr>
              <w:pStyle w:val="Compact"/>
              <w:jc w:val="left"/>
            </w:pPr>
            <w:r>
              <w:t xml:space="preserve">M32</w:t>
            </w:r>
          </w:p>
        </w:tc>
        <w:tc>
          <w:tcPr/>
          <w:p>
            <w:pPr>
              <w:pStyle w:val="Compact"/>
              <w:jc w:val="left"/>
            </w:pPr>
            <w:r>
              <w:t xml:space="preserve">Interaction (tensor): Maximum wind gust, Cumulative butterflies in direct sun</w:t>
            </w:r>
          </w:p>
        </w:tc>
        <w:tc>
          <w:tcPr/>
          <w:p>
            <w:pPr>
              <w:pStyle w:val="Compact"/>
              <w:jc w:val="right"/>
            </w:pPr>
            <w:r>
              <w:t xml:space="preserve">648.85</w:t>
            </w:r>
          </w:p>
        </w:tc>
        <w:tc>
          <w:tcPr/>
          <w:p>
            <w:pPr>
              <w:pStyle w:val="Compact"/>
              <w:jc w:val="right"/>
            </w:pPr>
            <w:r>
              <w:t xml:space="preserve">0.00</w:t>
            </w:r>
          </w:p>
        </w:tc>
        <w:tc>
          <w:tcPr/>
          <w:p>
            <w:pPr>
              <w:pStyle w:val="Compact"/>
              <w:jc w:val="right"/>
            </w:pPr>
            <w:r>
              <w:t xml:space="preserve">0.85</w:t>
            </w:r>
          </w:p>
        </w:tc>
      </w:tr>
      <w:tr>
        <w:tc>
          <w:tcPr/>
          <w:p>
            <w:pPr>
              <w:pStyle w:val="Compact"/>
              <w:jc w:val="left"/>
            </w:pPr>
            <w:r>
              <w:t xml:space="preserve">M52</w:t>
            </w:r>
          </w:p>
        </w:tc>
        <w:tc>
          <w:tcPr/>
          <w:p>
            <w:pPr>
              <w:pStyle w:val="Compact"/>
              <w:jc w:val="left"/>
            </w:pPr>
            <w:r>
              <w:t xml:space="preserve">Maximum wind gust, Cumulative butterflies in direct sun, Interaction (tensor): Maximum wind gust, Cumulative butterflies in direct sun</w:t>
            </w:r>
          </w:p>
        </w:tc>
        <w:tc>
          <w:tcPr/>
          <w:p>
            <w:pPr>
              <w:pStyle w:val="Compact"/>
              <w:jc w:val="right"/>
            </w:pPr>
            <w:r>
              <w:t xml:space="preserve">654.45</w:t>
            </w:r>
          </w:p>
        </w:tc>
        <w:tc>
          <w:tcPr/>
          <w:p>
            <w:pPr>
              <w:pStyle w:val="Compact"/>
              <w:jc w:val="right"/>
            </w:pPr>
            <w:r>
              <w:t xml:space="preserve">5.60</w:t>
            </w:r>
          </w:p>
        </w:tc>
        <w:tc>
          <w:tcPr/>
          <w:p>
            <w:pPr>
              <w:pStyle w:val="Compact"/>
              <w:jc w:val="right"/>
            </w:pPr>
            <w:r>
              <w:t xml:space="preserve">0.05</w:t>
            </w:r>
          </w:p>
        </w:tc>
      </w:tr>
      <w:tr>
        <w:tc>
          <w:tcPr/>
          <w:p>
            <w:pPr>
              <w:pStyle w:val="Compact"/>
              <w:jc w:val="left"/>
            </w:pPr>
            <w:r>
              <w:t xml:space="preserve">M20</w:t>
            </w:r>
          </w:p>
        </w:tc>
        <w:tc>
          <w:tcPr/>
          <w:p>
            <w:pPr>
              <w:pStyle w:val="Compact"/>
              <w:jc w:val="left"/>
            </w:pPr>
            <w:r>
              <w:t xml:space="preserve">Interaction (tensor): Minimum temperature, Cumulative butterflies in direct sun</w:t>
            </w:r>
          </w:p>
        </w:tc>
        <w:tc>
          <w:tcPr/>
          <w:p>
            <w:pPr>
              <w:pStyle w:val="Compact"/>
              <w:jc w:val="right"/>
            </w:pPr>
            <w:r>
              <w:t xml:space="preserve">656.77</w:t>
            </w:r>
          </w:p>
        </w:tc>
        <w:tc>
          <w:tcPr/>
          <w:p>
            <w:pPr>
              <w:pStyle w:val="Compact"/>
              <w:jc w:val="right"/>
            </w:pPr>
            <w:r>
              <w:t xml:space="preserve">7.92</w:t>
            </w:r>
          </w:p>
        </w:tc>
        <w:tc>
          <w:tcPr/>
          <w:p>
            <w:pPr>
              <w:pStyle w:val="Compact"/>
              <w:jc w:val="right"/>
            </w:pPr>
            <w:r>
              <w:t xml:space="preserve">0.02</w:t>
            </w:r>
          </w:p>
        </w:tc>
      </w:tr>
      <w:tr>
        <w:tc>
          <w:tcPr/>
          <w:p>
            <w:pPr>
              <w:pStyle w:val="Compact"/>
              <w:jc w:val="left"/>
            </w:pPr>
            <w:r>
              <w:t xml:space="preserve">M46</w:t>
            </w:r>
          </w:p>
        </w:tc>
        <w:tc>
          <w:tcPr/>
          <w:p>
            <w:pPr>
              <w:pStyle w:val="Compact"/>
              <w:jc w:val="left"/>
            </w:pPr>
            <w:r>
              <w:t xml:space="preserve">Maximum temperature, Cumulative butterflies in direct sun, Interaction (tensor): Maximum temperature, Cumulative butterflies in direct sun</w:t>
            </w:r>
          </w:p>
        </w:tc>
        <w:tc>
          <w:tcPr/>
          <w:p>
            <w:pPr>
              <w:pStyle w:val="Compact"/>
              <w:jc w:val="right"/>
            </w:pPr>
            <w:r>
              <w:t xml:space="preserve">657.70</w:t>
            </w:r>
          </w:p>
        </w:tc>
        <w:tc>
          <w:tcPr/>
          <w:p>
            <w:pPr>
              <w:pStyle w:val="Compact"/>
              <w:jc w:val="right"/>
            </w:pPr>
            <w:r>
              <w:t xml:space="preserve">8.85</w:t>
            </w:r>
          </w:p>
        </w:tc>
        <w:tc>
          <w:tcPr/>
          <w:p>
            <w:pPr>
              <w:pStyle w:val="Compact"/>
              <w:jc w:val="right"/>
            </w:pPr>
            <w:r>
              <w:t xml:space="preserve">0.01</w:t>
            </w:r>
          </w:p>
        </w:tc>
      </w:tr>
      <w:tr>
        <w:tc>
          <w:tcPr/>
          <w:p>
            <w:pPr>
              <w:pStyle w:val="Compact"/>
              <w:jc w:val="left"/>
            </w:pPr>
            <w:r>
              <w:t xml:space="preserve">M30</w:t>
            </w:r>
          </w:p>
        </w:tc>
        <w:tc>
          <w:tcPr/>
          <w:p>
            <w:pPr>
              <w:pStyle w:val="Compact"/>
              <w:jc w:val="left"/>
            </w:pPr>
            <w:r>
              <w:t xml:space="preserve">Interaction (tensor): Temperature at previous maximum count, Cumulative butterflies in direct sun</w:t>
            </w:r>
          </w:p>
        </w:tc>
        <w:tc>
          <w:tcPr/>
          <w:p>
            <w:pPr>
              <w:pStyle w:val="Compact"/>
              <w:jc w:val="right"/>
            </w:pPr>
            <w:r>
              <w:t xml:space="preserve">657.90</w:t>
            </w:r>
          </w:p>
        </w:tc>
        <w:tc>
          <w:tcPr/>
          <w:p>
            <w:pPr>
              <w:pStyle w:val="Compact"/>
              <w:jc w:val="right"/>
            </w:pPr>
            <w:r>
              <w:t xml:space="preserve">9.06</w:t>
            </w:r>
          </w:p>
        </w:tc>
        <w:tc>
          <w:tcPr/>
          <w:p>
            <w:pPr>
              <w:pStyle w:val="Compact"/>
              <w:jc w:val="right"/>
            </w:pPr>
            <w:r>
              <w:t xml:space="preserve">0.01</w:t>
            </w:r>
          </w:p>
        </w:tc>
      </w:tr>
    </w:tbl>
    <w:bookmarkEnd w:id="57"/>
    <w:bookmarkStart w:id="63" w:name="analysis-of-best-fit-model-1"/>
    <w:p>
      <w:pPr>
        <w:pStyle w:val="Heading4"/>
      </w:pPr>
      <w:r>
        <w:t xml:space="preserve">Analysis of Best Fit Model</w:t>
      </w:r>
    </w:p>
    <w:p>
      <w:pPr>
        <w:pStyle w:val="FirstParagraph"/>
      </w:pPr>
      <w:r>
        <w:t xml:space="preserve">The best-fit model (M32) predicted square-root transformed change in butterfly abundance as a function of: (1) the previous day’s maximum butterfly count, (2) window duration in hours, and (3) a tensor smooth interaction between maximum wind gust speed and cumulative butterflies in direct sunlight.</w:t>
      </w:r>
    </w:p>
    <w:p>
      <w:pPr>
        <w:pStyle w:val="BodyText"/>
      </w:pPr>
      <w:r>
        <w:t xml:space="preserve">Statistical analysis revealed significant effects for the previous day’s maximum count (t = -4.988, p &lt; 0.001) and the wind-sunlight interaction (F = 4.097, p &lt; 0.001), while window duration showed no significant effect (t = -1.067, p = 0.289) (Table </w:t>
      </w:r>
      <w:hyperlink w:anchor="tab:m32_summary">
        <w:r>
          <w:rPr>
            <w:rStyle w:val="Hyperlink"/>
          </w:rPr>
          <w:t xml:space="preserve">1.5</w:t>
        </w:r>
      </w:hyperlink>
      <w:r>
        <w:t xml:space="preserve">). The model explained 39.7% of the variance in day-to-day cluster size changes (adjusted</w:t>
      </w:r>
      <w:r>
        <w:t xml:space="preserve"> </w:t>
      </w:r>
      <m:oMath>
        <m:sSup>
          <m:e>
            <m:r>
              <m:t>R</m:t>
            </m:r>
          </m:e>
          <m:sup>
            <m:r>
              <m:t>2</m:t>
            </m:r>
          </m:sup>
        </m:sSup>
      </m:oMath>
      <w:r>
        <w:t xml:space="preserve"> </w:t>
      </w:r>
      <w:r>
        <w:t xml:space="preserve">= 0.397, n = 96), representing substantially greater explanatory power than the 30-minute responsive change analysis.</w:t>
      </w:r>
    </w:p>
    <w:bookmarkStart w:id="58" w:name="tab:m32_summary"/>
    <w:p>
      <w:pPr>
        <w:pStyle w:val="TableCaption"/>
      </w:pPr>
      <w:r>
        <w:t xml:space="preserve">Summary of best-fit model (M32) for predicting site fidelity. The model uses square-root transformed day-to-day changes in butterfly count as the response variable.</w:t>
      </w:r>
    </w:p>
    <w:tbl>
      <w:tblPr>
        <w:tblStyle w:val="Table"/>
        <w:tblW w:type="auto" w:w="0"/>
        <w:tblLook w:firstRow="1" w:lastRow="0" w:firstColumn="0" w:lastColumn="0" w:noHBand="0" w:noVBand="0" w:val="0020"/>
        <w:tblCaption w:val="Summary of best-fit model (M32) for predicting site fidelity. The model uses square-root transformed day-to-day changes in butterfly count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day maximum count</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24.88</w:t>
            </w:r>
          </w:p>
        </w:tc>
        <w:tc>
          <w:tcPr/>
          <w:p>
            <w:pPr>
              <w:pStyle w:val="Compact"/>
              <w:jc w:val="center"/>
            </w:pPr>
            <m:oMath>
              <m:r>
                <m:rPr>
                  <m:sty m:val="p"/>
                </m:rPr>
                <m:t>&lt;</m:t>
              </m:r>
            </m:oMath>
            <w:r>
              <w:t xml:space="preserve"> </w:t>
            </w:r>
            <w:r>
              <w:t xml:space="preserve">0.001***</w:t>
            </w:r>
          </w:p>
        </w:tc>
      </w:tr>
      <w:tr>
        <w:tc>
          <w:tcPr/>
          <w:p>
            <w:pPr>
              <w:pStyle w:val="Compact"/>
              <w:jc w:val="left"/>
            </w:pPr>
            <w:r>
              <w:t xml:space="preserve">Window duration</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1.14</w:t>
            </w:r>
          </w:p>
        </w:tc>
        <w:tc>
          <w:tcPr/>
          <w:p>
            <w:pPr>
              <w:pStyle w:val="Compact"/>
              <w:jc w:val="center"/>
            </w:pPr>
            <w:r>
              <w:t xml:space="preserve">0.289</w:t>
            </w:r>
          </w:p>
        </w:tc>
      </w:tr>
      <w:tr>
        <w:tc>
          <w:tcPr/>
          <w:p>
            <w:pPr>
              <w:pStyle w:val="Compact"/>
              <w:jc w:val="left"/>
            </w:pPr>
            <w:r>
              <w:t xml:space="preserve">Wind gust × Sunlight exposure</w:t>
            </w:r>
          </w:p>
        </w:tc>
        <w:tc>
          <w:tcPr/>
          <w:p>
            <w:pPr>
              <w:pStyle w:val="Compact"/>
              <w:jc w:val="center"/>
            </w:pPr>
            <w:r>
              <w:t xml:space="preserve">6.68</w:t>
            </w:r>
          </w:p>
        </w:tc>
        <w:tc>
          <w:tcPr/>
          <w:p>
            <w:pPr>
              <w:pStyle w:val="Compact"/>
              <w:jc w:val="center"/>
            </w:pPr>
            <w:r>
              <w:t xml:space="preserve">6.68</w:t>
            </w:r>
          </w:p>
        </w:tc>
        <w:tc>
          <w:tcPr/>
          <w:p>
            <w:pPr>
              <w:pStyle w:val="Compact"/>
              <w:jc w:val="center"/>
            </w:pPr>
            <w:r>
              <w:t xml:space="preserve">4.10</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0.397, Scale est. = 41.06, n = 96</w:t>
            </w:r>
          </w:p>
        </w:tc>
      </w:tr>
    </w:tbl>
    <w:bookmarkEnd w:id="58"/>
    <w:p>
      <w:pPr>
        <w:pStyle w:val="BodyText"/>
      </w:pPr>
      <w:r>
        <w:t xml:space="preserve">The previous day’s maximum count showed a significant negative linear relationship (coefficient = -0.030, SE = 0.006), indicating that larger clusters experienced proportionally greater losses between days. This pattern aligns with the responsive change analysis and suggests regression toward mean cluster sizes regardless of temporal scale.</w:t>
      </w:r>
    </w:p>
    <w:p>
      <w:pPr>
        <w:pStyle w:val="BodyText"/>
      </w:pPr>
      <w:r>
        <w:t xml:space="preserve">The tensor smooth interaction between maximum wind gust and cumulative direct sun exposure (p &lt; 0.001) revealed complex conditional relationships between sustained weather exposure and cumulative butterflies in direct light (Figure </w:t>
      </w:r>
      <w:hyperlink w:anchor="fig:interaction_wind_sun_sunset">
        <w:r>
          <w:rPr>
            <w:rStyle w:val="Hyperlink"/>
          </w:rPr>
          <w:t xml:space="preserve">1.6</w:t>
        </w:r>
      </w:hyperlink>
      <w:r>
        <w:t xml:space="preserve">). All observations during the study period experienced wind speeds exceeding 2 m/s. Under low wind speeds around 2 m/s with minimal butterfly counts in direct sun, clusters increased the following day, though this pattern reversed sharply as butterfly counts increased, resulting in decreased cluster sizes. When butterfly counts approached zero, cluster sizes showed minimal change to slight decreases across most wind speeds, with the exception of extreme wind values where sparse data limits interpretation. At intermediate to high values of both wind speed and butterfly sun exposure, cluster sizes increased the next day. Interpretation requires caution at interpolation boundaries and regions with single observations.</w:t>
      </w:r>
    </w:p>
    <w:bookmarkStart w:id="62" w:name="fig:interaction_wind_sun_sunset"/>
    <w:p>
      <w:pPr>
        <w:pStyle w:val="CaptionedFigure"/>
      </w:pPr>
      <w:r>
        <w:drawing>
          <wp:inline>
            <wp:extent cx="4267200" cy="3657600"/>
            <wp:effectExtent b="0" l="0" r="0" t="0"/>
            <wp:docPr descr="" title="" id="60" name="Picture"/>
            <a:graphic>
              <a:graphicData uri="http://schemas.openxmlformats.org/drawingml/2006/picture">
                <pic:pic>
                  <pic:nvPicPr>
                    <pic:cNvPr descr="supplemental/results/sunset/figures/interaction_wind_x_sun_binned.png" id="61" name="Picture"/>
                    <pic:cNvPicPr>
                      <a:picLocks noChangeArrowheads="1" noChangeAspect="1"/>
                    </pic:cNvPicPr>
                  </pic:nvPicPr>
                  <pic:blipFill>
                    <a:blip r:embed="rId5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day-to-day cluster size changes. Color gradient indicates partial effect magnitude on square-root transformed scale (red = positive, blue = negative). Black points show observed data distribution. Gray regions indicate areas beyond reliable interpolation range.</w:t>
      </w:r>
    </w:p>
    <w:bookmarkEnd w:id="62"/>
    <w:bookmarkEnd w:id="63"/>
    <w:bookmarkStart w:id="64" w:name="model-diagnostics-1"/>
    <w:p>
      <w:pPr>
        <w:pStyle w:val="Heading4"/>
      </w:pPr>
      <w:r>
        <w:t xml:space="preserve">Model Diagnostics</w:t>
      </w:r>
    </w:p>
    <w:bookmarkEnd w:id="64"/>
    <w:bookmarkStart w:id="65" w:name="sensitivity-analysis-1"/>
    <w:p>
      <w:pPr>
        <w:pStyle w:val="Heading4"/>
      </w:pPr>
      <w:r>
        <w:t xml:space="preserve">Sensitivity Analysis</w:t>
      </w:r>
    </w:p>
    <w:bookmarkEnd w:id="65"/>
    <w:bookmarkEnd w:id="66"/>
    <w:bookmarkEnd w:id="67"/>
    <w:bookmarkStart w:id="81" w:name="discussion"/>
    <w:p>
      <w:pPr>
        <w:pStyle w:val="Heading2"/>
      </w:pPr>
      <w:r>
        <w:t xml:space="preserve">Discussion</w:t>
      </w:r>
    </w:p>
    <w:bookmarkStart w:id="68"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over three decades of management guidance.</w:t>
      </w:r>
    </w:p>
    <w:p>
      <w:pPr>
        <w:pStyle w:val="BodyText"/>
      </w:pPr>
      <w:r>
        <w:t xml:space="preserve">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pPr>
        <w:pStyle w:val="BodyText"/>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68"/>
    <w:bookmarkStart w:id="72" w:name="alternative-drivers-of-monarch-movement"/>
    <w:p>
      <w:pPr>
        <w:pStyle w:val="Heading3"/>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69"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 This rapid warming capability could readily explain why direct sunlight exposure is such a strong predictor of decreased abundance at clusters.</w:t>
      </w:r>
    </w:p>
    <w:p>
      <w:pPr>
        <w:pStyle w:val="BodyText"/>
      </w:pPr>
      <w:r>
        <w:t xml:space="preserve">The relationship between sunlight and departure represents a key component of the thermoregulatory equation. Monarchs have evolved to efficiently absorb solar radiation, an adaptation that enables flight at temperatures below what would otherwise be physiologically possible</w:t>
      </w:r>
      <w:r>
        <w:t xml:space="preserve"> </w:t>
      </w:r>
      <w:r>
        <w:t xml:space="preserve">(Masters, Malcolm, and Brower 1988)</w:t>
      </w:r>
      <w:r>
        <w:t xml:space="preserve">. Yet this same efficiency becomes a liability when clustering. Butterflies cannot avoid absorbing heat when exposed to direct sun, risking overheating and accelerated depletion of their finite lipid reserves through elevated metabolism</w:t>
      </w:r>
      <w:r>
        <w:t xml:space="preserve"> </w:t>
      </w:r>
      <w:r>
        <w:t xml:space="preserve">(Masters, Malcolm, and Brower 1988)</w:t>
      </w:r>
      <w:r>
        <w:t xml:space="preserve">.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bookmarkEnd w:id="69"/>
    <w:bookmarkStart w:id="70" w:name="Xd9199e8982adf52c1650d45fe5056e5bee40933"/>
    <w:p>
      <w:pPr>
        <w:pStyle w:val="Heading4"/>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(within the known flight threshold), a slight positive association around 20–21°C, and sharp declines above 25°C, consistent with thermoregulatory constraints. Given that available temperatures vary latitudinally across overwintering sites</w:t>
      </w:r>
      <w:r>
        <w:t xml:space="preserve"> </w:t>
      </w:r>
      <w:r>
        <w:t xml:space="preserve">(Saniee and Villablanca 2022)</w:t>
      </w:r>
      <w:r>
        <w:t xml:space="preserve">,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bookmarkEnd w:id="70"/>
    <w:bookmarkStart w:id="71" w:name="diurnal-activity-patterns"/>
    <w:p>
      <w:pPr>
        <w:pStyle w:val="Heading4"/>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r>
        <w:t xml:space="preserve"> </w:t>
      </w:r>
      <w:r>
        <w:t xml:space="preserve">(Tuskes and Brower 1978; Chaplin and Wells 1982; Frey and Leong 1993)</w:t>
      </w:r>
      <w:r>
        <w:t xml:space="preserve">.</w:t>
      </w:r>
    </w:p>
    <w:bookmarkEnd w:id="71"/>
    <w:bookmarkEnd w:id="72"/>
    <w:bookmarkStart w:id="73" w:name="study-limitations"/>
    <w:p>
      <w:pPr>
        <w:pStyle w:val="Heading3"/>
      </w:pPr>
      <w:r>
        <w:t xml:space="preserve">Study Limitations</w:t>
      </w:r>
    </w:p>
    <w:p>
      <w:pPr>
        <w:pStyle w:val="FirstParagraph"/>
      </w:pPr>
      <w:r>
        <w:t xml:space="preserve">Several limitations warrant consideration. Our data derive from a single season (2023–2024) with typical monarch abundance at two sites</w:t>
      </w:r>
      <w:r>
        <w:t xml:space="preserve"> </w:t>
      </w:r>
      <w:r>
        <w:t xml:space="preserve">(Xerces Society 2025a)</w:t>
      </w:r>
      <w:r>
        <w:t xml:space="preserve">. The following season (2024–2025), virtually no clustering monarchs were observed at Vandenberg Space Force Base (23 individuals total) despite monitoring 10 sites. This coincided with the second-lowest overwintering population on record statewide</w:t>
      </w:r>
      <w:r>
        <w:t xml:space="preserve"> </w:t>
      </w:r>
      <w:r>
        <w:t xml:space="preserve">(Xerces Society 2025b)</w:t>
      </w:r>
      <w:r>
        <w:t xml:space="preserve">,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pPr>
        <w:pStyle w:val="BodyText"/>
      </w:pPr>
      <w:r>
        <w:t xml:space="preserve">Furthermore, our study observed clusters where butterflies maintained direct substrate contact. In historically massive aggregations containing hundreds of thousands of individuals, many butterflies attach only to other butterflies, creating multi-layered formations</w:t>
      </w:r>
      <w:r>
        <w:t xml:space="preserve"> </w:t>
      </w:r>
      <w:r>
        <w:t xml:space="preserve">(L. P. Brower et al. 2008)</w:t>
      </w:r>
      <w:r>
        <w:t xml:space="preserve">.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bookmarkEnd w:id="73"/>
    <w:bookmarkStart w:id="74"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w:t>
      </w:r>
      <w:r>
        <w:t xml:space="preserve"> </w:t>
      </w:r>
      <w:r>
        <w:t xml:space="preserve">Saniee and Villablanca (2022)</w:t>
      </w:r>
      <w:r>
        <w:t xml:space="preserve">, it may become relevant to explore ways in which to manage for thermal attributes, specifically sunlight.</w:t>
      </w:r>
    </w:p>
    <w:bookmarkEnd w:id="74"/>
    <w:bookmarkStart w:id="79"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Monarchs possess well-developed visual systems that enable sophisticated navigation during migration, including specialized neurons tuned to track celestial cues and the ability to detect polarized light patterns</w:t>
      </w:r>
      <w:r>
        <w:t xml:space="preserve"> </w:t>
      </w:r>
      <w:r>
        <w:t xml:space="preserve">(Nguyen et al. 2021; Mouritsen and Frost 2002)</w:t>
      </w:r>
      <w:r>
        <w:t xml:space="preserve">. This visual acuity, demonstrated in their use of sun compass orientation during long-distance migration, suggests they are fully capable of detecting and responding to the consistent light patterns created by canopy structure. Previous research also suggests light conditions may play an important role in habitat selection.</w:t>
      </w:r>
      <w:r>
        <w:t xml:space="preserve"> </w:t>
      </w:r>
      <w:r>
        <w:t xml:space="preserve">(Stuart B. Weiss et al. 1991)</w:t>
      </w:r>
      <w:r>
        <w:t xml:space="preserve"> </w:t>
      </w:r>
      <w:r>
        <w:t xml:space="preserve">examined canopy structure across monarch aggregation sites with different occupancy histories in Santa Barbara County, California. Sites were classified as</w:t>
      </w:r>
      <w:r>
        <w:t xml:space="preserve"> </w:t>
      </w:r>
      <w:r>
        <w:t xml:space="preserve">“permanent sites”</w:t>
      </w:r>
      <w:r>
        <w:t xml:space="preserve"> </w:t>
      </w:r>
      <w:r>
        <w:t xml:space="preserve">that support aggregations throughout the overwintering season (October through March),</w:t>
      </w:r>
      <w:r>
        <w:t xml:space="preserve"> </w:t>
      </w:r>
      <w:r>
        <w:t xml:space="preserve">“transient sites”</w:t>
      </w:r>
      <w:r>
        <w:t xml:space="preserve"> </w:t>
      </w:r>
      <w:r>
        <w:t xml:space="preserve">that support aggregations for only part of the season, or</w:t>
      </w:r>
      <w:r>
        <w:t xml:space="preserve"> </w:t>
      </w:r>
      <w:r>
        <w:t xml:space="preserve">“former sites”</w:t>
      </w:r>
      <w:r>
        <w:t xml:space="preserve"> </w:t>
      </w:r>
      <w:r>
        <w:t xml:space="preserve">that once supported aggregations but no longer do so. Using hemispherical photography to measure the Indirect Site Factor (ISF), which quantifies percent canopy openness, Weiss found that permanent overwintering sites clustered within a narrow range of canopy openness (approximately 20%) with relatively low variance, while transient and former sites showed progressively greater variability (Figure </w:t>
      </w:r>
      <w:hyperlink w:anchor="fig:weiss_canopy">
        <w:r>
          <w:rPr>
            <w:rStyle w:val="Hyperlink"/>
          </w:rPr>
          <w:t xml:space="preserve">1.7</w:t>
        </w:r>
      </w:hyperlink>
      <w:r>
        <w:t xml:space="preserve">). This pattern of consistent light conditions at successful sites provides additional context for understanding how canopy structure might influence clustering behavior.</w:t>
      </w:r>
    </w:p>
    <w:bookmarkStart w:id="78" w:name="fig:weiss_canopy"/>
    <w:p>
      <w:pPr>
        <w:pStyle w:val="CaptionedFigure"/>
      </w:pPr>
      <w:r>
        <w:drawing>
          <wp:inline>
            <wp:extent cx="4267200" cy="2517273"/>
            <wp:effectExtent b="0" l="0" r="0" t="0"/>
            <wp:docPr descr="" title="" id="76" name="Picture"/>
            <a:graphic>
              <a:graphicData uri="http://schemas.openxmlformats.org/drawingml/2006/picture">
                <pic:pic>
                  <pic:nvPicPr>
                    <pic:cNvPr descr="figures/discussion/weiss_adapted_boxplot.png" id="77" name="Picture"/>
                    <pic:cNvPicPr>
                      <a:picLocks noChangeArrowheads="1" noChangeAspect="1"/>
                    </pic:cNvPicPr>
                  </pic:nvPicPr>
                  <pic:blipFill>
                    <a:blip r:embed="rId75"/>
                    <a:stretch>
                      <a:fillRect/>
                    </a:stretch>
                  </pic:blipFill>
                  <pic:spPr bwMode="auto">
                    <a:xfrm>
                      <a:off x="0" y="0"/>
                      <a:ext cx="4267200" cy="2517273"/>
                    </a:xfrm>
                    <a:prstGeom prst="rect">
                      <a:avLst/>
                    </a:prstGeom>
                    <a:noFill/>
                    <a:ln w="9525">
                      <a:noFill/>
                      <a:headEnd/>
                      <a:tailEnd/>
                    </a:ln>
                  </pic:spPr>
                </pic:pic>
              </a:graphicData>
            </a:graphic>
          </wp:inline>
        </w:drawing>
      </w:r>
    </w:p>
    <w:p>
      <w:pPr>
        <w:pStyle w:val="ImageCaption"/>
      </w:pPr>
      <w:r>
        <w:t xml:space="preserve">Percent canopy openness (Indirect Site Factor) by occupancy status, adapted from Weiss et al. (1991). Permanent overwintering sites exhibit both a specific range of canopy openness ( 20%) and lower variance compared to transient and unoccupied/former sites.</w:t>
      </w:r>
    </w:p>
    <w:bookmarkEnd w:id="78"/>
    <w:p>
      <w:pPr>
        <w:pStyle w:val="BodyText"/>
      </w:pPr>
      <w:r>
        <w:t xml:space="preserve">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r>
        <w:t xml:space="preserve"> </w:t>
      </w:r>
      <w:r>
        <w:t xml:space="preserve">(Berdahl et al. 2013)</w:t>
      </w:r>
      <w:r>
        <w:t xml:space="preserve">.</w:t>
      </w:r>
    </w:p>
    <w:p>
      <w:pPr>
        <w:pStyle w:val="BodyText"/>
      </w:pPr>
      <w:r>
        <w:t xml:space="preserve">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bookmarkEnd w:id="79"/>
    <w:bookmarkStart w:id="80" w:name="conclusions"/>
    <w:p>
      <w:pPr>
        <w:pStyle w:val="Heading3"/>
      </w:pPr>
      <w:r>
        <w:t xml:space="preserve">Conclusions</w:t>
      </w:r>
    </w:p>
    <w:p>
      <w:pPr>
        <w:pStyle w:val="FirstParagraph"/>
      </w:pPr>
      <w:r>
        <w:t xml:space="preserve">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bookmarkEnd w:id="80"/>
    <w:bookmarkEnd w:id="81"/>
    <w:bookmarkStart w:id="197" w:name="references"/>
    <w:p>
      <w:pPr>
        <w:pStyle w:val="Heading2"/>
      </w:pPr>
      <w:r>
        <w:t xml:space="preserve">References</w:t>
      </w:r>
    </w:p>
    <w:bookmarkStart w:id="196" w:name="refs"/>
    <w:bookmarkStart w:id="83" w:name="Xffa57fe2d4179832de4aae7f55825d81419881f"/>
    <w:p>
      <w:pPr>
        <w:pStyle w:val="Bibliography"/>
      </w:pPr>
      <w:r>
        <w:t xml:space="preserve">Alonso-Mejia, Alfonso, and Alfredo Arellano-Guillermo. 1992.</w:t>
      </w:r>
      <w:r>
        <w:t xml:space="preserve"> </w:t>
      </w:r>
      <w:r>
        <w:t xml:space="preserve">“Influence of</w:t>
      </w:r>
      <w:r>
        <w:t xml:space="preserve"> </w:t>
      </w:r>
      <w:r>
        <w:t xml:space="preserve">Temperature</w:t>
      </w:r>
      <w:r>
        <w:t xml:space="preserve">,</w:t>
      </w:r>
      <w:r>
        <w:t xml:space="preserve"> </w:t>
      </w:r>
      <w:r>
        <w:t xml:space="preserve">Surface Body Moisture</w:t>
      </w:r>
      <w:r>
        <w:t xml:space="preserve"> </w:t>
      </w:r>
      <w:r>
        <w:t xml:space="preserve">and</w:t>
      </w:r>
      <w:r>
        <w:t xml:space="preserve"> </w:t>
      </w:r>
      <w:r>
        <w:t xml:space="preserve">Height Aboveground</w:t>
      </w:r>
      <w:r>
        <w:t xml:space="preserve"> </w:t>
      </w:r>
      <w:r>
        <w:t xml:space="preserve">on</w:t>
      </w:r>
      <w:r>
        <w:t xml:space="preserve"> </w:t>
      </w:r>
      <w:r>
        <w:t xml:space="preserve">Survival</w:t>
      </w:r>
      <w:r>
        <w:t xml:space="preserve"> </w:t>
      </w:r>
      <w:r>
        <w:t xml:space="preserve">of</w:t>
      </w:r>
      <w:r>
        <w:t xml:space="preserve"> </w:t>
      </w:r>
      <w:r>
        <w:t xml:space="preserve">Monarch Butterflies Overwintering</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24 (3): 415–19.</w:t>
      </w:r>
      <w:r>
        <w:t xml:space="preserve"> </w:t>
      </w:r>
      <w:hyperlink r:id="rId82">
        <w:r>
          <w:rPr>
            <w:rStyle w:val="Hyperlink"/>
          </w:rPr>
          <w:t xml:space="preserve">https://doi.org/10.2307/2388612</w:t>
        </w:r>
      </w:hyperlink>
      <w:r>
        <w:t xml:space="preserve">.</w:t>
      </w:r>
    </w:p>
    <w:bookmarkEnd w:id="83"/>
    <w:bookmarkStart w:id="84"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84"/>
    <w:bookmarkStart w:id="86"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85">
        <w:r>
          <w:rPr>
            <w:rStyle w:val="Hyperlink"/>
          </w:rPr>
          <w:t xml:space="preserve">https://doi.org/10.1016/0022-1910(76)90046-9</w:t>
        </w:r>
      </w:hyperlink>
      <w:r>
        <w:t xml:space="preserve">.</w:t>
      </w:r>
    </w:p>
    <w:bookmarkEnd w:id="86"/>
    <w:bookmarkStart w:id="88"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87">
        <w:r>
          <w:rPr>
            <w:rStyle w:val="Hyperlink"/>
          </w:rPr>
          <w:t xml:space="preserve">https://doi.org/10.1086/698656</w:t>
        </w:r>
      </w:hyperlink>
      <w:r>
        <w:t xml:space="preserve">.</w:t>
      </w:r>
    </w:p>
    <w:bookmarkEnd w:id="88"/>
    <w:bookmarkStart w:id="90"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89">
        <w:r>
          <w:rPr>
            <w:rStyle w:val="Hyperlink"/>
          </w:rPr>
          <w:t xml:space="preserve">https://doi.org/10.1016/0022-1910(79)90112-4</w:t>
        </w:r>
      </w:hyperlink>
      <w:r>
        <w:t xml:space="preserve">.</w:t>
      </w:r>
    </w:p>
    <w:bookmarkEnd w:id="90"/>
    <w:bookmarkStart w:id="92" w:name="ref-berdahlEmergentSensingComplex2013"/>
    <w:p>
      <w:pPr>
        <w:pStyle w:val="Bibliography"/>
      </w:pPr>
      <w:r>
        <w:t xml:space="preserve">Berdahl, Andrew, Colin J. Torney, Christos C. Ioannou, Jolyon J. Faria, and Iain D. Couzin. 2013.</w:t>
      </w:r>
      <w:r>
        <w:t xml:space="preserve"> </w:t>
      </w:r>
      <w:r>
        <w:t xml:space="preserve">“Emergent</w:t>
      </w:r>
      <w:r>
        <w:t xml:space="preserve"> </w:t>
      </w:r>
      <w:r>
        <w:t xml:space="preserve">Sensing</w:t>
      </w:r>
      <w:r>
        <w:t xml:space="preserve"> </w:t>
      </w:r>
      <w:r>
        <w:t xml:space="preserve">of</w:t>
      </w:r>
      <w:r>
        <w:t xml:space="preserve"> </w:t>
      </w:r>
      <w:r>
        <w:t xml:space="preserve">Complex Environments</w:t>
      </w:r>
      <w:r>
        <w:t xml:space="preserve"> </w:t>
      </w:r>
      <w:r>
        <w:t xml:space="preserve">by</w:t>
      </w:r>
      <w:r>
        <w:t xml:space="preserve"> </w:t>
      </w:r>
      <w:r>
        <w:t xml:space="preserve">Mobile Animal Groups</w:t>
      </w:r>
      <w:r>
        <w:t xml:space="preserve">.”</w:t>
      </w:r>
      <w:r>
        <w:t xml:space="preserve"> </w:t>
      </w:r>
      <w:r>
        <w:rPr>
          <w:i/>
          <w:iCs/>
        </w:rPr>
        <w:t xml:space="preserve">Science</w:t>
      </w:r>
      <w:r>
        <w:t xml:space="preserve"> </w:t>
      </w:r>
      <w:r>
        <w:t xml:space="preserve">339 (6119): 574–76.</w:t>
      </w:r>
      <w:r>
        <w:t xml:space="preserve"> </w:t>
      </w:r>
      <w:hyperlink r:id="rId91">
        <w:r>
          <w:rPr>
            <w:rStyle w:val="Hyperlink"/>
          </w:rPr>
          <w:t xml:space="preserve">https://doi.org/10.1126/science.1225883</w:t>
        </w:r>
      </w:hyperlink>
      <w:r>
        <w:t xml:space="preserve">.</w:t>
      </w:r>
    </w:p>
    <w:bookmarkEnd w:id="92"/>
    <w:bookmarkStart w:id="94"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93">
        <w:r>
          <w:rPr>
            <w:rStyle w:val="Hyperlink"/>
          </w:rPr>
          <w:t xml:space="preserve">https://www.ncbi.nlm.nih.gov/pubmed/8551296</w:t>
        </w:r>
      </w:hyperlink>
      <w:r>
        <w:t xml:space="preserve">.</w:t>
      </w:r>
    </w:p>
    <w:bookmarkEnd w:id="94"/>
    <w:bookmarkStart w:id="96"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95">
        <w:r>
          <w:rPr>
            <w:rStyle w:val="Hyperlink"/>
          </w:rPr>
          <w:t xml:space="preserve">https://doi.org/10.1007/BF00329753</w:t>
        </w:r>
      </w:hyperlink>
      <w:r>
        <w:t xml:space="preserve">.</w:t>
      </w:r>
    </w:p>
    <w:bookmarkEnd w:id="96"/>
    <w:bookmarkStart w:id="98"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97">
        <w:r>
          <w:rPr>
            <w:rStyle w:val="Hyperlink"/>
          </w:rPr>
          <w:t xml:space="preserve">https://www.semanticscholar.org/paper/Heritability-of-spider-ballooning-motivation-under-Bonte-Lens/d6118c2cd143572bc4f098b5916186ec63c0f12a</w:t>
        </w:r>
      </w:hyperlink>
      <w:r>
        <w:t xml:space="preserve">.</w:t>
      </w:r>
    </w:p>
    <w:bookmarkEnd w:id="98"/>
    <w:bookmarkStart w:id="100" w:name="X1f3dbbfaa7b2ad76256cee892ba2f445cd68f9d"/>
    <w:p>
      <w:pPr>
        <w:pStyle w:val="Bibliography"/>
      </w:pPr>
      <w:r>
        <w:t xml:space="preserve">Brower, L. 1995.</w:t>
      </w:r>
      <w:r>
        <w:t xml:space="preserve"> </w:t>
      </w:r>
      <w:r>
        <w:t xml:space="preserve">“Understanding and Misunderstanding the Migration of the Monarch Butterfly (</w:t>
      </w:r>
      <w:r>
        <w:t xml:space="preserve">Nymphalidae</w:t>
      </w:r>
      <w:r>
        <w:t xml:space="preserve">) in</w:t>
      </w:r>
      <w:r>
        <w:t xml:space="preserve"> </w:t>
      </w:r>
      <w:r>
        <w:t xml:space="preserve">North America</w:t>
      </w:r>
      <w:r>
        <w:t xml:space="preserve">: 1857-1995.”</w:t>
      </w:r>
      <w:r>
        <w:t xml:space="preserve"> </w:t>
      </w:r>
      <w:r>
        <w:rPr>
          <w:i/>
          <w:iCs/>
        </w:rPr>
        <w:t xml:space="preserve">Journal of The Lepidopterists Society</w:t>
      </w:r>
      <w:r>
        <w:t xml:space="preserve">, March.</w:t>
      </w:r>
      <w:r>
        <w:t xml:space="preserve"> </w:t>
      </w:r>
      <w:hyperlink r:id="rId99">
        <w:r>
          <w:rPr>
            <w:rStyle w:val="Hyperlink"/>
          </w:rPr>
          <w:t xml:space="preserve">https://www.semanticscholar.org/paper/Understanding-and-misunderstanding-the-migration-of-Brower/79380ddbf559e310fef9bb8919c03c63ccddecb7</w:t>
        </w:r>
      </w:hyperlink>
      <w:r>
        <w:t xml:space="preserve">.</w:t>
      </w:r>
    </w:p>
    <w:bookmarkEnd w:id="100"/>
    <w:bookmarkStart w:id="101" w:name="ref-browerMonarchButterflyClusters2008"/>
    <w:p>
      <w:pPr>
        <w:pStyle w:val="Bibliography"/>
      </w:pPr>
      <w:r>
        <w:t xml:space="preserve">Brower, Lincoln P., Ernest Williams, Linda Fink, Raúl Zubieta, and M. Ramírez. 2008.</w:t>
      </w:r>
      <w:r>
        <w:t xml:space="preserve"> </w:t>
      </w:r>
      <w:r>
        <w:t xml:space="preserve">“Monarch Butterfly Clusters Provide Microclimatic Advantages During the Overwintering Season in</w:t>
      </w:r>
      <w:r>
        <w:t xml:space="preserve"> </w:t>
      </w:r>
      <w:r>
        <w:t xml:space="preserve">Mexico</w:t>
      </w:r>
      <w:r>
        <w:t xml:space="preserve">.”</w:t>
      </w:r>
      <w:r>
        <w:t xml:space="preserve"> </w:t>
      </w:r>
      <w:r>
        <w:rPr>
          <w:i/>
          <w:iCs/>
        </w:rPr>
        <w:t xml:space="preserve">Journal of the Lepidopterists’ Society</w:t>
      </w:r>
      <w:r>
        <w:t xml:space="preserve"> </w:t>
      </w:r>
      <w:r>
        <w:t xml:space="preserve">62 (December): 177–88.</w:t>
      </w:r>
    </w:p>
    <w:bookmarkEnd w:id="101"/>
    <w:bookmarkStart w:id="103"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102">
        <w:r>
          <w:rPr>
            <w:rStyle w:val="Hyperlink"/>
          </w:rPr>
          <w:t xml:space="preserve">https://doi.org/10.2307/2387997</w:t>
        </w:r>
      </w:hyperlink>
      <w:r>
        <w:t xml:space="preserve">.</w:t>
      </w:r>
    </w:p>
    <w:bookmarkEnd w:id="103"/>
    <w:bookmarkStart w:id="105"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104">
        <w:r>
          <w:rPr>
            <w:rStyle w:val="Hyperlink"/>
          </w:rPr>
          <w:t xml:space="preserve">https://doi.org/10.1111/j.1365-2311.1982.tb00664.x</w:t>
        </w:r>
      </w:hyperlink>
      <w:r>
        <w:t xml:space="preserve">.</w:t>
      </w:r>
    </w:p>
    <w:bookmarkEnd w:id="105"/>
    <w:bookmarkStart w:id="107"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106">
        <w:r>
          <w:rPr>
            <w:rStyle w:val="Hyperlink"/>
          </w:rPr>
          <w:t xml:space="preserve">https://doi.org/10.1016/j.jinsphys.2011.05.004</w:t>
        </w:r>
      </w:hyperlink>
      <w:r>
        <w:t xml:space="preserve">.</w:t>
      </w:r>
    </w:p>
    <w:bookmarkEnd w:id="107"/>
    <w:bookmarkStart w:id="109" w:name="Xcbe322ded35c2e013b9752956f63bc636b3d1ec"/>
    <w:p>
      <w:pPr>
        <w:pStyle w:val="Bibliography"/>
      </w:pPr>
      <w:r>
        <w:t xml:space="preserve">Cockrell, Barbara J., Stephen B. Malcolm, and Lincoln P. Brower. 1993.</w:t>
      </w:r>
      <w:r>
        <w:t xml:space="preserve"> </w:t>
      </w:r>
      <w:r>
        <w:t xml:space="preserve">“Time, Temperature, and Latitudinal Constraints on the Annual Recolonization of Eastern</w:t>
      </w:r>
      <w:r>
        <w:t xml:space="preserve"> </w:t>
      </w:r>
      <w:r>
        <w:t xml:space="preserve">North America</w:t>
      </w:r>
      <w:r>
        <w:t xml:space="preserve"> </w:t>
      </w:r>
      <w:r>
        <w:t xml:space="preserve">by the Monarch Butterfly.”</w:t>
      </w:r>
      <w:r>
        <w:t xml:space="preserve"> </w:t>
      </w:r>
      <w:r>
        <w:rPr>
          <w:i/>
          <w:iCs/>
        </w:rPr>
        <w:t xml:space="preserve">Biology and Conservation of the Monarch Butterfly</w:t>
      </w:r>
      <w:r>
        <w:t xml:space="preserve"> </w:t>
      </w:r>
      <w:r>
        <w:t xml:space="preserve">38: 233–51.</w:t>
      </w:r>
      <w:r>
        <w:t xml:space="preserve"> </w:t>
      </w:r>
      <w:hyperlink r:id="rId108">
        <w:r>
          <w:rPr>
            <w:rStyle w:val="Hyperlink"/>
          </w:rPr>
          <w:t xml:space="preserve">https://hero.epa.gov/hero/index.cfm/reference/details/reference_id/52731</w:t>
        </w:r>
      </w:hyperlink>
      <w:r>
        <w:t xml:space="preserve">.</w:t>
      </w:r>
    </w:p>
    <w:bookmarkEnd w:id="109"/>
    <w:bookmarkStart w:id="111"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110">
        <w:r>
          <w:rPr>
            <w:rStyle w:val="Hyperlink"/>
          </w:rPr>
          <w:t xml:space="preserve">https://doi.org/10.1002/eap.1975</w:t>
        </w:r>
      </w:hyperlink>
      <w:r>
        <w:t xml:space="preserve">.</w:t>
      </w:r>
    </w:p>
    <w:bookmarkEnd w:id="111"/>
    <w:bookmarkStart w:id="113"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112">
        <w:r>
          <w:rPr>
            <w:rStyle w:val="Hyperlink"/>
          </w:rPr>
          <w:t xml:space="preserve">https://doi.org/10.1016/j.jtherbio.2014.05.004</w:t>
        </w:r>
      </w:hyperlink>
      <w:r>
        <w:t xml:space="preserve">.</w:t>
      </w:r>
    </w:p>
    <w:bookmarkEnd w:id="113"/>
    <w:bookmarkStart w:id="115"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114">
        <w:r>
          <w:rPr>
            <w:rStyle w:val="Hyperlink"/>
          </w:rPr>
          <w:t xml:space="preserve">https://doi.org/10.3390/insects9040167</w:t>
        </w:r>
      </w:hyperlink>
      <w:r>
        <w:t xml:space="preserve">.</w:t>
      </w:r>
    </w:p>
    <w:bookmarkEnd w:id="115"/>
    <w:bookmarkStart w:id="117" w:name="ref-freedmanAreEasternWestern2021"/>
    <w:p>
      <w:pPr>
        <w:pStyle w:val="Bibliography"/>
      </w:pPr>
      <w:r>
        <w:t xml:space="preserve">Freedman, Micah G., Jacobus C. de Roode, Matthew L. Forister, Marcus R. Kronforst, Amanda A. Pierce, Cheryl B. Schultz, Orley R. Taylor, and Elizabeth E. Crone. 2021.</w:t>
      </w:r>
      <w:r>
        <w:t xml:space="preserve"> </w:t>
      </w:r>
      <w:r>
        <w:t xml:space="preserve">“Are Eastern and Western Monarch Butterflies Distinct Populations?</w:t>
      </w:r>
      <w:r>
        <w:t xml:space="preserve"> </w:t>
      </w:r>
      <w:r>
        <w:t xml:space="preserve">A</w:t>
      </w:r>
      <w:r>
        <w:t xml:space="preserve"> </w:t>
      </w:r>
      <w:r>
        <w:t xml:space="preserve">Review of Evidence for Ecological, Phenotypic, and Genetic Differentiation and Implications for Conservation.”</w:t>
      </w:r>
      <w:r>
        <w:t xml:space="preserve"> </w:t>
      </w:r>
      <w:r>
        <w:rPr>
          <w:i/>
          <w:iCs/>
        </w:rPr>
        <w:t xml:space="preserve">Conservation Science and Practice</w:t>
      </w:r>
      <w:r>
        <w:t xml:space="preserve"> </w:t>
      </w:r>
      <w:r>
        <w:t xml:space="preserve">3 (7): e432.</w:t>
      </w:r>
      <w:r>
        <w:t xml:space="preserve"> </w:t>
      </w:r>
      <w:hyperlink r:id="rId116">
        <w:r>
          <w:rPr>
            <w:rStyle w:val="Hyperlink"/>
          </w:rPr>
          <w:t xml:space="preserve">https://doi.org/10.1111/csp2.432</w:t>
        </w:r>
      </w:hyperlink>
      <w:r>
        <w:t xml:space="preserve">.</w:t>
      </w:r>
    </w:p>
    <w:bookmarkEnd w:id="117"/>
    <w:bookmarkStart w:id="119" w:name="ref-freyCanMicrohabitatSelection1993"/>
    <w:p>
      <w:pPr>
        <w:pStyle w:val="Bibliography"/>
      </w:pPr>
      <w:r>
        <w:t xml:space="preserve">Frey, Dennis F., and Kingston L. H. Leong. 1993.</w:t>
      </w:r>
      <w:r>
        <w:t xml:space="preserve"> </w:t>
      </w:r>
      <w:r>
        <w:t xml:space="preserve">“Can Microhabitat Selection or Differences in ’Catchability’ Explain Male-Biased Sex Ratios in Overwintering Populations of Monarch Butterflies?”</w:t>
      </w:r>
      <w:r>
        <w:t xml:space="preserve"> </w:t>
      </w:r>
      <w:r>
        <w:rPr>
          <w:i/>
          <w:iCs/>
        </w:rPr>
        <w:t xml:space="preserve">Animal Behaviour</w:t>
      </w:r>
      <w:r>
        <w:t xml:space="preserve"> </w:t>
      </w:r>
      <w:r>
        <w:t xml:space="preserve">45 (5): 1025–27.</w:t>
      </w:r>
      <w:r>
        <w:t xml:space="preserve"> </w:t>
      </w:r>
      <w:hyperlink r:id="rId118">
        <w:r>
          <w:rPr>
            <w:rStyle w:val="Hyperlink"/>
          </w:rPr>
          <w:t xml:space="preserve">https://doi.org/10.1006/anbe.1993.1120</w:t>
        </w:r>
      </w:hyperlink>
      <w:r>
        <w:t xml:space="preserve">.</w:t>
      </w:r>
    </w:p>
    <w:bookmarkEnd w:id="119"/>
    <w:bookmarkStart w:id="121" w:name="X013b2c057f214905504f1c57b189fce57010325"/>
    <w:p>
      <w:pPr>
        <w:pStyle w:val="Bibliography"/>
      </w:pPr>
      <w:r>
        <w:t xml:space="preserve">Goehring, Liz, and Karen S. Oberhauser. 2002.</w:t>
      </w:r>
      <w:r>
        <w:t xml:space="preserve"> </w:t>
      </w:r>
      <w:r>
        <w:t xml:space="preserve">“Effects of Photoperiod, Temperature, and Host Plant Age on Induction of Reproductive Diapause and Development Time in</w:t>
      </w:r>
      <w:r>
        <w:t xml:space="preserve"> </w:t>
      </w:r>
      <w:r>
        <w:t xml:space="preserve">Danaus</w:t>
      </w:r>
      <w:r>
        <w:t xml:space="preserve"> </w:t>
      </w:r>
      <w:r>
        <w:t xml:space="preserve">Plexippus.”</w:t>
      </w:r>
      <w:r>
        <w:t xml:space="preserve"> </w:t>
      </w:r>
      <w:r>
        <w:rPr>
          <w:i/>
          <w:iCs/>
        </w:rPr>
        <w:t xml:space="preserve">Ecological Entomology</w:t>
      </w:r>
      <w:r>
        <w:t xml:space="preserve"> </w:t>
      </w:r>
      <w:r>
        <w:t xml:space="preserve">27 (6): 674–85.</w:t>
      </w:r>
      <w:r>
        <w:t xml:space="preserve"> </w:t>
      </w:r>
      <w:hyperlink r:id="rId120">
        <w:r>
          <w:rPr>
            <w:rStyle w:val="Hyperlink"/>
          </w:rPr>
          <w:t xml:space="preserve">https://doi.org/10.1046/j.1365-2311.2002.00454.x</w:t>
        </w:r>
      </w:hyperlink>
      <w:r>
        <w:t xml:space="preserve">.</w:t>
      </w:r>
    </w:p>
    <w:bookmarkEnd w:id="121"/>
    <w:bookmarkStart w:id="123"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122">
        <w:r>
          <w:rPr>
            <w:rStyle w:val="Hyperlink"/>
          </w:rPr>
          <w:t xml:space="preserve">https://doi.org/10.1080/02541858.1997.11448445</w:t>
        </w:r>
      </w:hyperlink>
      <w:r>
        <w:t xml:space="preserve">.</w:t>
      </w:r>
    </w:p>
    <w:bookmarkEnd w:id="123"/>
    <w:bookmarkStart w:id="125" w:name="ref-hermanJuvenileHormoneRegulation2001"/>
    <w:p>
      <w:pPr>
        <w:pStyle w:val="Bibliography"/>
      </w:pPr>
      <w:r>
        <w:t xml:space="preserve">Herman, W. S., and M. Tatar. 2001.</w:t>
      </w:r>
      <w:r>
        <w:t xml:space="preserve"> </w:t>
      </w:r>
      <w:r>
        <w:t xml:space="preserve">“Juvenile Hormone Regulation of Longevity in the Migratory Monarch Butterfly.”</w:t>
      </w:r>
      <w:r>
        <w:t xml:space="preserve"> </w:t>
      </w:r>
      <w:r>
        <w:rPr>
          <w:i/>
          <w:iCs/>
        </w:rPr>
        <w:t xml:space="preserve">Proceedings of the Royal Society B: Biological Sciences</w:t>
      </w:r>
      <w:r>
        <w:t xml:space="preserve"> </w:t>
      </w:r>
      <w:r>
        <w:t xml:space="preserve">268 (1485): 2509–14.</w:t>
      </w:r>
      <w:r>
        <w:t xml:space="preserve"> </w:t>
      </w:r>
      <w:hyperlink r:id="rId124">
        <w:r>
          <w:rPr>
            <w:rStyle w:val="Hyperlink"/>
          </w:rPr>
          <w:t xml:space="preserve">https://doi.org/10.1098/rspb.2001.1765</w:t>
        </w:r>
      </w:hyperlink>
      <w:r>
        <w:t xml:space="preserve">.</w:t>
      </w:r>
    </w:p>
    <w:bookmarkEnd w:id="125"/>
    <w:bookmarkStart w:id="127"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126">
        <w:r>
          <w:rPr>
            <w:rStyle w:val="Hyperlink"/>
          </w:rPr>
          <w:t xml:space="preserve">https://www.frontiersin.org/articles/10.3389/fevo.2019.00266</w:t>
        </w:r>
      </w:hyperlink>
      <w:r>
        <w:t xml:space="preserve">.</w:t>
      </w:r>
    </w:p>
    <w:bookmarkEnd w:id="127"/>
    <w:bookmarkStart w:id="128" w:name="Xbbdc2d72e4eac6566a65a68aaa1c89bd3254cbb"/>
    <w:p>
      <w:pPr>
        <w:pStyle w:val="Bibliography"/>
      </w:pPr>
      <w:r>
        <w:t xml:space="preserve">Jepsen, Sarina J., and Scott Hoffman Black. 2015.</w:t>
      </w:r>
      <w:r>
        <w:t xml:space="preserve"> </w:t>
      </w:r>
      <w:r>
        <w:t xml:space="preserve">“Understanding and</w:t>
      </w:r>
      <w:r>
        <w:t xml:space="preserve"> </w:t>
      </w:r>
      <w:r>
        <w:t xml:space="preserve">Conserving</w:t>
      </w:r>
      <w:r>
        <w:t xml:space="preserve"> </w:t>
      </w:r>
      <w:r>
        <w:t xml:space="preserve">the</w:t>
      </w:r>
      <w:r>
        <w:t xml:space="preserve"> </w:t>
      </w:r>
      <w:r>
        <w:t xml:space="preserve">Western North American Monarch Population</w:t>
      </w:r>
      <w:r>
        <w:t xml:space="preserve">.”</w:t>
      </w:r>
      <w:r>
        <w:t xml:space="preserve"> </w:t>
      </w:r>
      <w:r>
        <w:t xml:space="preserve">In</w:t>
      </w:r>
      <w:r>
        <w:t xml:space="preserve"> </w:t>
      </w:r>
      <w:r>
        <w:rPr>
          <w:i/>
          <w:iCs/>
        </w:rPr>
        <w:t xml:space="preserve">Monarchs in a Changing World:</w:t>
      </w:r>
      <w:r>
        <w:rPr>
          <w:i/>
          <w:iCs/>
        </w:rPr>
        <w:t xml:space="preserve"> </w:t>
      </w:r>
      <w:r>
        <w:rPr>
          <w:i/>
          <w:iCs/>
        </w:rPr>
        <w:t xml:space="preserve">Biology</w:t>
      </w:r>
      <w:r>
        <w:rPr>
          <w:i/>
          <w:iCs/>
        </w:rPr>
        <w:t xml:space="preserve"> </w:t>
      </w:r>
      <w:r>
        <w:rPr>
          <w:i/>
          <w:iCs/>
        </w:rPr>
        <w:t xml:space="preserve">and Conservation of an Iconic Butterfly</w:t>
      </w:r>
      <w:r>
        <w:t xml:space="preserve">, edited by Karen S. Oberhauser, Kelly R. Nail, and Sonia Altizer, 147–56. Cornell University Press.</w:t>
      </w:r>
    </w:p>
    <w:bookmarkEnd w:id="128"/>
    <w:bookmarkStart w:id="130"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129">
        <w:r>
          <w:rPr>
            <w:rStyle w:val="Hyperlink"/>
          </w:rPr>
          <w:t xml:space="preserve">https://xerces.org/protecting-californias-butterfly-groves</w:t>
        </w:r>
      </w:hyperlink>
      <w:r>
        <w:t xml:space="preserve">.</w:t>
      </w:r>
    </w:p>
    <w:bookmarkEnd w:id="130"/>
    <w:bookmarkStart w:id="132" w:name="ref-jepsenConservationStatusEcology2015"/>
    <w:p>
      <w:pPr>
        <w:pStyle w:val="Bibliography"/>
      </w:pPr>
      <w:r>
        <w:t xml:space="preserve">Jepsen, Sarina, Dale F Schweitzer, Bruce Young, Nicole Sears, Margaret Ormes, and Scott Hoffman Black. 2015.</w:t>
      </w:r>
      <w:r>
        <w:t xml:space="preserve"> </w:t>
      </w:r>
      <w:r>
        <w:t xml:space="preserve">“Conservation</w:t>
      </w:r>
      <w:r>
        <w:t xml:space="preserve"> </w:t>
      </w:r>
      <w:r>
        <w:t xml:space="preserve">Status</w:t>
      </w:r>
      <w:r>
        <w:t xml:space="preserve"> </w:t>
      </w:r>
      <w:r>
        <w:t xml:space="preserve">and</w:t>
      </w:r>
      <w:r>
        <w:t xml:space="preserve"> </w:t>
      </w:r>
      <w:r>
        <w:t xml:space="preserve">Ecology</w:t>
      </w:r>
      <w:r>
        <w:t xml:space="preserve"> </w:t>
      </w:r>
      <w:r>
        <w:t xml:space="preserve">of the</w:t>
      </w:r>
      <w:r>
        <w:t xml:space="preserve"> </w:t>
      </w:r>
      <w:r>
        <w:t xml:space="preserve">Monarch Butterfly</w:t>
      </w:r>
      <w:r>
        <w:t xml:space="preserve"> </w:t>
      </w:r>
      <w:r>
        <w:t xml:space="preserve">in the</w:t>
      </w:r>
      <w:r>
        <w:t xml:space="preserve"> </w:t>
      </w:r>
      <w:r>
        <w:t xml:space="preserve">United States</w:t>
      </w:r>
      <w:r>
        <w:t xml:space="preserve">.”</w:t>
      </w:r>
      <w:r>
        <w:t xml:space="preserve"> </w:t>
      </w:r>
      <w:r>
        <w:t xml:space="preserve">15-016_01. Arlington, VA; Portland, OR.</w:t>
      </w:r>
      <w:r>
        <w:t xml:space="preserve"> </w:t>
      </w:r>
      <w:hyperlink r:id="rId131">
        <w:r>
          <w:rPr>
            <w:rStyle w:val="Hyperlink"/>
          </w:rPr>
          <w:t xml:space="preserve">https://www.xerces.org</w:t>
        </w:r>
      </w:hyperlink>
      <w:r>
        <w:t xml:space="preserve">.</w:t>
      </w:r>
    </w:p>
    <w:bookmarkEnd w:id="132"/>
    <w:bookmarkStart w:id="134" w:name="X72b251cc870f2078b0e3501110397c1b6027b2f"/>
    <w:p>
      <w:pPr>
        <w:pStyle w:val="Bibliography"/>
      </w:pPr>
      <w:r>
        <w:t xml:space="preserve">Kammer, Ann E. 1970.</w:t>
      </w:r>
      <w:r>
        <w:t xml:space="preserve"> </w:t>
      </w:r>
      <w:r>
        <w:t xml:space="preserve">“Thoracic Temperature, Shivering, and Flight in the Monarch Butterfly,</w:t>
      </w:r>
      <w:r>
        <w:t xml:space="preserve"> </w:t>
      </w:r>
      <w:r>
        <w:t xml:space="preserve">Danaus</w:t>
      </w:r>
      <w:r>
        <w:t xml:space="preserve"> </w:t>
      </w:r>
      <w:r>
        <w:t xml:space="preserve">Plexippus (</w:t>
      </w:r>
      <w:r>
        <w:t xml:space="preserve">L</w:t>
      </w:r>
      <w:r>
        <w:t xml:space="preserve">.).”</w:t>
      </w:r>
      <w:r>
        <w:t xml:space="preserve"> </w:t>
      </w:r>
      <w:r>
        <w:rPr>
          <w:i/>
          <w:iCs/>
        </w:rPr>
        <w:t xml:space="preserve">Zeitschrift Für Vergleichende Physiologie</w:t>
      </w:r>
      <w:r>
        <w:t xml:space="preserve"> </w:t>
      </w:r>
      <w:r>
        <w:t xml:space="preserve">68 (3): 334–44.</w:t>
      </w:r>
      <w:r>
        <w:t xml:space="preserve"> </w:t>
      </w:r>
      <w:hyperlink r:id="rId133">
        <w:r>
          <w:rPr>
            <w:rStyle w:val="Hyperlink"/>
          </w:rPr>
          <w:t xml:space="preserve">https://doi.org/10.1007/BF00298260</w:t>
        </w:r>
      </w:hyperlink>
      <w:r>
        <w:t xml:space="preserve">.</w:t>
      </w:r>
    </w:p>
    <w:bookmarkEnd w:id="134"/>
    <w:bookmarkStart w:id="136"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135">
        <w:r>
          <w:rPr>
            <w:rStyle w:val="Hyperlink"/>
          </w:rPr>
          <w:t xml:space="preserve">https://doi.org/10.1242/jeb.073668</w:t>
        </w:r>
      </w:hyperlink>
      <w:r>
        <w:t xml:space="preserve">.</w:t>
      </w:r>
    </w:p>
    <w:bookmarkEnd w:id="136"/>
    <w:bookmarkStart w:id="138"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37">
        <w:r>
          <w:rPr>
            <w:rStyle w:val="Hyperlink"/>
          </w:rPr>
          <w:t xml:space="preserve">https://doi.org/10.1111/aen.12175</w:t>
        </w:r>
      </w:hyperlink>
      <w:r>
        <w:t xml:space="preserve">.</w:t>
      </w:r>
    </w:p>
    <w:bookmarkEnd w:id="138"/>
    <w:bookmarkStart w:id="139" w:name="Xf1ef243cb1da9314ec8f56baaddca270b25ea50"/>
    <w:p>
      <w:pPr>
        <w:pStyle w:val="Bibliography"/>
      </w:pPr>
      <w:r>
        <w:t xml:space="preserve">Leong, K. L. H. 1999.</w:t>
      </w:r>
      <w:r>
        <w:t xml:space="preserve"> </w:t>
      </w:r>
      <w:r>
        <w:t xml:space="preserve">“Restoration of an Overwintering Grove in</w:t>
      </w:r>
      <w:r>
        <w:t xml:space="preserve"> </w:t>
      </w:r>
      <w:r>
        <w:t xml:space="preserve">Los Osos</w:t>
      </w:r>
      <w:r>
        <w:t xml:space="preserve">,</w:t>
      </w:r>
      <w:r>
        <w:t xml:space="preserve"> </w:t>
      </w:r>
      <w:r>
        <w:t xml:space="preserve">San Luis Obispo County</w:t>
      </w:r>
      <w:r>
        <w:t xml:space="preserve">,</w:t>
      </w:r>
      <w:r>
        <w:t xml:space="preserve"> </w:t>
      </w:r>
      <w:r>
        <w:t xml:space="preserve">California</w:t>
      </w:r>
      <w:r>
        <w:t xml:space="preserve">.”</w:t>
      </w:r>
      <w:r>
        <w:t xml:space="preserve"> </w:t>
      </w:r>
      <w:r>
        <w:t xml:space="preserve">In</w:t>
      </w:r>
      <w:r>
        <w:t xml:space="preserve"> </w:t>
      </w:r>
      <w:r>
        <w:rPr>
          <w:i/>
          <w:iCs/>
        </w:rPr>
        <w:t xml:space="preserve">1997</w:t>
      </w:r>
      <w:r>
        <w:rPr>
          <w:i/>
          <w:iCs/>
        </w:rPr>
        <w:t xml:space="preserve"> </w:t>
      </w:r>
      <w:r>
        <w:rPr>
          <w:i/>
          <w:iCs/>
        </w:rPr>
        <w:t xml:space="preserve">North American Conference</w:t>
      </w:r>
      <w:r>
        <w:rPr>
          <w:i/>
          <w:iCs/>
        </w:rPr>
        <w:t xml:space="preserve"> </w:t>
      </w:r>
      <w:r>
        <w:rPr>
          <w:i/>
          <w:iCs/>
        </w:rPr>
        <w:t xml:space="preserve">on the</w:t>
      </w:r>
      <w:r>
        <w:rPr>
          <w:i/>
          <w:iCs/>
        </w:rPr>
        <w:t xml:space="preserve"> </w:t>
      </w:r>
      <w:r>
        <w:rPr>
          <w:i/>
          <w:iCs/>
        </w:rPr>
        <w:t xml:space="preserve">Monarch Butterfly</w:t>
      </w:r>
      <w:r>
        <w:rPr>
          <w:i/>
          <w:iCs/>
        </w:rPr>
        <w:t xml:space="preserve">.</w:t>
      </w:r>
      <w:r>
        <w:rPr>
          <w:i/>
          <w:iCs/>
        </w:rPr>
        <w:t xml:space="preserve"> </w:t>
      </w:r>
      <w:r>
        <w:rPr>
          <w:i/>
          <w:iCs/>
        </w:rPr>
        <w:t xml:space="preserve">Eds</w:t>
      </w:r>
      <w:r>
        <w:rPr>
          <w:i/>
          <w:iCs/>
        </w:rPr>
        <w:t xml:space="preserve">.</w:t>
      </w:r>
      <w:r>
        <w:rPr>
          <w:i/>
          <w:iCs/>
        </w:rPr>
        <w:t xml:space="preserve"> </w:t>
      </w:r>
      <w:r>
        <w:rPr>
          <w:i/>
          <w:iCs/>
        </w:rPr>
        <w:t xml:space="preserve">J</w:t>
      </w:r>
      <w:r>
        <w:rPr>
          <w:i/>
          <w:iCs/>
        </w:rPr>
        <w:t xml:space="preserve">.</w:t>
      </w:r>
      <w:r>
        <w:rPr>
          <w:i/>
          <w:iCs/>
        </w:rPr>
        <w:t xml:space="preserve"> </w:t>
      </w:r>
      <w:r>
        <w:rPr>
          <w:i/>
          <w:iCs/>
        </w:rPr>
        <w:t xml:space="preserve">Hoth</w:t>
      </w:r>
      <w:r>
        <w:rPr>
          <w:i/>
          <w:iCs/>
        </w:rPr>
        <w:t xml:space="preserve">,</w:t>
      </w:r>
      <w:r>
        <w:rPr>
          <w:i/>
          <w:iCs/>
        </w:rPr>
        <w:t xml:space="preserve"> </w:t>
      </w:r>
      <w:r>
        <w:rPr>
          <w:i/>
          <w:iCs/>
        </w:rPr>
        <w:t xml:space="preserve">L</w:t>
      </w:r>
      <w:r>
        <w:rPr>
          <w:i/>
          <w:iCs/>
        </w:rPr>
        <w:t xml:space="preserve">.</w:t>
      </w:r>
      <w:r>
        <w:rPr>
          <w:i/>
          <w:iCs/>
        </w:rPr>
        <w:t xml:space="preserve"> </w:t>
      </w:r>
      <w:r>
        <w:rPr>
          <w:i/>
          <w:iCs/>
        </w:rPr>
        <w:t xml:space="preserve">Merino</w:t>
      </w:r>
      <w:r>
        <w:rPr>
          <w:i/>
          <w:iCs/>
        </w:rPr>
        <w:t xml:space="preserve">,</w:t>
      </w:r>
      <w:r>
        <w:rPr>
          <w:i/>
          <w:iCs/>
        </w:rPr>
        <w:t xml:space="preserve"> </w:t>
      </w:r>
      <w:r>
        <w:rPr>
          <w:i/>
          <w:iCs/>
        </w:rPr>
        <w:t xml:space="preserve">K</w:t>
      </w:r>
      <w:r>
        <w:rPr>
          <w:i/>
          <w:iCs/>
        </w:rPr>
        <w:t xml:space="preserve">.</w:t>
      </w:r>
      <w:r>
        <w:rPr>
          <w:i/>
          <w:iCs/>
        </w:rPr>
        <w:t xml:space="preserve"> </w:t>
      </w:r>
      <w:r>
        <w:rPr>
          <w:i/>
          <w:iCs/>
        </w:rPr>
        <w:t xml:space="preserve">Oberhauser</w:t>
      </w:r>
      <w:r>
        <w:rPr>
          <w:i/>
          <w:iCs/>
        </w:rPr>
        <w:t xml:space="preserve">,</w:t>
      </w:r>
      <w:r>
        <w:rPr>
          <w:i/>
          <w:iCs/>
        </w:rPr>
        <w:t xml:space="preserve"> </w:t>
      </w:r>
      <w:r>
        <w:rPr>
          <w:i/>
          <w:iCs/>
        </w:rPr>
        <w:t xml:space="preserve">I</w:t>
      </w:r>
      <w:r>
        <w:rPr>
          <w:i/>
          <w:iCs/>
        </w:rPr>
        <w:t xml:space="preserve">.</w:t>
      </w:r>
      <w:r>
        <w:rPr>
          <w:i/>
          <w:iCs/>
        </w:rPr>
        <w:t xml:space="preserve"> </w:t>
      </w:r>
      <w:r>
        <w:rPr>
          <w:i/>
          <w:iCs/>
        </w:rPr>
        <w:t xml:space="preserve">Pisanty</w:t>
      </w:r>
      <w:r>
        <w:rPr>
          <w:i/>
          <w:iCs/>
        </w:rPr>
        <w:t xml:space="preserve">,</w:t>
      </w:r>
      <w:r>
        <w:rPr>
          <w:i/>
          <w:iCs/>
        </w:rPr>
        <w:t xml:space="preserve"> </w:t>
      </w:r>
      <w:r>
        <w:rPr>
          <w:i/>
          <w:iCs/>
        </w:rPr>
        <w:t xml:space="preserve">S</w:t>
      </w:r>
      <w:r>
        <w:rPr>
          <w:i/>
          <w:iCs/>
        </w:rPr>
        <w:t xml:space="preserve">.</w:t>
      </w:r>
      <w:r>
        <w:rPr>
          <w:i/>
          <w:iCs/>
        </w:rPr>
        <w:t xml:space="preserve"> </w:t>
      </w:r>
      <w:r>
        <w:rPr>
          <w:i/>
          <w:iCs/>
        </w:rPr>
        <w:t xml:space="preserve">Price</w:t>
      </w:r>
      <w:r>
        <w:rPr>
          <w:i/>
          <w:iCs/>
        </w:rPr>
        <w:t xml:space="preserve">, and</w:t>
      </w:r>
      <w:r>
        <w:rPr>
          <w:i/>
          <w:iCs/>
        </w:rPr>
        <w:t xml:space="preserve"> </w:t>
      </w:r>
      <w:r>
        <w:rPr>
          <w:i/>
          <w:iCs/>
        </w:rPr>
        <w:t xml:space="preserve">T</w:t>
      </w:r>
      <w:r>
        <w:rPr>
          <w:i/>
          <w:iCs/>
        </w:rPr>
        <w:t xml:space="preserve">.</w:t>
      </w:r>
      <w:r>
        <w:rPr>
          <w:i/>
          <w:iCs/>
        </w:rPr>
        <w:t xml:space="preserve"> </w:t>
      </w:r>
      <w:r>
        <w:rPr>
          <w:i/>
          <w:iCs/>
        </w:rPr>
        <w:t xml:space="preserve">Wilkinson</w:t>
      </w:r>
      <w:r>
        <w:t xml:space="preserve">, 221–18.</w:t>
      </w:r>
    </w:p>
    <w:bookmarkEnd w:id="139"/>
    <w:bookmarkStart w:id="140"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40"/>
    <w:bookmarkStart w:id="142"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41">
        <w:r>
          <w:rPr>
            <w:rStyle w:val="Hyperlink"/>
          </w:rPr>
          <w:t xml:space="preserve">https://doi.org/10.1093/aesa/84.3.263</w:t>
        </w:r>
      </w:hyperlink>
      <w:r>
        <w:t xml:space="preserve">.</w:t>
      </w:r>
    </w:p>
    <w:bookmarkEnd w:id="142"/>
    <w:bookmarkStart w:id="144"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43">
        <w:r>
          <w:rPr>
            <w:rStyle w:val="Hyperlink"/>
          </w:rPr>
          <w:t xml:space="preserve">https://doi.org/10.1093/aesa/83.5.906</w:t>
        </w:r>
      </w:hyperlink>
      <w:r>
        <w:t xml:space="preserve">.</w:t>
      </w:r>
    </w:p>
    <w:bookmarkEnd w:id="144"/>
    <w:bookmarkStart w:id="146" w:name="X90be9b641f8b8d65e6ff46ad3ba4a0e4197a200"/>
    <w:p>
      <w:pPr>
        <w:pStyle w:val="Bibliography"/>
      </w:pPr>
      <w:r>
        <w:t xml:space="preserve">Marini, Lorenzo, and Myron P Zalucki. 2017.</w:t>
      </w:r>
      <w:r>
        <w:t xml:space="preserve"> </w:t>
      </w:r>
      <w:r>
        <w:t xml:space="preserve">“Density-Dependence in the Declining Population of the Monarch Butterfly.”</w:t>
      </w:r>
      <w:r>
        <w:t xml:space="preserve"> </w:t>
      </w:r>
      <w:r>
        <w:rPr>
          <w:i/>
          <w:iCs/>
        </w:rPr>
        <w:t xml:space="preserve">Scientific Reports</w:t>
      </w:r>
      <w:r>
        <w:t xml:space="preserve"> </w:t>
      </w:r>
      <w:r>
        <w:t xml:space="preserve">7.</w:t>
      </w:r>
      <w:r>
        <w:t xml:space="preserve"> </w:t>
      </w:r>
      <w:hyperlink r:id="rId145">
        <w:r>
          <w:rPr>
            <w:rStyle w:val="Hyperlink"/>
          </w:rPr>
          <w:t xml:space="preserve">https://doi.org/10.1038/s41598-017-14510-w</w:t>
        </w:r>
      </w:hyperlink>
      <w:r>
        <w:t xml:space="preserve">.</w:t>
      </w:r>
    </w:p>
    <w:bookmarkEnd w:id="146"/>
    <w:bookmarkStart w:id="148"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47">
        <w:r>
          <w:rPr>
            <w:rStyle w:val="Hyperlink"/>
          </w:rPr>
          <w:t xml:space="preserve">https://doi.org/10.2307/1940444</w:t>
        </w:r>
      </w:hyperlink>
      <w:r>
        <w:t xml:space="preserve">.</w:t>
      </w:r>
    </w:p>
    <w:bookmarkEnd w:id="148"/>
    <w:bookmarkStart w:id="150"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49">
        <w:r>
          <w:rPr>
            <w:rStyle w:val="Hyperlink"/>
          </w:rPr>
          <w:t xml:space="preserve">https://doi.org/10.1002/ecy.3634</w:t>
        </w:r>
      </w:hyperlink>
      <w:r>
        <w:t xml:space="preserve">.</w:t>
      </w:r>
    </w:p>
    <w:bookmarkEnd w:id="150"/>
    <w:bookmarkStart w:id="152" w:name="Xa3c1b4d22cf555735f3af6df57617ee0ad52730"/>
    <w:p>
      <w:pPr>
        <w:pStyle w:val="Bibliography"/>
      </w:pPr>
      <w:r>
        <w:t xml:space="preserve">Mouritsen, Henrik, and Barrie J. Frost. 2002.</w:t>
      </w:r>
      <w:r>
        <w:t xml:space="preserve"> </w:t>
      </w:r>
      <w:r>
        <w:t xml:space="preserve">“Virtual Migration in Tethered Flying Monarch Butterflies Reveals Their Orientation Mechanisms.”</w:t>
      </w:r>
      <w:r>
        <w:t xml:space="preserve"> </w:t>
      </w:r>
      <w:r>
        <w:rPr>
          <w:i/>
          <w:iCs/>
        </w:rPr>
        <w:t xml:space="preserve">Proceedings of the National Academy of Sciences of the United States of America</w:t>
      </w:r>
      <w:r>
        <w:t xml:space="preserve"> </w:t>
      </w:r>
      <w:r>
        <w:t xml:space="preserve">99 (15): 10162–66.</w:t>
      </w:r>
      <w:r>
        <w:t xml:space="preserve"> </w:t>
      </w:r>
      <w:hyperlink r:id="rId151">
        <w:r>
          <w:rPr>
            <w:rStyle w:val="Hyperlink"/>
          </w:rPr>
          <w:t xml:space="preserve">https://doi.org/10.1073/pnas.152137299</w:t>
        </w:r>
      </w:hyperlink>
      <w:r>
        <w:t xml:space="preserve">.</w:t>
      </w:r>
    </w:p>
    <w:bookmarkEnd w:id="152"/>
    <w:bookmarkStart w:id="154"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53">
        <w:r>
          <w:rPr>
            <w:rStyle w:val="Hyperlink"/>
          </w:rPr>
          <w:t xml:space="preserve">https://doi.org/10.1111/j.1366-9516.2005.00146.x</w:t>
        </w:r>
      </w:hyperlink>
      <w:r>
        <w:t xml:space="preserve">.</w:t>
      </w:r>
    </w:p>
    <w:bookmarkEnd w:id="154"/>
    <w:bookmarkStart w:id="156" w:name="ref-nguyenSunCompassNeurons2021"/>
    <w:p>
      <w:pPr>
        <w:pStyle w:val="Bibliography"/>
      </w:pPr>
      <w:r>
        <w:t xml:space="preserve">Nguyen, Tu Anh Thi, M. Jerome Beetz, Christine Merlin, and Basil el Jundi. 2021.</w:t>
      </w:r>
      <w:r>
        <w:t xml:space="preserve"> </w:t>
      </w:r>
      <w:r>
        <w:t xml:space="preserve">“Sun Compass Neurons Are Tuned to Migratory Orientation in Monarch Butterflies.”</w:t>
      </w:r>
      <w:r>
        <w:t xml:space="preserve"> </w:t>
      </w:r>
      <w:r>
        <w:rPr>
          <w:i/>
          <w:iCs/>
        </w:rPr>
        <w:t xml:space="preserve">Proceedings of the Royal Society B: Biological Sciences</w:t>
      </w:r>
      <w:r>
        <w:t xml:space="preserve"> </w:t>
      </w:r>
      <w:r>
        <w:t xml:space="preserve">288 (1945): 20202988.</w:t>
      </w:r>
      <w:r>
        <w:t xml:space="preserve"> </w:t>
      </w:r>
      <w:hyperlink r:id="rId155">
        <w:r>
          <w:rPr>
            <w:rStyle w:val="Hyperlink"/>
          </w:rPr>
          <w:t xml:space="preserve">https://doi.org/10.1098/rspb.2020.2988</w:t>
        </w:r>
      </w:hyperlink>
      <w:r>
        <w:t xml:space="preserve">.</w:t>
      </w:r>
    </w:p>
    <w:bookmarkEnd w:id="156"/>
    <w:bookmarkStart w:id="157"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57"/>
    <w:bookmarkStart w:id="159"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58">
        <w:r>
          <w:rPr>
            <w:rStyle w:val="Hyperlink"/>
          </w:rPr>
          <w:t xml:space="preserve">https://www.frontiersin.org/articles/10.3389/fevo.2019.00258</w:t>
        </w:r>
      </w:hyperlink>
      <w:r>
        <w:t xml:space="preserve">.</w:t>
      </w:r>
    </w:p>
    <w:bookmarkEnd w:id="159"/>
    <w:bookmarkStart w:id="161" w:name="X4f9fcd08a29276e76a41ed172f465032bf17885"/>
    <w:p>
      <w:pPr>
        <w:pStyle w:val="Bibliography"/>
      </w:pPr>
      <w:r>
        <w:t xml:space="preserve">Reppert, Steven M., and Jacobus C. de Roode. 2018.</w:t>
      </w:r>
      <w:r>
        <w:t xml:space="preserve"> </w:t>
      </w:r>
      <w:r>
        <w:t xml:space="preserve">“Demystifying</w:t>
      </w:r>
      <w:r>
        <w:t xml:space="preserve"> </w:t>
      </w:r>
      <w:r>
        <w:t xml:space="preserve">Monarch Butterfly Migration</w:t>
      </w:r>
      <w:r>
        <w:t xml:space="preserve">.”</w:t>
      </w:r>
      <w:r>
        <w:t xml:space="preserve"> </w:t>
      </w:r>
      <w:r>
        <w:rPr>
          <w:i/>
          <w:iCs/>
        </w:rPr>
        <w:t xml:space="preserve">Current Biology</w:t>
      </w:r>
      <w:r>
        <w:t xml:space="preserve"> </w:t>
      </w:r>
      <w:r>
        <w:t xml:space="preserve">28 (17): R1009–22.</w:t>
      </w:r>
      <w:r>
        <w:t xml:space="preserve"> </w:t>
      </w:r>
      <w:hyperlink r:id="rId160">
        <w:r>
          <w:rPr>
            <w:rStyle w:val="Hyperlink"/>
          </w:rPr>
          <w:t xml:space="preserve">https://doi.org/10.1016/j.cub.2018.02.067</w:t>
        </w:r>
      </w:hyperlink>
      <w:r>
        <w:t xml:space="preserve">.</w:t>
      </w:r>
    </w:p>
    <w:bookmarkEnd w:id="161"/>
    <w:bookmarkStart w:id="163"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62">
        <w:r>
          <w:rPr>
            <w:rStyle w:val="Hyperlink"/>
          </w:rPr>
          <w:t xml:space="preserve">https://www.frontiersin.org/articles/10.3389/fcosc.2022.844299</w:t>
        </w:r>
      </w:hyperlink>
      <w:r>
        <w:t xml:space="preserve">.</w:t>
      </w:r>
    </w:p>
    <w:bookmarkEnd w:id="163"/>
    <w:bookmarkStart w:id="165"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64">
        <w:r>
          <w:rPr>
            <w:rStyle w:val="Hyperlink"/>
          </w:rPr>
          <w:t xml:space="preserve">https://doi.org/10.1016/j.biocon.2017.08.019</w:t>
        </w:r>
      </w:hyperlink>
      <w:r>
        <w:t xml:space="preserve">.</w:t>
      </w:r>
    </w:p>
    <w:bookmarkEnd w:id="165"/>
    <w:bookmarkStart w:id="167"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66">
        <w:r>
          <w:rPr>
            <w:rStyle w:val="Hyperlink"/>
          </w:rPr>
          <w:t xml:space="preserve">https://doi.org/10.1002/ece3.5607</w:t>
        </w:r>
      </w:hyperlink>
      <w:r>
        <w:t xml:space="preserve">.</w:t>
      </w:r>
    </w:p>
    <w:bookmarkEnd w:id="167"/>
    <w:bookmarkStart w:id="169" w:name="ref-solenskyOverviewMonarchMigration2004"/>
    <w:p>
      <w:pPr>
        <w:pStyle w:val="Bibliography"/>
      </w:pPr>
      <w:r>
        <w:t xml:space="preserve">Solensky, Michelle J. 2004.</w:t>
      </w:r>
      <w:r>
        <w:t xml:space="preserve"> </w:t>
      </w:r>
      <w:r>
        <w:t xml:space="preserve">“Overview of Monarch Migration.”</w:t>
      </w:r>
      <w:r>
        <w:t xml:space="preserve"> </w:t>
      </w:r>
      <w:r>
        <w:rPr>
          <w:i/>
          <w:iCs/>
        </w:rPr>
        <w:t xml:space="preserve">The Monarch Butterfly: Biology and Conservation</w:t>
      </w:r>
      <w:r>
        <w:t xml:space="preserve"> </w:t>
      </w:r>
      <w:r>
        <w:t xml:space="preserve">546: 79–83.</w:t>
      </w:r>
      <w:r>
        <w:t xml:space="preserve"> </w:t>
      </w:r>
      <w:hyperlink r:id="rId168">
        <w:r>
          <w:rPr>
            <w:rStyle w:val="Hyperlink"/>
          </w:rPr>
          <w:t xml:space="preserve">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w:t>
        </w:r>
      </w:hyperlink>
      <w:r>
        <w:t xml:space="preserve">.</w:t>
      </w:r>
    </w:p>
    <w:bookmarkEnd w:id="169"/>
    <w:bookmarkStart w:id="171" w:name="ref-themonarchpressCityAwarded392019"/>
    <w:p>
      <w:pPr>
        <w:pStyle w:val="Bibliography"/>
      </w:pPr>
      <w:r>
        <w:t xml:space="preserve">The Monarch Press. 2019.</w:t>
      </w:r>
      <w:r>
        <w:t xml:space="preserve"> </w:t>
      </w:r>
      <w:r>
        <w:t xml:space="preserve">“City</w:t>
      </w:r>
      <w:r>
        <w:t xml:space="preserve"> </w:t>
      </w:r>
      <w:r>
        <w:t xml:space="preserve">Awarded</w:t>
      </w:r>
      <w:r>
        <w:t xml:space="preserve"> </w:t>
      </w:r>
      <w:r>
        <w:t xml:space="preserve">$3.9</w:t>
      </w:r>
      <w:r>
        <w:t xml:space="preserve"> </w:t>
      </w:r>
      <w:r>
        <w:t xml:space="preserve">Million</w:t>
      </w:r>
      <w:r>
        <w:t xml:space="preserve"> </w:t>
      </w:r>
      <w:r>
        <w:t xml:space="preserve">in</w:t>
      </w:r>
      <w:r>
        <w:t xml:space="preserve"> </w:t>
      </w:r>
      <w:r>
        <w:t xml:space="preserve">Funding</w:t>
      </w:r>
      <w:r>
        <w:t xml:space="preserve"> </w:t>
      </w:r>
      <w:r>
        <w:t xml:space="preserve">for the</w:t>
      </w:r>
      <w:r>
        <w:t xml:space="preserve"> </w:t>
      </w:r>
      <w:r>
        <w:t xml:space="preserve">Monarch Butterfly Habitat Management Plan</w:t>
      </w:r>
      <w:r>
        <w:t xml:space="preserve">.”</w:t>
      </w:r>
      <w:r>
        <w:t xml:space="preserve"> </w:t>
      </w:r>
      <w:r>
        <w:t xml:space="preserve">June 2019.</w:t>
      </w:r>
      <w:r>
        <w:t xml:space="preserve"> </w:t>
      </w:r>
      <w:hyperlink r:id="rId170">
        <w:r>
          <w:rPr>
            <w:rStyle w:val="Hyperlink"/>
          </w:rPr>
          <w:t xml:space="preserve">https://www.goletamonarchpress.com/2019/06/city-awarded-3-9-million-in-funding-for-the-monarch-butterfly-habitat-management-plan/</w:t>
        </w:r>
      </w:hyperlink>
      <w:r>
        <w:t xml:space="preserve">.</w:t>
      </w:r>
    </w:p>
    <w:bookmarkEnd w:id="171"/>
    <w:bookmarkStart w:id="173" w:name="X1046fd071f1f4ee466ab0602a852035520c9ac1"/>
    <w:p>
      <w:pPr>
        <w:pStyle w:val="Bibliography"/>
      </w:pPr>
      <w:r>
        <w:t xml:space="preserve">Tuskes, P. M., and L. P. Brower. 1978.</w:t>
      </w:r>
      <w:r>
        <w:t xml:space="preserve"> </w:t>
      </w:r>
      <w:r>
        <w:t xml:space="preserve">“Overwintering Ecology of the Monarch Butterfly,</w:t>
      </w:r>
      <w:r>
        <w:t xml:space="preserve"> </w:t>
      </w:r>
      <w:r>
        <w:t xml:space="preserve">Danaus</w:t>
      </w:r>
      <w:r>
        <w:t xml:space="preserve"> </w:t>
      </w:r>
      <w:r>
        <w:t xml:space="preserve">Plexippus</w:t>
      </w:r>
      <w:r>
        <w:t xml:space="preserve"> </w:t>
      </w:r>
      <w:r>
        <w:t xml:space="preserve">L</w:t>
      </w:r>
      <w:r>
        <w:t xml:space="preserve">., in</w:t>
      </w:r>
      <w:r>
        <w:t xml:space="preserve"> </w:t>
      </w:r>
      <w:r>
        <w:t xml:space="preserve">California</w:t>
      </w:r>
      <w:r>
        <w:t xml:space="preserve">.”</w:t>
      </w:r>
      <w:r>
        <w:t xml:space="preserve"> </w:t>
      </w:r>
      <w:r>
        <w:rPr>
          <w:i/>
          <w:iCs/>
        </w:rPr>
        <w:t xml:space="preserve">Ecological Entomology</w:t>
      </w:r>
      <w:r>
        <w:t xml:space="preserve"> </w:t>
      </w:r>
      <w:r>
        <w:t xml:space="preserve">3 (2): 141–53.</w:t>
      </w:r>
      <w:r>
        <w:t xml:space="preserve"> </w:t>
      </w:r>
      <w:hyperlink r:id="rId172">
        <w:r>
          <w:rPr>
            <w:rStyle w:val="Hyperlink"/>
          </w:rPr>
          <w:t xml:space="preserve">https://doi.org/10.1111/j.1365-2311.1978.tb00912.x</w:t>
        </w:r>
      </w:hyperlink>
      <w:r>
        <w:t xml:space="preserve">.</w:t>
      </w:r>
    </w:p>
    <w:bookmarkEnd w:id="173"/>
    <w:bookmarkStart w:id="174" w:name="ref-Urquhart1978Autumnal"/>
    <w:p>
      <w:pPr>
        <w:pStyle w:val="Bibliography"/>
      </w:pPr>
      <w:r>
        <w:t xml:space="preserve">Urquhart, F. A., and N. R. Urquhart. 1978.</w:t>
      </w:r>
      <w:r>
        <w:t xml:space="preserve"> </w:t>
      </w:r>
      <w:r>
        <w:t xml:space="preserve">“Autumnal Migration Routes of the Eastern Population of the Monarch Butterfly (</w:t>
      </w:r>
      <w:r>
        <w:rPr>
          <w:i/>
          <w:iCs/>
        </w:rPr>
        <w:t xml:space="preserve">Danaus p</w:t>
      </w:r>
      <w:r>
        <w:t xml:space="preserve">.</w:t>
      </w:r>
      <w:r>
        <w:t xml:space="preserve"> </w:t>
      </w:r>
      <w:r>
        <w:rPr>
          <w:i/>
          <w:iCs/>
        </w:rPr>
        <w:t xml:space="preserve">Plexippus</w:t>
      </w:r>
      <w:r>
        <w:t xml:space="preserve"> </w:t>
      </w:r>
      <w:r>
        <w:t xml:space="preserve">L</w:t>
      </w:r>
      <w:r>
        <w:t xml:space="preserve">.;</w:t>
      </w:r>
      <w:r>
        <w:t xml:space="preserve"> </w:t>
      </w:r>
      <w:r>
        <w:t xml:space="preserve">Danaidae</w:t>
      </w:r>
      <w:r>
        <w:t xml:space="preserve">;</w:t>
      </w:r>
      <w:r>
        <w:t xml:space="preserve"> </w:t>
      </w:r>
      <w:r>
        <w:t xml:space="preserve">Lepidoptera</w:t>
      </w:r>
      <w:r>
        <w:t xml:space="preserve">) in</w:t>
      </w:r>
      <w:r>
        <w:t xml:space="preserve"> </w:t>
      </w:r>
      <w:r>
        <w:t xml:space="preserve">North America</w:t>
      </w:r>
      <w:r>
        <w:t xml:space="preserve"> </w:t>
      </w:r>
      <w:r>
        <w:t xml:space="preserve">to the Overwintering Site in the</w:t>
      </w:r>
      <w:r>
        <w:t xml:space="preserve"> </w:t>
      </w:r>
      <w:r>
        <w:t xml:space="preserve">Neovolcanic Plateau</w:t>
      </w:r>
      <w:r>
        <w:t xml:space="preserve"> </w:t>
      </w:r>
      <w:r>
        <w:t xml:space="preserve">of</w:t>
      </w:r>
      <w:r>
        <w:t xml:space="preserve"> </w:t>
      </w:r>
      <w:r>
        <w:t xml:space="preserve">Mexico</w:t>
      </w:r>
      <w:r>
        <w:t xml:space="preserve">.”</w:t>
      </w:r>
      <w:r>
        <w:t xml:space="preserve"> </w:t>
      </w:r>
      <w:r>
        <w:rPr>
          <w:i/>
          <w:iCs/>
        </w:rPr>
        <w:t xml:space="preserve">Canadian Journal of Zoology</w:t>
      </w:r>
      <w:r>
        <w:t xml:space="preserve"> </w:t>
      </w:r>
      <w:r>
        <w:t xml:space="preserve">56 (8): 1759–64.</w:t>
      </w:r>
    </w:p>
    <w:bookmarkEnd w:id="174"/>
    <w:bookmarkStart w:id="175" w:name="Xd783142e221c1f498e1a166269e53da562bf4b0"/>
    <w:p>
      <w:pPr>
        <w:pStyle w:val="Bibliography"/>
      </w:pPr>
      <w:r>
        <w:t xml:space="preserve">U.S. Fish and Wildlife Service. 2024.</w:t>
      </w:r>
      <w:r>
        <w:t xml:space="preserve"> </w:t>
      </w:r>
      <w:r>
        <w:t xml:space="preserve">“Monarch (</w:t>
      </w:r>
      <w:r>
        <w:t xml:space="preserve">Danaus</w:t>
      </w:r>
      <w:r>
        <w:t xml:space="preserve"> </w:t>
      </w:r>
      <w:r>
        <w:t xml:space="preserve">Plexippus)</w:t>
      </w:r>
      <w:r>
        <w:t xml:space="preserve"> </w:t>
      </w:r>
      <w:r>
        <w:t xml:space="preserve">Species Status Assessment Report</w:t>
      </w:r>
      <w:r>
        <w:t xml:space="preserve">.”</w:t>
      </w:r>
      <w:r>
        <w:t xml:space="preserve"> </w:t>
      </w:r>
      <w:r>
        <w:t xml:space="preserve">version 2.3.</w:t>
      </w:r>
    </w:p>
    <w:bookmarkEnd w:id="175"/>
    <w:bookmarkStart w:id="177"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176">
        <w:r>
          <w:rPr>
            <w:rStyle w:val="Hyperlink"/>
          </w:rPr>
          <w:t xml:space="preserve">https://doi.org/10.1007/s00265-020-02842-z</w:t>
        </w:r>
      </w:hyperlink>
      <w:r>
        <w:t xml:space="preserve">.</w:t>
      </w:r>
    </w:p>
    <w:bookmarkEnd w:id="177"/>
    <w:bookmarkStart w:id="179" w:name="ref-vidalDynamicsTrendsOverwintering2014"/>
    <w:p>
      <w:pPr>
        <w:pStyle w:val="Bibliography"/>
      </w:pPr>
      <w:r>
        <w:t xml:space="preserve">Vidal, Omar, and Eduardo Rendón-Salinas. 2014.</w:t>
      </w:r>
      <w:r>
        <w:t xml:space="preserve"> </w:t>
      </w:r>
      <w:r>
        <w:t xml:space="preserve">“Dynamics and Trends of Overwintering Colonies of the Monarch Butterfly in</w:t>
      </w:r>
      <w:r>
        <w:t xml:space="preserve"> </w:t>
      </w:r>
      <w:r>
        <w:t xml:space="preserve">Mexico</w:t>
      </w:r>
      <w:r>
        <w:t xml:space="preserve">.”</w:t>
      </w:r>
      <w:r>
        <w:t xml:space="preserve"> </w:t>
      </w:r>
      <w:r>
        <w:rPr>
          <w:i/>
          <w:iCs/>
        </w:rPr>
        <w:t xml:space="preserve">Biological Conservation</w:t>
      </w:r>
      <w:r>
        <w:t xml:space="preserve"> </w:t>
      </w:r>
      <w:r>
        <w:t xml:space="preserve">180 (December): 165–75.</w:t>
      </w:r>
      <w:r>
        <w:t xml:space="preserve"> </w:t>
      </w:r>
      <w:hyperlink r:id="rId178">
        <w:r>
          <w:rPr>
            <w:rStyle w:val="Hyperlink"/>
          </w:rPr>
          <w:t xml:space="preserve">https://doi.org/10.1016/j.biocon.2014.09.041</w:t>
        </w:r>
      </w:hyperlink>
      <w:r>
        <w:t xml:space="preserve">.</w:t>
      </w:r>
    </w:p>
    <w:bookmarkEnd w:id="179"/>
    <w:bookmarkStart w:id="180"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180"/>
    <w:bookmarkStart w:id="182" w:name="Xc01bdb20da0c7c9ca7e98c0d45667aaa343d54a"/>
    <w:p>
      <w:pPr>
        <w:pStyle w:val="Bibliography"/>
      </w:pPr>
      <w:r>
        <w:t xml:space="preserve">Weiss, Stuart B., and Paul M. Rich. 2008.</w:t>
      </w:r>
      <w:r>
        <w:t xml:space="preserve"> </w:t>
      </w:r>
      <w:r>
        <w:t xml:space="preserve">“Recommendations for</w:t>
      </w:r>
      <w:r>
        <w:t xml:space="preserve"> </w:t>
      </w:r>
      <w:r>
        <w:t xml:space="preserve">Restoration</w:t>
      </w:r>
      <w:r>
        <w:t xml:space="preserve"> </w:t>
      </w:r>
      <w:r>
        <w:t xml:space="preserve">of</w:t>
      </w:r>
      <w:r>
        <w:t xml:space="preserve"> </w:t>
      </w:r>
      <w:r>
        <w:t xml:space="preserve">Monarch Butterfly Winter Habitat</w:t>
      </w:r>
      <w:r>
        <w:t xml:space="preserve"> </w:t>
      </w:r>
      <w:r>
        <w:t xml:space="preserve">at</w:t>
      </w:r>
      <w:r>
        <w:t xml:space="preserve"> </w:t>
      </w:r>
      <w:r>
        <w:t xml:space="preserve">Norma B</w:t>
      </w:r>
      <w:r>
        <w:t xml:space="preserve">.</w:t>
      </w:r>
      <w:r>
        <w:t xml:space="preserve"> </w:t>
      </w:r>
      <w:r>
        <w:t xml:space="preserve">Gibbs Park</w:t>
      </w:r>
      <w:r>
        <w:t xml:space="preserve">,</w:t>
      </w:r>
      <w:r>
        <w:t xml:space="preserve"> </w:t>
      </w:r>
      <w:r>
        <w:t xml:space="preserve">Huntington Beach</w:t>
      </w:r>
      <w:r>
        <w:t xml:space="preserve">,</w:t>
      </w:r>
      <w:r>
        <w:t xml:space="preserve"> </w:t>
      </w:r>
      <w:r>
        <w:t xml:space="preserve">CA</w:t>
      </w:r>
      <w:r>
        <w:t xml:space="preserve">.”</w:t>
      </w:r>
      <w:r>
        <w:t xml:space="preserve"> </w:t>
      </w:r>
      <w:r>
        <w:t xml:space="preserve">Menlo Park, CA: Creekside Center for Earth Observation.</w:t>
      </w:r>
      <w:r>
        <w:t xml:space="preserve"> </w:t>
      </w:r>
      <w:hyperlink r:id="rId181">
        <w:r>
          <w:rPr>
            <w:rStyle w:val="Hyperlink"/>
          </w:rPr>
          <w:t xml:space="preserve">http://www.creeksidescience.com</w:t>
        </w:r>
      </w:hyperlink>
      <w:r>
        <w:t xml:space="preserve">.</w:t>
      </w:r>
    </w:p>
    <w:bookmarkEnd w:id="182"/>
    <w:bookmarkStart w:id="184"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183">
        <w:r>
          <w:rPr>
            <w:rStyle w:val="Hyperlink"/>
          </w:rPr>
          <w:t xml:space="preserve">https://doi.org/10.1111/j.1523-1739.1991.tb00121.x</w:t>
        </w:r>
      </w:hyperlink>
      <w:r>
        <w:t xml:space="preserve">.</w:t>
      </w:r>
    </w:p>
    <w:bookmarkEnd w:id="184"/>
    <w:bookmarkStart w:id="186"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185">
        <w:r>
          <w:rPr>
            <w:rStyle w:val="Hyperlink"/>
          </w:rPr>
          <w:t xml:space="preserve">https://www.xerces.org/sites/default/files/2018-05/16-015_01_XercesSoc_State-of-Monarch-Overwintering-Sites-in-California_web.pdf</w:t>
        </w:r>
      </w:hyperlink>
      <w:r>
        <w:t xml:space="preserve">.</w:t>
      </w:r>
    </w:p>
    <w:bookmarkEnd w:id="186"/>
    <w:bookmarkStart w:id="187"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31">
        <w:r>
          <w:rPr>
            <w:rStyle w:val="Hyperlink"/>
          </w:rPr>
          <w:t xml:space="preserve">www.xerces.org</w:t>
        </w:r>
      </w:hyperlink>
      <w:r>
        <w:t xml:space="preserve">.</w:t>
      </w:r>
    </w:p>
    <w:bookmarkEnd w:id="187"/>
    <w:bookmarkStart w:id="189"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188">
        <w:r>
          <w:rPr>
            <w:rStyle w:val="Hyperlink"/>
          </w:rPr>
          <w:t xml:space="preserve">WesternMonarchCount.com</w:t>
        </w:r>
      </w:hyperlink>
      <w:r>
        <w:t xml:space="preserve">.</w:t>
      </w:r>
    </w:p>
    <w:bookmarkEnd w:id="189"/>
    <w:bookmarkStart w:id="191"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190">
        <w:r>
          <w:rPr>
            <w:rStyle w:val="Hyperlink"/>
          </w:rPr>
          <w:t xml:space="preserve">https://www.xerces.org/press/western-monarch-butterfly-population-declines-to-near-record-low</w:t>
        </w:r>
      </w:hyperlink>
      <w:r>
        <w:t xml:space="preserve">.</w:t>
      </w:r>
    </w:p>
    <w:bookmarkEnd w:id="191"/>
    <w:bookmarkStart w:id="193" w:name="Xcb6650d11f9aa2ba06aca5a06d06562d008ccdf"/>
    <w:p>
      <w:pPr>
        <w:pStyle w:val="Bibliography"/>
      </w:pPr>
      <w:r>
        <w:t xml:space="preserve">Yang, Louie H., Dmitry Ostrovsky, Matthew C. Rogers, and Jeffery M. Welker. 2016.</w:t>
      </w:r>
      <w:r>
        <w:t xml:space="preserve"> </w:t>
      </w:r>
      <w:r>
        <w:t xml:space="preserve">“Intra‐population Variation in the Natal Origins and Wing Morphology of Overwintering Western Monarch Butterflies</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Ecography</w:t>
      </w:r>
      <w:r>
        <w:t xml:space="preserve"> </w:t>
      </w:r>
      <w:r>
        <w:t xml:space="preserve">39 (10): 998–1007.</w:t>
      </w:r>
      <w:r>
        <w:t xml:space="preserve"> </w:t>
      </w:r>
      <w:hyperlink r:id="rId192">
        <w:r>
          <w:rPr>
            <w:rStyle w:val="Hyperlink"/>
          </w:rPr>
          <w:t xml:space="preserve">https://doi.org/10.1111/ecog.01994</w:t>
        </w:r>
      </w:hyperlink>
      <w:r>
        <w:t xml:space="preserve">.</w:t>
      </w:r>
    </w:p>
    <w:bookmarkEnd w:id="193"/>
    <w:bookmarkStart w:id="195" w:name="Xce59c9680ebb53f739caf85bc332676d857a8c8"/>
    <w:p>
      <w:pPr>
        <w:pStyle w:val="Bibliography"/>
      </w:pPr>
      <w:r>
        <w:t xml:space="preserve">Zalucki, Myron P. 1982.</w:t>
      </w:r>
      <w:r>
        <w:t xml:space="preserve"> </w:t>
      </w:r>
      <w:r>
        <w:t xml:space="preserve">“Temperature and</w:t>
      </w:r>
      <w:r>
        <w:t xml:space="preserve"> </w:t>
      </w:r>
      <w:r>
        <w:t xml:space="preserve">Rate</w:t>
      </w:r>
      <w:r>
        <w:t xml:space="preserve"> </w:t>
      </w:r>
      <w:r>
        <w:t xml:space="preserve">of</w:t>
      </w:r>
      <w:r>
        <w:t xml:space="preserve"> </w:t>
      </w:r>
      <w:r>
        <w:t xml:space="preserve">Development</w:t>
      </w:r>
      <w:r>
        <w:t xml:space="preserve"> </w:t>
      </w:r>
      <w:r>
        <w:t xml:space="preserve">in</w:t>
      </w:r>
      <w:r>
        <w:t xml:space="preserve"> </w:t>
      </w:r>
      <w:r>
        <w:t xml:space="preserve">Danaus Plexippus L</w:t>
      </w:r>
      <w:r>
        <w:t xml:space="preserve">. And</w:t>
      </w:r>
      <w:r>
        <w:t xml:space="preserve"> </w:t>
      </w:r>
      <w:r>
        <w:t xml:space="preserve">D</w:t>
      </w:r>
      <w:r>
        <w:t xml:space="preserve">.</w:t>
      </w:r>
      <w:r>
        <w:t xml:space="preserve"> </w:t>
      </w:r>
      <w:r>
        <w:t xml:space="preserve">Chrysippus L</w:t>
      </w:r>
      <w:r>
        <w:t xml:space="preserve">. (Lepidoptera:nymphalidae).”</w:t>
      </w:r>
      <w:r>
        <w:t xml:space="preserve"> </w:t>
      </w:r>
      <w:r>
        <w:rPr>
          <w:i/>
          <w:iCs/>
        </w:rPr>
        <w:t xml:space="preserve">Australian Journal of Entomology</w:t>
      </w:r>
      <w:r>
        <w:t xml:space="preserve"> </w:t>
      </w:r>
      <w:r>
        <w:t xml:space="preserve">21 (4): 241–46.</w:t>
      </w:r>
      <w:r>
        <w:t xml:space="preserve"> </w:t>
      </w:r>
      <w:hyperlink r:id="rId194">
        <w:r>
          <w:rPr>
            <w:rStyle w:val="Hyperlink"/>
          </w:rPr>
          <w:t xml:space="preserve">https://doi.org/10.1111/j.1440-6055.1982.tb01803.x</w:t>
        </w:r>
      </w:hyperlink>
      <w:r>
        <w:t xml:space="preserve">.</w:t>
      </w:r>
    </w:p>
    <w:bookmarkEnd w:id="195"/>
    <w:bookmarkEnd w:id="196"/>
    <w:bookmarkEnd w:id="197"/>
    <w:bookmarkEnd w:id="1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75" Target="media/rId75.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hyperlink" Id="rId181" Target="http://www.creeksidescience.com" TargetMode="External" /><Relationship Type="http://schemas.openxmlformats.org/officeDocument/2006/relationships/hyperlink" Id="rId188" Target="https://WesternMonarchCount.com" TargetMode="External" /><Relationship Type="http://schemas.openxmlformats.org/officeDocument/2006/relationships/hyperlink" Id="rId168"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10" Target="https://doi.org/10.1002/eap.1975" TargetMode="External" /><Relationship Type="http://schemas.openxmlformats.org/officeDocument/2006/relationships/hyperlink" Id="rId166" Target="https://doi.org/10.1002/ece3.5607" TargetMode="External" /><Relationship Type="http://schemas.openxmlformats.org/officeDocument/2006/relationships/hyperlink" Id="rId149" Target="https://doi.org/10.1002/ecy.3634" TargetMode="External" /><Relationship Type="http://schemas.openxmlformats.org/officeDocument/2006/relationships/hyperlink" Id="rId118" Target="https://doi.org/10.1006/anbe.1993.1120" TargetMode="External" /><Relationship Type="http://schemas.openxmlformats.org/officeDocument/2006/relationships/hyperlink" Id="rId133" Target="https://doi.org/10.1007/BF00298260" TargetMode="External" /><Relationship Type="http://schemas.openxmlformats.org/officeDocument/2006/relationships/hyperlink" Id="rId95" Target="https://doi.org/10.1007/BF00329753" TargetMode="External" /><Relationship Type="http://schemas.openxmlformats.org/officeDocument/2006/relationships/hyperlink" Id="rId176" Target="https://doi.org/10.1007/s00265-020-02842-z" TargetMode="External" /><Relationship Type="http://schemas.openxmlformats.org/officeDocument/2006/relationships/hyperlink" Id="rId85" Target="https://doi.org/10.1016/0022-1910(76)90046-9" TargetMode="External" /><Relationship Type="http://schemas.openxmlformats.org/officeDocument/2006/relationships/hyperlink" Id="rId89" Target="https://doi.org/10.1016/0022-1910(79)90112-4" TargetMode="External" /><Relationship Type="http://schemas.openxmlformats.org/officeDocument/2006/relationships/hyperlink" Id="rId178" Target="https://doi.org/10.1016/j.biocon.2014.09.041" TargetMode="External" /><Relationship Type="http://schemas.openxmlformats.org/officeDocument/2006/relationships/hyperlink" Id="rId164" Target="https://doi.org/10.1016/j.biocon.2017.08.019" TargetMode="External" /><Relationship Type="http://schemas.openxmlformats.org/officeDocument/2006/relationships/hyperlink" Id="rId160" Target="https://doi.org/10.1016/j.cub.2018.02.067" TargetMode="External" /><Relationship Type="http://schemas.openxmlformats.org/officeDocument/2006/relationships/hyperlink" Id="rId106" Target="https://doi.org/10.1016/j.jinsphys.2011.05.004" TargetMode="External" /><Relationship Type="http://schemas.openxmlformats.org/officeDocument/2006/relationships/hyperlink" Id="rId112" Target="https://doi.org/10.1016/j.jtherbio.2014.05.004" TargetMode="External" /><Relationship Type="http://schemas.openxmlformats.org/officeDocument/2006/relationships/hyperlink" Id="rId145" Target="https://doi.org/10.1038/s41598-017-14510-w" TargetMode="External" /><Relationship Type="http://schemas.openxmlformats.org/officeDocument/2006/relationships/hyperlink" Id="rId120" Target="https://doi.org/10.1046/j.1365-2311.2002.00454.x" TargetMode="External" /><Relationship Type="http://schemas.openxmlformats.org/officeDocument/2006/relationships/hyperlink" Id="rId151" Target="https://doi.org/10.1073/pnas.152137299" TargetMode="External" /><Relationship Type="http://schemas.openxmlformats.org/officeDocument/2006/relationships/hyperlink" Id="rId122" Target="https://doi.org/10.1080/02541858.1997.11448445" TargetMode="External" /><Relationship Type="http://schemas.openxmlformats.org/officeDocument/2006/relationships/hyperlink" Id="rId87" Target="https://doi.org/10.1086/698656" TargetMode="External" /><Relationship Type="http://schemas.openxmlformats.org/officeDocument/2006/relationships/hyperlink" Id="rId143" Target="https://doi.org/10.1093/aesa/83.5.906" TargetMode="External" /><Relationship Type="http://schemas.openxmlformats.org/officeDocument/2006/relationships/hyperlink" Id="rId141" Target="https://doi.org/10.1093/aesa/84.3.263" TargetMode="External" /><Relationship Type="http://schemas.openxmlformats.org/officeDocument/2006/relationships/hyperlink" Id="rId124" Target="https://doi.org/10.1098/rspb.2001.1765" TargetMode="External" /><Relationship Type="http://schemas.openxmlformats.org/officeDocument/2006/relationships/hyperlink" Id="rId155" Target="https://doi.org/10.1098/rspb.2020.2988" TargetMode="External" /><Relationship Type="http://schemas.openxmlformats.org/officeDocument/2006/relationships/hyperlink" Id="rId137" Target="https://doi.org/10.1111/aen.12175" TargetMode="External" /><Relationship Type="http://schemas.openxmlformats.org/officeDocument/2006/relationships/hyperlink" Id="rId116" Target="https://doi.org/10.1111/csp2.432" TargetMode="External" /><Relationship Type="http://schemas.openxmlformats.org/officeDocument/2006/relationships/hyperlink" Id="rId192" Target="https://doi.org/10.1111/ecog.01994" TargetMode="External" /><Relationship Type="http://schemas.openxmlformats.org/officeDocument/2006/relationships/hyperlink" Id="rId172" Target="https://doi.org/10.1111/j.1365-2311.1978.tb00912.x" TargetMode="External" /><Relationship Type="http://schemas.openxmlformats.org/officeDocument/2006/relationships/hyperlink" Id="rId104" Target="https://doi.org/10.1111/j.1365-2311.1982.tb00664.x" TargetMode="External" /><Relationship Type="http://schemas.openxmlformats.org/officeDocument/2006/relationships/hyperlink" Id="rId153" Target="https://doi.org/10.1111/j.1366-9516.2005.00146.x" TargetMode="External" /><Relationship Type="http://schemas.openxmlformats.org/officeDocument/2006/relationships/hyperlink" Id="rId194" Target="https://doi.org/10.1111/j.1440-6055.1982.tb01803.x" TargetMode="External" /><Relationship Type="http://schemas.openxmlformats.org/officeDocument/2006/relationships/hyperlink" Id="rId183" Target="https://doi.org/10.1111/j.1523-1739.1991.tb00121.x" TargetMode="External" /><Relationship Type="http://schemas.openxmlformats.org/officeDocument/2006/relationships/hyperlink" Id="rId91" Target="https://doi.org/10.1126/science.1225883" TargetMode="External" /><Relationship Type="http://schemas.openxmlformats.org/officeDocument/2006/relationships/hyperlink" Id="rId135" Target="https://doi.org/10.1242/jeb.073668" TargetMode="External" /><Relationship Type="http://schemas.openxmlformats.org/officeDocument/2006/relationships/hyperlink" Id="rId147" Target="https://doi.org/10.2307/1940444" TargetMode="External" /><Relationship Type="http://schemas.openxmlformats.org/officeDocument/2006/relationships/hyperlink" Id="rId102" Target="https://doi.org/10.2307/2387997" TargetMode="External" /><Relationship Type="http://schemas.openxmlformats.org/officeDocument/2006/relationships/hyperlink" Id="rId82" Target="https://doi.org/10.2307/2388612" TargetMode="External" /><Relationship Type="http://schemas.openxmlformats.org/officeDocument/2006/relationships/hyperlink" Id="rId114" Target="https://doi.org/10.3390/insects9040167" TargetMode="External" /><Relationship Type="http://schemas.openxmlformats.org/officeDocument/2006/relationships/hyperlink" Id="rId108"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62" Target="https://www.frontiersin.org/articles/10.3389/fcosc.2022.844299" TargetMode="External" /><Relationship Type="http://schemas.openxmlformats.org/officeDocument/2006/relationships/hyperlink" Id="rId158" Target="https://www.frontiersin.org/articles/10.3389/fevo.2019.00258" TargetMode="External" /><Relationship Type="http://schemas.openxmlformats.org/officeDocument/2006/relationships/hyperlink" Id="rId126" Target="https://www.frontiersin.org/articles/10.3389/fevo.2019.00266" TargetMode="External" /><Relationship Type="http://schemas.openxmlformats.org/officeDocument/2006/relationships/hyperlink" Id="rId170" Target="https://www.goletamonarchpress.com/2019/06/city-awarded-3-9-million-in-funding-for-the-monarch-butterfly-habitat-management-plan/" TargetMode="External" /><Relationship Type="http://schemas.openxmlformats.org/officeDocument/2006/relationships/hyperlink" Id="rId93" Target="https://www.ncbi.nlm.nih.gov/pubmed/8551296" TargetMode="External" /><Relationship Type="http://schemas.openxmlformats.org/officeDocument/2006/relationships/hyperlink" Id="rId97" Target="https://www.semanticscholar.org/paper/Heritability-of-spider-ballooning-motivation-under-Bonte-Lens/d6118c2cd143572bc4f098b5916186ec63c0f12a" TargetMode="External" /><Relationship Type="http://schemas.openxmlformats.org/officeDocument/2006/relationships/hyperlink" Id="rId99" Target="https://www.semanticscholar.org/paper/Understanding-and-misunderstanding-the-migration-of-Brower/79380ddbf559e310fef9bb8919c03c63ccddecb7" TargetMode="External" /><Relationship Type="http://schemas.openxmlformats.org/officeDocument/2006/relationships/hyperlink" Id="rId131" Target="https://www.xerces.org" TargetMode="External" /><Relationship Type="http://schemas.openxmlformats.org/officeDocument/2006/relationships/hyperlink" Id="rId190" Target="https://www.xerces.org/press/western-monarch-butterfly-population-declines-to-near-record-low" TargetMode="External" /><Relationship Type="http://schemas.openxmlformats.org/officeDocument/2006/relationships/hyperlink" Id="rId185" Target="https://www.xerces.org/sites/default/files/2018-05/16-015_01_XercesSoc_State-of-Monarch-Overwintering-Sites-in-California_web.pdf" TargetMode="External" /><Relationship Type="http://schemas.openxmlformats.org/officeDocument/2006/relationships/hyperlink" Id="rId129"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181" Target="http://www.creeksidescience.com" TargetMode="External" /><Relationship Type="http://schemas.openxmlformats.org/officeDocument/2006/relationships/hyperlink" Id="rId188" Target="https://WesternMonarchCount.com" TargetMode="External" /><Relationship Type="http://schemas.openxmlformats.org/officeDocument/2006/relationships/hyperlink" Id="rId168"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10" Target="https://doi.org/10.1002/eap.1975" TargetMode="External" /><Relationship Type="http://schemas.openxmlformats.org/officeDocument/2006/relationships/hyperlink" Id="rId166" Target="https://doi.org/10.1002/ece3.5607" TargetMode="External" /><Relationship Type="http://schemas.openxmlformats.org/officeDocument/2006/relationships/hyperlink" Id="rId149" Target="https://doi.org/10.1002/ecy.3634" TargetMode="External" /><Relationship Type="http://schemas.openxmlformats.org/officeDocument/2006/relationships/hyperlink" Id="rId118" Target="https://doi.org/10.1006/anbe.1993.1120" TargetMode="External" /><Relationship Type="http://schemas.openxmlformats.org/officeDocument/2006/relationships/hyperlink" Id="rId133" Target="https://doi.org/10.1007/BF00298260" TargetMode="External" /><Relationship Type="http://schemas.openxmlformats.org/officeDocument/2006/relationships/hyperlink" Id="rId95" Target="https://doi.org/10.1007/BF00329753" TargetMode="External" /><Relationship Type="http://schemas.openxmlformats.org/officeDocument/2006/relationships/hyperlink" Id="rId176" Target="https://doi.org/10.1007/s00265-020-02842-z" TargetMode="External" /><Relationship Type="http://schemas.openxmlformats.org/officeDocument/2006/relationships/hyperlink" Id="rId85" Target="https://doi.org/10.1016/0022-1910(76)90046-9" TargetMode="External" /><Relationship Type="http://schemas.openxmlformats.org/officeDocument/2006/relationships/hyperlink" Id="rId89" Target="https://doi.org/10.1016/0022-1910(79)90112-4" TargetMode="External" /><Relationship Type="http://schemas.openxmlformats.org/officeDocument/2006/relationships/hyperlink" Id="rId178" Target="https://doi.org/10.1016/j.biocon.2014.09.041" TargetMode="External" /><Relationship Type="http://schemas.openxmlformats.org/officeDocument/2006/relationships/hyperlink" Id="rId164" Target="https://doi.org/10.1016/j.biocon.2017.08.019" TargetMode="External" /><Relationship Type="http://schemas.openxmlformats.org/officeDocument/2006/relationships/hyperlink" Id="rId160" Target="https://doi.org/10.1016/j.cub.2018.02.067" TargetMode="External" /><Relationship Type="http://schemas.openxmlformats.org/officeDocument/2006/relationships/hyperlink" Id="rId106" Target="https://doi.org/10.1016/j.jinsphys.2011.05.004" TargetMode="External" /><Relationship Type="http://schemas.openxmlformats.org/officeDocument/2006/relationships/hyperlink" Id="rId112" Target="https://doi.org/10.1016/j.jtherbio.2014.05.004" TargetMode="External" /><Relationship Type="http://schemas.openxmlformats.org/officeDocument/2006/relationships/hyperlink" Id="rId145" Target="https://doi.org/10.1038/s41598-017-14510-w" TargetMode="External" /><Relationship Type="http://schemas.openxmlformats.org/officeDocument/2006/relationships/hyperlink" Id="rId120" Target="https://doi.org/10.1046/j.1365-2311.2002.00454.x" TargetMode="External" /><Relationship Type="http://schemas.openxmlformats.org/officeDocument/2006/relationships/hyperlink" Id="rId151" Target="https://doi.org/10.1073/pnas.152137299" TargetMode="External" /><Relationship Type="http://schemas.openxmlformats.org/officeDocument/2006/relationships/hyperlink" Id="rId122" Target="https://doi.org/10.1080/02541858.1997.11448445" TargetMode="External" /><Relationship Type="http://schemas.openxmlformats.org/officeDocument/2006/relationships/hyperlink" Id="rId87" Target="https://doi.org/10.1086/698656" TargetMode="External" /><Relationship Type="http://schemas.openxmlformats.org/officeDocument/2006/relationships/hyperlink" Id="rId143" Target="https://doi.org/10.1093/aesa/83.5.906" TargetMode="External" /><Relationship Type="http://schemas.openxmlformats.org/officeDocument/2006/relationships/hyperlink" Id="rId141" Target="https://doi.org/10.1093/aesa/84.3.263" TargetMode="External" /><Relationship Type="http://schemas.openxmlformats.org/officeDocument/2006/relationships/hyperlink" Id="rId124" Target="https://doi.org/10.1098/rspb.2001.1765" TargetMode="External" /><Relationship Type="http://schemas.openxmlformats.org/officeDocument/2006/relationships/hyperlink" Id="rId155" Target="https://doi.org/10.1098/rspb.2020.2988" TargetMode="External" /><Relationship Type="http://schemas.openxmlformats.org/officeDocument/2006/relationships/hyperlink" Id="rId137" Target="https://doi.org/10.1111/aen.12175" TargetMode="External" /><Relationship Type="http://schemas.openxmlformats.org/officeDocument/2006/relationships/hyperlink" Id="rId116" Target="https://doi.org/10.1111/csp2.432" TargetMode="External" /><Relationship Type="http://schemas.openxmlformats.org/officeDocument/2006/relationships/hyperlink" Id="rId192" Target="https://doi.org/10.1111/ecog.01994" TargetMode="External" /><Relationship Type="http://schemas.openxmlformats.org/officeDocument/2006/relationships/hyperlink" Id="rId172" Target="https://doi.org/10.1111/j.1365-2311.1978.tb00912.x" TargetMode="External" /><Relationship Type="http://schemas.openxmlformats.org/officeDocument/2006/relationships/hyperlink" Id="rId104" Target="https://doi.org/10.1111/j.1365-2311.1982.tb00664.x" TargetMode="External" /><Relationship Type="http://schemas.openxmlformats.org/officeDocument/2006/relationships/hyperlink" Id="rId153" Target="https://doi.org/10.1111/j.1366-9516.2005.00146.x" TargetMode="External" /><Relationship Type="http://schemas.openxmlformats.org/officeDocument/2006/relationships/hyperlink" Id="rId194" Target="https://doi.org/10.1111/j.1440-6055.1982.tb01803.x" TargetMode="External" /><Relationship Type="http://schemas.openxmlformats.org/officeDocument/2006/relationships/hyperlink" Id="rId183" Target="https://doi.org/10.1111/j.1523-1739.1991.tb00121.x" TargetMode="External" /><Relationship Type="http://schemas.openxmlformats.org/officeDocument/2006/relationships/hyperlink" Id="rId91" Target="https://doi.org/10.1126/science.1225883" TargetMode="External" /><Relationship Type="http://schemas.openxmlformats.org/officeDocument/2006/relationships/hyperlink" Id="rId135" Target="https://doi.org/10.1242/jeb.073668" TargetMode="External" /><Relationship Type="http://schemas.openxmlformats.org/officeDocument/2006/relationships/hyperlink" Id="rId147" Target="https://doi.org/10.2307/1940444" TargetMode="External" /><Relationship Type="http://schemas.openxmlformats.org/officeDocument/2006/relationships/hyperlink" Id="rId102" Target="https://doi.org/10.2307/2387997" TargetMode="External" /><Relationship Type="http://schemas.openxmlformats.org/officeDocument/2006/relationships/hyperlink" Id="rId82" Target="https://doi.org/10.2307/2388612" TargetMode="External" /><Relationship Type="http://schemas.openxmlformats.org/officeDocument/2006/relationships/hyperlink" Id="rId114" Target="https://doi.org/10.3390/insects9040167" TargetMode="External" /><Relationship Type="http://schemas.openxmlformats.org/officeDocument/2006/relationships/hyperlink" Id="rId108"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62" Target="https://www.frontiersin.org/articles/10.3389/fcosc.2022.844299" TargetMode="External" /><Relationship Type="http://schemas.openxmlformats.org/officeDocument/2006/relationships/hyperlink" Id="rId158" Target="https://www.frontiersin.org/articles/10.3389/fevo.2019.00258" TargetMode="External" /><Relationship Type="http://schemas.openxmlformats.org/officeDocument/2006/relationships/hyperlink" Id="rId126" Target="https://www.frontiersin.org/articles/10.3389/fevo.2019.00266" TargetMode="External" /><Relationship Type="http://schemas.openxmlformats.org/officeDocument/2006/relationships/hyperlink" Id="rId170" Target="https://www.goletamonarchpress.com/2019/06/city-awarded-3-9-million-in-funding-for-the-monarch-butterfly-habitat-management-plan/" TargetMode="External" /><Relationship Type="http://schemas.openxmlformats.org/officeDocument/2006/relationships/hyperlink" Id="rId93" Target="https://www.ncbi.nlm.nih.gov/pubmed/8551296" TargetMode="External" /><Relationship Type="http://schemas.openxmlformats.org/officeDocument/2006/relationships/hyperlink" Id="rId97" Target="https://www.semanticscholar.org/paper/Heritability-of-spider-ballooning-motivation-under-Bonte-Lens/d6118c2cd143572bc4f098b5916186ec63c0f12a" TargetMode="External" /><Relationship Type="http://schemas.openxmlformats.org/officeDocument/2006/relationships/hyperlink" Id="rId99" Target="https://www.semanticscholar.org/paper/Understanding-and-misunderstanding-the-migration-of-Brower/79380ddbf559e310fef9bb8919c03c63ccddecb7" TargetMode="External" /><Relationship Type="http://schemas.openxmlformats.org/officeDocument/2006/relationships/hyperlink" Id="rId131" Target="https://www.xerces.org" TargetMode="External" /><Relationship Type="http://schemas.openxmlformats.org/officeDocument/2006/relationships/hyperlink" Id="rId190" Target="https://www.xerces.org/press/western-monarch-butterfly-population-declines-to-near-record-low" TargetMode="External" /><Relationship Type="http://schemas.openxmlformats.org/officeDocument/2006/relationships/hyperlink" Id="rId185" Target="https://www.xerces.org/sites/default/files/2018-05/16-015_01_XercesSoc_State-of-Monarch-Overwintering-Sites-in-California_web.pdf" TargetMode="External" /><Relationship Type="http://schemas.openxmlformats.org/officeDocument/2006/relationships/hyperlink" Id="rId129"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2025-10-08T22:31:54Z</dcterms:created>
  <dcterms:modified xsi:type="dcterms:W3CDTF">2025-10-08T22:31:54Z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