
<file path=[Content_Types].xml><?xml version="1.0" encoding="utf-8"?>
<ns0:Types xmlns:ns0="http://schemas.openxmlformats.org/package/2006/content-types">
  <ns0:Default Extension="png" ContentType="image/png"/>
  <ns0:Default Extension="rels" ContentType="application/vnd.openxmlformats-package.relationships+xml"/>
  <ns0:Default Extension="xml" ContentType="application/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notes.xml" ContentType="application/vnd.openxmlformats-officedocument.wordprocessingml.footnotes+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Override PartName="/word/webSettings.xml" ContentType="application/vnd.openxmlformats-officedocument.wordprocessingml.webSettings+xml"/>
</ns0: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Wind Does Not Disrupt Overwintering Monarch Butterfly Clusters: Direct Empirical Test of a Three-Decade Management Assumption</w:t>
      </w:r>
    </w:p>
    <w:p>
      <w:pPr>
        <w:pStyle w:val="FirstParagraph"/>
      </w:pPr>
      <w:r>
        <w:t>Kyle Nessen 1,*, Peter C. Ibsen 2, Jay E. Diffendorfer 2 and Francis X. Villablanca 1</w:t>
      </w:r>
    </w:p>
    <w:p>
      <w:pPr>
        <w:pStyle w:val="FirstParagraph"/>
      </w:pPr>
      <w:r>
        <w:t>Kyle Nessen, Peter C. Ibsen, Jay E. Diffendorfer and Francis X. Villablanca</w:t>
      </w:r>
    </w:p>
    <w:p>
      <w:pPr>
        <w:pStyle w:val="BodyText"/>
      </w:pPr>
      <w:r>
        <w:t>1 Biological Sciences Department, California Polytechnic State University, San Luis Obispo, CA 93407, USA; 2 U.S. Geological Survey, Geosciences and Environmental Change Science Center, Denver, CO 80225, USA</w:t>
      </w:r>
    </w:p>
    <w:p>
      <w:pPr>
        <w:pStyle w:val="BodyText"/>
      </w:pPr>
      <w:r>
        <w:t>Correspondence: knessen@calpoly.edu (K.N.)</w:t>
      </w:r>
    </w:p>
    <w:bookmarkStart w:id="32" w:name="simple-summary"/>
    <w:p>
      <w:pPr>
        <w:pStyle w:val="Heading1"/>
      </w:pPr>
      <w:r>
        <w:t xml:space="preserve">Simple Summary</w:t>
      </w:r>
    </w:p>
    <w:p>
      <w:pPr>
        <w:pStyle w:val="FirstParagraph"/>
      </w:pPr>
      <w:r>
        <w:t xml:space="preserve">The population size of monarch butterflies in the western U.S. has been declining since the 1980s. This population of butterflies spends the winter months in groves of trees along the California coast. Habitat management in these groves has focused on controlling wind, as wind was thought to negatively affect monarchs. Though this seemed like a good idea, this paper finally tested it. We find that wind itself does not have any negative effects and therefore does not need to be controlled. Instead, we find that sunlight and wind interact. This is likely because sun and wind interact to both warm and cool monarch butterflies. This new finding could change the way in which we manage groves. Instead of managing or suppressing wind, combinations of wind and light should be provided within the groves, so that monarch butterflies can choose among suitable thermal conditions for overwintering.</w:t>
      </w:r>
    </w:p>
    <w:bookmarkEnd w:id="32"/>
    <w:bookmarkStart w:id="33" w:name="abstract"/>
    <w:p>
      <w:pPr>
        <w:pStyle w:val="Heading1"/>
      </w:pPr>
      <w:r>
        <w:t xml:space="preserve">Abstract</w:t>
      </w:r>
    </w:p>
    <w:p>
      <w:pPr>
        <w:pStyle w:val="FirstParagraph"/>
      </w:pPr>
      <w:r>
        <w:t xml:space="preserve">The western monarch butterfly (</w:t>
      </w:r>
      <w:r>
        <w:rPr>
          <w:i/>
          <w:iCs/>
        </w:rPr>
        <w:t xml:space="preserve">Danaus plexippus</w:t>
      </w:r>
      <w:r>
        <w:t xml:space="preserve">) population has declined by over 99% since the 1980s, making conservation of overwintering habitat a management priority. For three decades, conservation has relied on a Microclimate Hypothesis, which posits that monarchs seek a narrow microclimate for overwintering, including a nested Wind Disruption Hypothesis, which asserts that wind speeds above 2 m/s lead to roost abandonment. Earlier work tested and rejected the Microclimate Hypothesis for temperature, humidity, and light, but did not address wind. Here we provide the first direct test of wind effects on overwintering clusters. We deployed cameras and wind sensors at two overwintering sites during the 2023–2024 season to track cluster size alongside wind conditions across 80 days. Wind speed alone did not predict changes in cluster size across multiple time scales. Wind mattered only under direct sunlight, where calm conditions drove butterflies from clusters while moderate winds, well above 2 m/s, coincided with cluster growth. These findings challenge a long-held tenet in monarch habitat management. Rather than wind acting as a critical limiting factor, our results point to thermoregulation as a more likely driver of monarch clustering behavior.</w:t>
      </w:r>
    </w:p>
    <w:bookmarkEnd w:id="33"/>
    <w:bookmarkStart w:id="34" w:name="keywords"/>
    <w:p>
      <w:pPr>
        <w:pStyle w:val="Heading1"/>
      </w:pPr>
      <w:r>
        <w:t xml:space="preserve">Keywords</w:t>
      </w:r>
    </w:p>
    <w:p>
      <w:pPr>
        <w:pStyle w:val="FirstParagraph"/>
      </w:pPr>
      <w:r>
        <w:t xml:space="preserve">clustering behavior; conservation;</w:t>
      </w:r>
      <w:r>
        <w:t xml:space="preserve"> </w:t>
      </w:r>
      <w:r>
        <w:rPr>
          <w:i/>
          <w:iCs/>
        </w:rPr>
        <w:t xml:space="preserve">Danaus plexippus</w:t>
      </w:r>
      <w:r>
        <w:t xml:space="preserve">; habitat management; microclimate; overwintering; thermoregulation; western monarch butterfly; wind disruption</w:t>
      </w:r>
    </w:p>
    <w:bookmarkEnd w:id="34"/>
    <w:bookmarkStart w:id="35" w:name="introduction"/>
    <w:p>
      <w:pPr>
        <w:pStyle w:val="Heading1"/>
      </w:pPr>
      <w:r>
        <w:t xml:space="preserve">Introduction</w:t>
      </w:r>
    </w:p>
    <w:p>
      <w:pPr>
        <w:pStyle w:val="FirstParagraph"/>
      </w:pPr>
      <w:r>
        <w:t xml:space="preserve">The distribution and survival of invertebrate species are governed by complex interplays of biotic and abiotic factors. While biotic interactions influence community assembly in part through predation, competition, and parasitism</w:t>
      </w:r>
      <w:r>
        <w:t xml:space="preserve"> </w:t>
      </w:r>
      <w:r>
        <w:t xml:space="preserve">[1–3]</w:t>
      </w:r>
      <w:r>
        <w:t xml:space="preserve">, abiotic conditions often set the fundamental limits determining where invertebrates can persist</w:t>
      </w:r>
      <w:r>
        <w:t xml:space="preserve"> </w:t>
      </w:r>
      <w:r>
        <w:t xml:space="preserve">[4–6]</w:t>
      </w:r>
      <w:r>
        <w:t xml:space="preserve">. Temperature constrains invertebrate physiology across all latitudes, from Antarctic midges</w:t>
      </w:r>
      <w:r>
        <w:t xml:space="preserve"> </w:t>
      </w:r>
      <w:r>
        <w:t xml:space="preserve">[7]</w:t>
      </w:r>
      <w:r>
        <w:t xml:space="preserve"> </w:t>
      </w:r>
      <w:r>
        <w:t xml:space="preserve">to desert land snails</w:t>
      </w:r>
      <w:r>
        <w:t xml:space="preserve"> </w:t>
      </w:r>
      <w:r>
        <w:t xml:space="preserve">[8]</w:t>
      </w:r>
      <w:r>
        <w:t xml:space="preserve">. In invertebrates, temperature correlates positively with metabolic rates and respiratory water loss, creating compound stresses that limit activity windows</w:t>
      </w:r>
      <w:r>
        <w:t xml:space="preserve"> </w:t>
      </w:r>
      <w:r>
        <w:t xml:space="preserve">[9]</w:t>
      </w:r>
      <w:r>
        <w:t xml:space="preserve">. In addition, via a correlation with temperature, solar radiation can drive both direct physiological impacts and behavioral responses. Examples range from army ants demonstrating habitat-specific thermal maxima tied to insolation exposure</w:t>
      </w:r>
      <w:r>
        <w:t xml:space="preserve"> </w:t>
      </w:r>
      <w:r>
        <w:t xml:space="preserve">[10]</w:t>
      </w:r>
      <w:r>
        <w:t xml:space="preserve">, to terrestrial gastropods climbing vertical surfaces to escape ground-level heat</w:t>
      </w:r>
      <w:r>
        <w:t xml:space="preserve"> </w:t>
      </w:r>
      <w:r>
        <w:t xml:space="preserve">[8]</w:t>
      </w:r>
      <w:r>
        <w:t xml:space="preserve">.</w:t>
      </w:r>
    </w:p>
    <w:p>
      <w:pPr>
        <w:pStyle w:val="BodyText"/>
      </w:pPr>
      <w:r>
        <w:t xml:space="preserve">Wind is another abiotic factor that can influence invertebrate distribution and behavior through remarkable and diverse mechanisms that vary across species. For example, cockroaches perceive air currents as low as 0.015–0.03 m/s and demonstrate predictable orientation shifts in response to wind velocities</w:t>
      </w:r>
      <w:r>
        <w:t xml:space="preserve"> </w:t>
      </w:r>
      <w:r>
        <w:t xml:space="preserve">[11]</w:t>
      </w:r>
      <w:r>
        <w:t xml:space="preserve">. Mosquitoes’ sensitivity to winds as light as 1.0 m/s can effectively ground entire populations</w:t>
      </w:r>
      <w:r>
        <w:t xml:space="preserve"> </w:t>
      </w:r>
      <w:r>
        <w:t xml:space="preserve">[12]</w:t>
      </w:r>
      <w:r>
        <w:t xml:space="preserve">. Some species exploit wind for dispersal through specialized behaviors, such as spiders’ stereotypical</w:t>
      </w:r>
      <w:r>
        <w:t xml:space="preserve"> </w:t>
      </w:r>
      <w:r>
        <w:t xml:space="preserve">“tiptoe”</w:t>
      </w:r>
      <w:r>
        <w:t xml:space="preserve"> </w:t>
      </w:r>
      <w:r>
        <w:t xml:space="preserve">behavior which initiates ballooning but only when winds permit controlled trajectories</w:t>
      </w:r>
      <w:r>
        <w:t xml:space="preserve"> </w:t>
      </w:r>
      <w:r>
        <w:t xml:space="preserve">[13]</w:t>
      </w:r>
      <w:r>
        <w:t xml:space="preserve">. Some species respond to wind as an environmental stressor requiring active avoidance. For mad hatterpillar larvae, 3 m/s winds are a disturbance cue, triggering movements to stable microsites on branches, and behavioral shifts to leeward sides and abaxial leaf surfaces</w:t>
      </w:r>
      <w:r>
        <w:t xml:space="preserve"> </w:t>
      </w:r>
      <w:r>
        <w:t xml:space="preserve">[14]</w:t>
      </w:r>
      <w:r>
        <w:t xml:space="preserve">. Underlying many of these behavioral avoidance responses are the fundamental thermal and hydric effects of wind, as convective cooling from air movement significantly alters both heat and water exchanges between organisms and their environment, particularly when wind interacts with solar radiation</w:t>
      </w:r>
      <w:r>
        <w:t xml:space="preserve"> </w:t>
      </w:r>
      <w:r>
        <w:t xml:space="preserve">[15]</w:t>
      </w:r>
      <w:r>
        <w:t xml:space="preserve">. For example, in butterflies, basking is used to warm at cool temperatures. But wing position can be modified to reflect solar energy towards the thorax, or to minimize convective heat loss and maximize solar radiation heat gain of the wing itself, causing antennae, wings and thorax to heat up at different rates and reach different temperature above ambient (reviewed by</w:t>
      </w:r>
      <w:r>
        <w:t xml:space="preserve"> </w:t>
      </w:r>
      <w:r>
        <w:t xml:space="preserve">[16–18]</w:t>
      </w:r>
      <w:r>
        <w:t xml:space="preserve">). Thus, wind can be recognized as having direct mechanical effects, and indirect thermal and hydric effects through interactions with covariates such as temperature and insolation.</w:t>
      </w:r>
    </w:p>
    <w:p>
      <w:pPr>
        <w:pStyle w:val="BodyText"/>
      </w:pPr>
      <w:r>
        <w:t xml:space="preserve">The monarch butterfly (</w:t>
      </w:r>
      <w:r>
        <w:rPr>
          <w:i/>
          <w:iCs/>
        </w:rPr>
        <w:t xml:space="preserve">Danaus plexippus</w:t>
      </w:r>
      <w:r>
        <w:t xml:space="preserve">) offers an exceptional system for studying how abiotic factors shape invertebrate ecology. Late summer environmental cues, such as shortening day length and cooling temperatures, trigger the emergence of a migratory monarch generation</w:t>
      </w:r>
      <w:r>
        <w:t xml:space="preserve"> </w:t>
      </w:r>
      <w:r>
        <w:t xml:space="preserve">[19–22]</w:t>
      </w:r>
      <w:r>
        <w:t xml:space="preserve">. These adults exhibit unique characteristics including reproductive diapause (suspended reproduction), and an elongated-wing long-travel-distance phenotype</w:t>
      </w:r>
      <w:r>
        <w:t xml:space="preserve"> </w:t>
      </w:r>
      <w:r>
        <w:t xml:space="preserve">[22–24]</w:t>
      </w:r>
      <w:r>
        <w:t xml:space="preserve">. The fall migrants collect nectar en route thus building lipid reserves needed for overwintering</w:t>
      </w:r>
      <w:r>
        <w:t xml:space="preserve"> </w:t>
      </w:r>
      <w:r>
        <w:t xml:space="preserve">[21, 25, 26]</w:t>
      </w:r>
      <w:r>
        <w:t xml:space="preserve">. And while Eastern monarchs travel to high-altitude oyamel fir (</w:t>
      </w:r>
      <w:r>
        <w:rPr>
          <w:i/>
          <w:iCs/>
        </w:rPr>
        <w:t xml:space="preserve">Abies religiosa</w:t>
      </w:r>
      <w:r>
        <w:t xml:space="preserve">) forests in central Mexico, our focus, the Western monarch population, migrates to overwintering groves widely scattered along the Pacific coast of California</w:t>
      </w:r>
      <w:r>
        <w:t xml:space="preserve"> </w:t>
      </w:r>
      <w:r>
        <w:t xml:space="preserve">[26, 27]</w:t>
      </w:r>
      <w:r>
        <w:t xml:space="preserve">.</w:t>
      </w:r>
    </w:p>
    <w:p>
      <w:pPr>
        <w:pStyle w:val="BodyText"/>
      </w:pPr>
      <w:r>
        <w:t xml:space="preserve">While overwintering, roughly from mid-October through mid-March, monarchs survive on accumulated lipid reserves and associated thermoregulatory balancing</w:t>
      </w:r>
      <w:r>
        <w:t xml:space="preserve"> </w:t>
      </w:r>
      <w:r>
        <w:t xml:space="preserve">[25, 28]</w:t>
      </w:r>
      <w:r>
        <w:t xml:space="preserve">. As ectotherms, monarchs face a fundamental trade-off: maintain body temperatures cool enough through metabolic suppression to conserve energy for the entire overwintering season, yet warm enough to permit for bouts of essential flights</w:t>
      </w:r>
      <w:r>
        <w:t xml:space="preserve"> </w:t>
      </w:r>
      <w:r>
        <w:t xml:space="preserve">[25, 28–30]</w:t>
      </w:r>
      <w:r>
        <w:t xml:space="preserve">. Temperatures of 12.7–16.0</w:t>
      </w:r>
      <m:oMath>
        <m:sSup>
          <m:e>
            <m:r>
              <m:t>​</m:t>
            </m:r>
          </m:e>
          <m:sup>
            <m:r>
              <m:rPr>
                <m:sty m:val="p"/>
              </m:rPr>
              <m:t>∘</m:t>
            </m:r>
          </m:sup>
        </m:sSup>
      </m:oMath>
      <w:r>
        <w:t xml:space="preserve">C represent the minimum thoracic temperature required for powered flight</w:t>
      </w:r>
      <w:r>
        <w:t xml:space="preserve"> </w:t>
      </w:r>
      <w:r>
        <w:t xml:space="preserve">[28]</w:t>
      </w:r>
      <w:r>
        <w:t xml:space="preserve"> </w:t>
      </w:r>
      <w:r>
        <w:t xml:space="preserve">and represent flight threshold temperature for (Eastern) monarchs. Below this threshold, monarchs employ behavioral thermoregulation either through dorsal basking, which can elevate body temperature to flight capability within 30 seconds of sun exposure, or through energetically costly shivering that consumes energy 25 times faster than resting</w:t>
      </w:r>
      <w:r>
        <w:t xml:space="preserve"> </w:t>
      </w:r>
      <w:r>
        <w:t xml:space="preserve">[28]</w:t>
      </w:r>
      <w:r>
        <w:t xml:space="preserve">. Thus</w:t>
      </w:r>
      <w:r>
        <w:t xml:space="preserve"> </w:t>
      </w:r>
      <w:r>
        <w:t xml:space="preserve">“warm enough”</w:t>
      </w:r>
      <w:r>
        <w:t xml:space="preserve"> </w:t>
      </w:r>
      <w:r>
        <w:t xml:space="preserve">can be environmentally or physiologically attained, but at significantly different costs to lipid stores. In terms of</w:t>
      </w:r>
      <w:r>
        <w:t xml:space="preserve"> </w:t>
      </w:r>
      <w:r>
        <w:t xml:space="preserve">“cool enough,”</w:t>
      </w:r>
      <w:r>
        <w:t xml:space="preserve"> </w:t>
      </w:r>
      <w:r>
        <w:t xml:space="preserve">direct sun exposure can rapidly elevate thoracic temperatures to 33.6</w:t>
      </w:r>
      <m:oMath>
        <m:sSup>
          <m:e>
            <m:r>
              <m:t>​</m:t>
            </m:r>
          </m:e>
          <m:sup>
            <m:r>
              <m:rPr>
                <m:sty m:val="p"/>
              </m:rPr>
              <m:t>∘</m:t>
            </m:r>
          </m:sup>
        </m:sSup>
      </m:oMath>
      <w:r>
        <w:t xml:space="preserve">C, forcing butterflies to adopt sun-minimizing postures or engage in heat-dissipating flights</w:t>
      </w:r>
      <w:r>
        <w:t xml:space="preserve"> </w:t>
      </w:r>
      <w:r>
        <w:t xml:space="preserve">[22]</w:t>
      </w:r>
      <w:r>
        <w:t xml:space="preserve">. This energetic balancing means that monarchs selecting overwintering sites must find locations that minimize both sustained freezing exposure (warm enough) and elevated metabolic expenditure (cool enough)</w:t>
      </w:r>
      <w:r>
        <w:t xml:space="preserve"> </w:t>
      </w:r>
      <w:r>
        <w:t xml:space="preserve">[28, 30–32]</w:t>
      </w:r>
      <w:r>
        <w:t xml:space="preserve">.</w:t>
      </w:r>
    </w:p>
    <w:p>
      <w:pPr>
        <w:pStyle w:val="BodyText"/>
      </w:pPr>
      <w:r>
        <w:t xml:space="preserve">Our focus on abiotic conditions, but more specifically wind, builds on early studies from Mexican overwintering sites that led Leong</w:t>
      </w:r>
      <w:r>
        <w:t xml:space="preserve"> </w:t>
      </w:r>
      <w:r>
        <w:t xml:space="preserve">[33]</w:t>
      </w:r>
      <w:r>
        <w:t xml:space="preserve"> </w:t>
      </w:r>
      <w:r>
        <w:t xml:space="preserve">to propose the Microclimate Hypothesis for western monarchs overwintering in California. This hypothesis posits that monarchs select clustering locations within groves based on a measurable microenvironmental envelope characterized by four key parameters each with a specific benefit: wind protection or speeds below 2 m/s (</w:t>
      </w:r>
      <m:oMath>
        <m:r>
          <m:rPr>
            <m:sty m:val="p"/>
          </m:rPr>
          <m:t>∼</m:t>
        </m:r>
      </m:oMath>
      <w:r>
        <w:t xml:space="preserve">5 mph) preventing cluster disruption, cool temperatures maintaining diapause while minimizing freezing risk and elevated metabolic expenditure, dappled sunlight enabling behavioral thermoregulation, and high humidity or accessible moisture to prevent desiccation</w:t>
      </w:r>
      <w:r>
        <w:t xml:space="preserve"> </w:t>
      </w:r>
      <w:r>
        <w:t xml:space="preserve">[33, 34]</w:t>
      </w:r>
      <w:r>
        <w:t xml:space="preserve">. Wind emerged as particularly critical in Leong’s Microclimate Hypothesis, and wind is the only parameter for which there is a proposed parameter value or range (below 2 m/s (5 mph),</w:t>
      </w:r>
      <w:r>
        <w:t xml:space="preserve"> </w:t>
      </w:r>
      <w:r>
        <w:t xml:space="preserve">[33, 34]</w:t>
      </w:r>
      <w:r>
        <w:t xml:space="preserve">).</w:t>
      </w:r>
    </w:p>
    <w:p>
      <w:pPr>
        <w:pStyle w:val="BodyText"/>
      </w:pPr>
      <w:r>
        <w:t xml:space="preserve">Leong’s initial studies measured wind speeds at trees with and without butterfly clusters, concluding that</w:t>
      </w:r>
      <w:r>
        <w:t xml:space="preserve"> </w:t>
      </w:r>
      <w:r>
        <w:t xml:space="preserve">“during winter storms, the butterflies clustered on those few trees that offered the greatest protection against winds of 2 m/s or greater”</w:t>
      </w:r>
      <w:r>
        <w:t xml:space="preserve"> </w:t>
      </w:r>
      <w:r>
        <w:t xml:space="preserve">[33]</w:t>
      </w:r>
      <w:r>
        <w:t xml:space="preserve">. Though, technically the highest wind speed measured in this study was only 1.66 m/s. Based on these inferred correlations Leong reported that</w:t>
      </w:r>
      <w:r>
        <w:t xml:space="preserve"> </w:t>
      </w:r>
      <w:r>
        <w:t xml:space="preserve">“butterflies cluster in areas of the grove that offer exposure to filtered sunlight and shelter from strong wind movement”</w:t>
      </w:r>
      <w:r>
        <w:t xml:space="preserve"> </w:t>
      </w:r>
      <w:r>
        <w:t xml:space="preserve">[34]</w:t>
      </w:r>
      <w:r>
        <w:t xml:space="preserve">. In later publications, Leong added anecdotal observations, noting that</w:t>
      </w:r>
      <w:r>
        <w:t xml:space="preserve"> </w:t>
      </w:r>
      <w:r>
        <w:t xml:space="preserve">“roosting butterflies were blown from their clusters or dislodged by excessive branch movements (shaking) caused by winds exceeding 2 m/s”</w:t>
      </w:r>
      <w:r>
        <w:t xml:space="preserve"> </w:t>
      </w:r>
      <w:r>
        <w:t xml:space="preserve">and that</w:t>
      </w:r>
      <w:r>
        <w:t xml:space="preserve"> </w:t>
      </w:r>
      <w:r>
        <w:t xml:space="preserve">“upon dislodgment, the butterflies flew to and resettled on foliage of trees that offered better shelter from strong winds”</w:t>
      </w:r>
      <w:r>
        <w:t xml:space="preserve"> </w:t>
      </w:r>
      <w:r>
        <w:t xml:space="preserve">[35]</w:t>
      </w:r>
      <w:r>
        <w:t xml:space="preserve">. When storm winds coincided with morning temperatures below 15</w:t>
      </w:r>
      <m:oMath>
        <m:sSup>
          <m:e>
            <m:r>
              <m:t>​</m:t>
            </m:r>
          </m:e>
          <m:sup>
            <m:r>
              <m:rPr>
                <m:sty m:val="p"/>
              </m:rPr>
              <m:t>∘</m:t>
            </m:r>
          </m:sup>
        </m:sSup>
      </m:oMath>
      <w:r>
        <w:t xml:space="preserve">C,</w:t>
      </w:r>
      <w:r>
        <w:t xml:space="preserve"> </w:t>
      </w:r>
      <w:r>
        <w:t xml:space="preserve">“the dislodged butterflies would be blown to the ground and remain there until temperatures reached flight threshold,”</w:t>
      </w:r>
      <w:r>
        <w:t xml:space="preserve"> </w:t>
      </w:r>
      <w:r>
        <w:t xml:space="preserve">with</w:t>
      </w:r>
      <w:r>
        <w:t xml:space="preserve"> </w:t>
      </w:r>
      <w:r>
        <w:t xml:space="preserve">“butterflies littering the ground at the base of roosting trees”</w:t>
      </w:r>
      <w:r>
        <w:t xml:space="preserve"> </w:t>
      </w:r>
      <w:r>
        <w:t xml:space="preserve">commonly observed after winter storms</w:t>
      </w:r>
      <w:r>
        <w:t xml:space="preserve"> </w:t>
      </w:r>
      <w:r>
        <w:t xml:space="preserve">[35]</w:t>
      </w:r>
      <w:r>
        <w:t xml:space="preserve">.</w:t>
      </w:r>
    </w:p>
    <w:p>
      <w:pPr>
        <w:pStyle w:val="BodyText"/>
      </w:pPr>
      <w:r>
        <w:t xml:space="preserve">Though the Microclimate Hypothesis originated from untested anecdotal observations, it still gained widespread acceptance and came to directly inform management guidelines at multiple levels. Leong’s 2016 synthesis for California Department of Fish and Wildlife formally established that</w:t>
      </w:r>
      <w:r>
        <w:t xml:space="preserve"> </w:t>
      </w:r>
      <w:r>
        <w:t xml:space="preserve">“winds</w:t>
      </w:r>
      <w:r>
        <w:t xml:space="preserve"> </w:t>
      </w:r>
      <m:oMath>
        <m:r>
          <m:rPr>
            <m:sty m:val="p"/>
          </m:rPr>
          <m:t>≥</m:t>
        </m:r>
      </m:oMath>
      <w:r>
        <w:t xml:space="preserve"> </w:t>
      </w:r>
      <w:r>
        <w:t xml:space="preserve">2 m/s are disruptive to the aggregating butterflies by blowing them from their roosting branches or dislodging them by shaking the branches,”</w:t>
      </w:r>
      <w:r>
        <w:t xml:space="preserve"> </w:t>
      </w:r>
      <w:r>
        <w:t xml:space="preserve">and that when subjected to such winds when above flight threshold temperature, butterflies</w:t>
      </w:r>
      <w:r>
        <w:t xml:space="preserve"> </w:t>
      </w:r>
      <w:r>
        <w:t xml:space="preserve">“either flew to a more sheltered area of the grove or, if no refuge area was available, abandoned the grove temporarily or for the remainder of the season”</w:t>
      </w:r>
      <w:r>
        <w:t xml:space="preserve"> </w:t>
      </w:r>
      <w:r>
        <w:t xml:space="preserve">[36]</w:t>
      </w:r>
      <w:r>
        <w:t xml:space="preserve">. Thus, the Microclimate Hypothesis</w:t>
      </w:r>
      <w:r>
        <w:t xml:space="preserve"> </w:t>
      </w:r>
      <w:r>
        <w:t xml:space="preserve">“made obvious”</w:t>
      </w:r>
      <w:r>
        <w:t xml:space="preserve"> </w:t>
      </w:r>
      <w:r>
        <w:t xml:space="preserve">that successful overwintering sites would consistently exhibit a specific suite of conditions, including protection from wind</w:t>
      </w:r>
      <w:r>
        <w:t xml:space="preserve"> </w:t>
      </w:r>
      <m:oMath>
        <m:r>
          <m:rPr>
            <m:sty m:val="p"/>
          </m:rPr>
          <m:t>≥</m:t>
        </m:r>
      </m:oMath>
      <w:r>
        <w:t xml:space="preserve"> </w:t>
      </w:r>
      <w:r>
        <w:t xml:space="preserve">2 m/s. This then implied that specific abiotic parameters should guide habitat management and restoration efforts, a principle now widely adopted in monarch conservation plans</w:t>
      </w:r>
      <w:r>
        <w:t xml:space="preserve"> </w:t>
      </w:r>
      <w:r>
        <w:t xml:space="preserve">[37–41]</w:t>
      </w:r>
      <w:r>
        <w:t xml:space="preserve">.</w:t>
      </w:r>
    </w:p>
    <w:p>
      <w:pPr>
        <w:pStyle w:val="BodyText"/>
      </w:pPr>
      <w:r>
        <w:t xml:space="preserve">However, empirical testing has gradually dismantled the Microclimate Hypothesis’ core assumption of a uniform environmental envelope. When researchers tested whether monarchs select for consistent microclimatic attributes (temperature, light, and humidity) across groves, they found that the realized microclimate varied significantly with latitude and local geography</w:t>
      </w:r>
      <w:r>
        <w:t xml:space="preserve"> </w:t>
      </w:r>
      <w:r>
        <w:t xml:space="preserve">[42]</w:t>
      </w:r>
      <w:r>
        <w:t xml:space="preserve">. Temperature responses proved more complex than originally proposed, with monarchs avoiding freezing temperatures but selecting the warmest cold temperatures available at their latitude</w:t>
      </w:r>
      <w:r>
        <w:t xml:space="preserve"> </w:t>
      </w:r>
      <w:r>
        <w:t xml:space="preserve">[43]</w:t>
      </w:r>
      <w:r>
        <w:t xml:space="preserve">. Humidity showed geographic variability rather than consistency</w:t>
      </w:r>
      <w:r>
        <w:t xml:space="preserve"> </w:t>
      </w:r>
      <w:r>
        <w:t xml:space="preserve">[42]</w:t>
      </w:r>
      <w:r>
        <w:t xml:space="preserve">. This geographic variability in microclimate utilization, where selection seems to occur hierarchically across multiple spatial scales rather than for a single environmental envelope, fundamentally contradicts Leong’s original hypothesis</w:t>
      </w:r>
      <w:r>
        <w:t xml:space="preserve"> </w:t>
      </w:r>
      <w:r>
        <w:t xml:space="preserve">[42, 43]</w:t>
      </w:r>
      <w:r>
        <w:t xml:space="preserve">. Of the three Microclimate Hypothesis parameters tested thus far, only light exposure is supported as a potential unifying factor. Given that various research perspectives have been utilized in the consideration of light, successful overwintering sites are known by different light characteristics including consistent patterns of canopy openness</w:t>
      </w:r>
      <w:r>
        <w:t xml:space="preserve"> </w:t>
      </w:r>
      <w:r>
        <w:t xml:space="preserve">[44]</w:t>
      </w:r>
      <w:r>
        <w:t xml:space="preserve">, specific shading patterns</w:t>
      </w:r>
      <w:r>
        <w:t xml:space="preserve"> </w:t>
      </w:r>
      <w:r>
        <w:t xml:space="preserve">[45]</w:t>
      </w:r>
      <w:r>
        <w:t xml:space="preserve">, and high intensity light of short duration</w:t>
      </w:r>
      <w:r>
        <w:t xml:space="preserve"> </w:t>
      </w:r>
      <w:r>
        <w:t xml:space="preserve">[42]</w:t>
      </w:r>
      <w:r>
        <w:t xml:space="preserve">.</w:t>
      </w:r>
    </w:p>
    <w:p>
      <w:pPr>
        <w:pStyle w:val="BodyText"/>
      </w:pPr>
      <w:r>
        <w:t xml:space="preserve">Among the four parameters of Leong’s Microclimate Hypothesis, the wind disruption component of the Microclimate Hypothesis (hereafter Wind Disruption Hypothesis) stands apart as never having undergone direct empirical testing. Therefore, despite widespread adoption of the Wind Disruption Hypothesis’ 2 m/s wind protection threshold in restoration efforts</w:t>
      </w:r>
      <w:r>
        <w:t xml:space="preserve"> </w:t>
      </w:r>
      <w:r>
        <w:t xml:space="preserve">[36, 38, 41, 46–48]</w:t>
      </w:r>
      <w:r>
        <w:t xml:space="preserve">, no study has directly tested butterfly responses to wind exposure, or distinguished whether butterflies actively avoid wind or the hydric or thermic effects of wind, or some other correlated but unmeasured variable(s).</w:t>
      </w:r>
    </w:p>
    <w:p>
      <w:pPr>
        <w:pStyle w:val="BodyText"/>
      </w:pPr>
      <w:r>
        <w:t xml:space="preserve">Between the 1980s and mid-2010s, overwintering populations of western monarchs collapsed by approximately 97%</w:t>
      </w:r>
      <w:r>
        <w:t xml:space="preserve"> </w:t>
      </w:r>
      <w:r>
        <w:t xml:space="preserve">[49]</w:t>
      </w:r>
      <w:r>
        <w:t xml:space="preserve">, with population viability analyses revealing a 72% quasi-extinction risk within 20 years</w:t>
      </w:r>
      <w:r>
        <w:t xml:space="preserve"> </w:t>
      </w:r>
      <w:r>
        <w:t xml:space="preserve">[49]</w:t>
      </w:r>
      <w:r>
        <w:t xml:space="preserve">. The winter 2018 to 2019 Western Monarch Thanksgiving Count recorded fewer than 30,000 monarchs, a single-year drop of 86%, representing over 99% decline from 1980s abundance</w:t>
      </w:r>
      <w:r>
        <w:t xml:space="preserve"> </w:t>
      </w:r>
      <w:r>
        <w:t xml:space="preserve">[50]</w:t>
      </w:r>
      <w:r>
        <w:t xml:space="preserve">. The 2020 count documented only 1,901 butterflies, the lowest number ever recorded. The 2024 to 2025 count of 9,119 represents the second-lowest count. The latest count in 2025–2026 of 12,260 is the third lowest on record and demonstrates the population’s continued precarity</w:t>
      </w:r>
      <w:r>
        <w:t xml:space="preserve"> </w:t>
      </w:r>
      <w:r>
        <w:t xml:space="preserve">[51]</w:t>
      </w:r>
      <w:r>
        <w:t xml:space="preserve">. Declines are associated with multiple interacting stressors including herbicide use and associated breeding habitat loss, pesticide exposure, climate change, and the loss and degradation of overwintering habitat</w:t>
      </w:r>
      <w:r>
        <w:t xml:space="preserve"> </w:t>
      </w:r>
      <w:r>
        <w:t xml:space="preserve">[50, 52, 53]</w:t>
      </w:r>
      <w:r>
        <w:t xml:space="preserve">. In western monarchs evidence suggests that the overwintering stage represents the most limiting phase of the annual cycle, with declines concentrated during winter and early spring periods</w:t>
      </w:r>
      <w:r>
        <w:t xml:space="preserve"> </w:t>
      </w:r>
      <w:r>
        <w:t xml:space="preserve">[50, 54]</w:t>
      </w:r>
      <w:r>
        <w:t xml:space="preserve">. Thus, in terms of Western Monarch conservation priorities, management of California coastal overwintering groves has emerged as the focal point, and testing the Wind Disruption Hypothesis has become critically important.</w:t>
      </w:r>
    </w:p>
    <w:p>
      <w:pPr>
        <w:pStyle w:val="BodyText"/>
      </w:pPr>
      <w:r>
        <w:t xml:space="preserve">Testing the Wind Disruption Hypothesis requires addressing a fundamental methodological challenge: isolating wind effects from confounding environmental variables that naturally covary in field settings. Solar radiation is a potential covariate that can trigger butterfly departures through direct heating</w:t>
      </w:r>
      <w:r>
        <w:t xml:space="preserve"> </w:t>
      </w:r>
      <w:r>
        <w:t xml:space="preserve">[28, 29]</w:t>
      </w:r>
      <w:r>
        <w:t xml:space="preserve">. Temperature is a potential covariate known to independently influence activity patterns, with monarchs exhibiting predictable responses as temperatures approach and exceed flight thresholds</w:t>
      </w:r>
      <w:r>
        <w:t xml:space="preserve"> </w:t>
      </w:r>
      <w:r>
        <w:t xml:space="preserve">[22]</w:t>
      </w:r>
      <w:r>
        <w:t xml:space="preserve">. Time of day creates inherent activity rhythms related to sun angle and thermal conditions</w:t>
      </w:r>
      <w:r>
        <w:t xml:space="preserve"> </w:t>
      </w:r>
      <w:r>
        <w:t xml:space="preserve">[55]</w:t>
      </w:r>
      <w:r>
        <w:t xml:space="preserve"> </w:t>
      </w:r>
      <w:r>
        <w:t xml:space="preserve">especially if clusters reform nightly. Furthermore, wind itself is multidimensional, characterized not only by average speed but also by gustiness and variability</w:t>
      </w:r>
      <w:r>
        <w:t xml:space="preserve"> </w:t>
      </w:r>
      <w:r>
        <w:t xml:space="preserve">[56]</w:t>
      </w:r>
      <w:r>
        <w:t xml:space="preserve"> </w:t>
      </w:r>
      <w:r>
        <w:t xml:space="preserve">that could differentially affect butterfly behavior. A rigorous test must therefore control for potentially confounding factors while examining multiple aspects of wind exposure.</w:t>
      </w:r>
      <w:r>
        <w:t xml:space="preserve"> </w:t>
      </w:r>
      <w:r>
        <w:t xml:space="preserve">Our primary objective was to evaluate the Wind Disruption Hypothesis. First, we hypothesized that wind, alongside other environmental factors, predicts butterfly abundance at overwintering clusters. If true, we predict that wind will emerge as a significant predictor of abundance changes, with monarch abundance (i.e., cluster size) decreasing when exposed to increasing wind speeds. Second, we hypothesized that wind becomes disruptive above a specific threshold of 2 m/s. If this threshold represents a meaningful biological boundary, we predict that monarch abundance (i.e., cluster size) will decline at roosts experiencing winds exceeding a 2 m/s threshold. Third, we hypothesized that above the threshold wind’s disruptive effects scale with intensity. If disruption increases with wind speed, we predict proportionally greater decreases in monarch abundance (i.e., cluster size) as wind speeds rise above the threshold. Finally, we hypothesized that experiencing disruptive winds affects monarch site fidelity. If wind disruption influences future roost selection, we predict decreased site fidelity at wind-disturbed roosts.</w:t>
      </w:r>
    </w:p>
    <w:bookmarkEnd w:id="35"/>
    <w:bookmarkStart w:id="56" w:name="materials-and-methods"/>
    <w:p>
      <w:pPr>
        <w:pStyle w:val="Heading1"/>
      </w:pPr>
      <w:r>
        <w:t xml:space="preserve">Materials and Methods</w:t>
      </w:r>
    </w:p>
    <w:bookmarkStart w:id="36" w:name="study-site"/>
    <w:p>
      <w:pPr>
        <w:pStyle w:val="Heading2"/>
      </w:pPr>
      <w:r>
        <w:t xml:space="preserve">Study Site</w:t>
      </w:r>
    </w:p>
    <w:p>
      <w:pPr>
        <w:pStyle w:val="FirstParagraph"/>
      </w:pPr>
      <w:r>
        <w:t xml:space="preserve">Vandenberg Space Force Base (VSFB, 34.7398</w:t>
      </w:r>
      <m:oMath>
        <m:sSup>
          <m:e>
            <m:r>
              <m:t>​</m:t>
            </m:r>
          </m:e>
          <m:sup>
            <m:r>
              <m:rPr>
                <m:sty m:val="p"/>
              </m:rPr>
              <m:t>∘</m:t>
            </m:r>
          </m:sup>
        </m:sSup>
      </m:oMath>
      <w:r>
        <w:t xml:space="preserve">N, 120.5725</w:t>
      </w:r>
      <m:oMath>
        <m:sSup>
          <m:e>
            <m:r>
              <m:t>​</m:t>
            </m:r>
          </m:e>
          <m:sup>
            <m:r>
              <m:rPr>
                <m:sty m:val="p"/>
              </m:rPr>
              <m:t>∘</m:t>
            </m:r>
          </m:sup>
        </m:sSup>
      </m:oMath>
      <w:r>
        <w:t xml:space="preserve">W) in Santa Barbara County, California, was selected based on: extensive historical plantings of blue gum eucalyptus (</w:t>
      </w:r>
      <w:r>
        <w:rPr>
          <w:i/>
          <w:iCs/>
        </w:rPr>
        <w:t xml:space="preserve">Eucalyptus globulus</w:t>
      </w:r>
      <w:r>
        <w:t xml:space="preserve">) that support overwintering habitat, historical occupation of that habitat, restricted access providing security for long-term equipment deployment, and federal funding that mandated research be conducted on federal lands. VSFB contains thirty documented overwintering groves, with several over the last decade consistently in the top 10 percent statewide based on population abundance</w:t>
      </w:r>
      <w:r>
        <w:t xml:space="preserve"> </w:t>
      </w:r>
      <w:r>
        <w:t xml:space="preserve">[57]</w:t>
      </w:r>
      <w:r>
        <w:t xml:space="preserve">. Ten locations were selected from the thirty potential sites based on consistent occupancy by monarch aggregations, year-round research access, and first-hand knowledge by Jessica Griffiths, the VSFB Monarch Conservation Coordinator and long-term VSFB coordinator of Western Monarch Thanksgiving Counts</w:t>
      </w:r>
      <w:r>
        <w:t xml:space="preserve"> </w:t>
      </w:r>
      <w:r>
        <w:t xml:space="preserve">[57]</w:t>
      </w:r>
      <w:r>
        <w:t xml:space="preserve">. We deployed monitoring equipment for two overwintering seasons, with four sites monitored during 2023–2024 and ten sites during 2024–2025.</w:t>
      </w:r>
    </w:p>
    <w:bookmarkEnd w:id="36"/>
    <w:bookmarkStart w:id="37" w:name="monitoring-strategy"/>
    <w:p>
      <w:pPr>
        <w:pStyle w:val="Heading2"/>
      </w:pPr>
      <w:r>
        <w:t xml:space="preserve">Monitoring Strategy</w:t>
      </w:r>
    </w:p>
    <w:p>
      <w:pPr>
        <w:pStyle w:val="FirstParagraph"/>
      </w:pPr>
      <w:r>
        <w:t xml:space="preserve">Spring Canyon (SC, Western Monarch Thanksgiving Count site 2712, 34.6315</w:t>
      </w:r>
      <m:oMath>
        <m:sSup>
          <m:e>
            <m:r>
              <m:t>​</m:t>
            </m:r>
          </m:e>
          <m:sup>
            <m:r>
              <m:rPr>
                <m:sty m:val="p"/>
              </m:rPr>
              <m:t>∘</m:t>
            </m:r>
          </m:sup>
        </m:sSup>
      </m:oMath>
      <w:r>
        <w:t xml:space="preserve">N, 120.6182</w:t>
      </w:r>
      <m:oMath>
        <m:sSup>
          <m:e>
            <m:r>
              <m:t>​</m:t>
            </m:r>
          </m:e>
          <m:sup>
            <m:r>
              <m:rPr>
                <m:sty m:val="p"/>
              </m:rPr>
              <m:t>∘</m:t>
            </m:r>
          </m:sup>
        </m:sSup>
      </m:oMath>
      <w:r>
        <w:t xml:space="preserve">W) is the most historically reliable and highest overwintering abundance site on VSFB. It is approximately 2.0-hectares of mature blue gum eucalyptus (BGE) ranging to 40 meters in height. A perennial creek runs through the grove, creating a riparian corridor supporting heterogeneous canopy structure, variable tree spacing, and diverse understory vegetation. Surf Road, an infrequently used but paved access road, bisects both the creek and forest canopy. Although only recently (2022) documented, UDMH (Western Monarch Thanksgiving Count site 2822, 34.6719</w:t>
      </w:r>
      <m:oMath>
        <m:sSup>
          <m:e>
            <m:r>
              <m:t>​</m:t>
            </m:r>
          </m:e>
          <m:sup>
            <m:r>
              <m:rPr>
                <m:sty m:val="p"/>
              </m:rPr>
              <m:t>∘</m:t>
            </m:r>
          </m:sup>
        </m:sSup>
      </m:oMath>
      <w:r>
        <w:t xml:space="preserve">N, 120.5950</w:t>
      </w:r>
      <m:oMath>
        <m:sSup>
          <m:e>
            <m:r>
              <m:t>​</m:t>
            </m:r>
          </m:e>
          <m:sup>
            <m:r>
              <m:rPr>
                <m:sty m:val="p"/>
              </m:rPr>
              <m:t>∘</m:t>
            </m:r>
          </m:sup>
        </m:sSup>
      </m:oMath>
      <w:r>
        <w:t xml:space="preserve">W) consistently ranks among the base’s highest population sites. UDMH comprises 5.1-hectares of BGE windrows with an understory of scattered low shrubs.</w:t>
      </w:r>
      <w:r>
        <w:t xml:space="preserve"> </w:t>
      </w:r>
      <w:r>
        <w:t xml:space="preserve">In the 2023–2024 overwintering season two sites were sampled given that monarchs were present. All other sites on base were excluded from analysis due to a lack of monarch butterflies. Unfortunately, the 2024–2025 season coincided with historically low monarch abundance throughout California</w:t>
      </w:r>
      <w:r>
        <w:t xml:space="preserve"> </w:t>
      </w:r>
      <w:r>
        <w:t xml:space="preserve">[57]</w:t>
      </w:r>
      <w:r>
        <w:t xml:space="preserve">, thus no data are presented for 2024–2025.</w:t>
      </w:r>
    </w:p>
    <w:bookmarkEnd w:id="37"/>
    <w:bookmarkStart w:id="38" w:name="field-equipment"/>
    <w:p>
      <w:pPr>
        <w:pStyle w:val="Heading2"/>
      </w:pPr>
      <w:r>
        <w:t xml:space="preserve">Field Equipment</w:t>
      </w:r>
    </w:p>
    <w:p>
      <w:pPr>
        <w:pStyle w:val="FirstParagraph"/>
      </w:pPr>
      <w:r>
        <w:t xml:space="preserve">To observe changes in the abundance of monarchs present in clusters in response to wind, we deployed remote monitoring equipment adjacent to butterfly clusters using 15-meter-tall fiberglass telescopic poles (Max-Gain Systems, Inc., Marietta, GA). Poles were anchored on a triangular base, with guy lines connecting the base (anchors) to the pole’s top, thus creating stable freestanding structures. Poles were 4–17 meters (horizontal distance) from their cluster. This distance was determined through wireless live-view field optimization to provide the image resolution required by our grid-based counting method (see below). Specifically, this positioning minimized disturbance to monarchs, provided a sufficient field of view, and provided necessary resolution of individual clustered butterflies. In addition, pole placement was often constrained by ground stability relative to the freestanding structure, anchor footprint, clearance requirements, and viewing angles. Deployments near active clusters did not disturb monarchs; no cluster bursts were observed during equipment deployment.</w:t>
      </w:r>
    </w:p>
    <w:p>
      <w:pPr>
        <w:pStyle w:val="BodyText"/>
      </w:pPr>
      <w:r>
        <w:t xml:space="preserve">Monarch abundance (cluster size) was monitored using trail cameras (GardePro E7 and E8, Shenzhen, China) modified for near-infrared (NIR) imaging which enhanced clustering butterfly and vegetation contrast</w:t>
      </w:r>
      <w:r>
        <w:t xml:space="preserve"> </w:t>
      </w:r>
      <w:r>
        <w:t xml:space="preserve">[58]</w:t>
      </w:r>
      <w:r>
        <w:t xml:space="preserve">, which in turn improved abundance estimation. Cameras were chosen for durability under extended field deployment, native time-lapse functionality, and modification potential. Modifications exploited an internal filter-switching mechanism by engaging the clear glass filter, disconnecting power to prevent reversion to infrared, and mounting NIR pass filters (</w:t>
      </w:r>
      <m:oMath>
        <m:r>
          <m:rPr>
            <m:sty m:val="p"/>
          </m:rPr>
          <m:t>&gt;</m:t>
        </m:r>
      </m:oMath>
      <w:r>
        <w:t xml:space="preserve">850 nm) in front of the native lens. Restricting incoming light to NIR wavelengths exploited the high NIR reflectance characteristic of living vegetation</w:t>
      </w:r>
      <w:r>
        <w:t xml:space="preserve"> </w:t>
      </w:r>
      <w:r>
        <w:t xml:space="preserve">[59, 60]</w:t>
      </w:r>
      <w:r>
        <w:t xml:space="preserve"> </w:t>
      </w:r>
      <w:r>
        <w:t xml:space="preserve">producing black and white images where clustering butterflies appeared as dark masses against bright eucalyptus foliage. Field comparison to human-labeler (see below) confirmed sufficient visual contrast for accurate estimation of cluster size.</w:t>
      </w:r>
      <w:r>
        <w:t xml:space="preserve"> </w:t>
      </w:r>
      <w:r>
        <w:t xml:space="preserve">Cameras, in time-lapse mode with motion detection disabled, were mounted atop poles and positioned horizontally toward butterfly clusters at roost height. The camera sampling interval was determined through statistical validation to balance information content and temporal resolution against battery life and human-labeler data processing capacity. Initial deployments used 10-minute intervals to capture images of changing butterfly abundance. Post-deployment analyses using mixed-effects models and information-theoretic approaches systematically conducted sequential subsampling starting with full temporal resolution (10-minute interval) and progressively testing reduced frequencies. Model comparison, using Akaike Information Criterion (AIC), demonstrated that 30-minute intervals provided optimal balance, losing less than 5% of information (measured by root mean square error) compared to full temporal resolution while reducing image processing workload by 67 percent. Variance comparison analysis and visual assessment of fitted trend lines confirmed that this interval preserved essential time-series patterns including diurnal activity cycles, weather-response dynamics, and multi-day population trends. Battery life constraints and field deployment logistics were consistent with this interval, enabling extended autonomous operation essential for capturing complete behavioral sequences.</w:t>
      </w:r>
    </w:p>
    <w:p>
      <w:pPr>
        <w:pStyle w:val="BodyText"/>
      </w:pPr>
      <w:r>
        <w:t xml:space="preserve">To quantify if predicted wind conditions influenced butterfly behavior, wind monitoring equipment (WindLog Wind Data Loggers, Rain Wise Inc., Trenton, Maine) was installed at pole apices thereby measuring wind at roost heights. Wind loggers recorded average wind speed and maximum wind gust at one-minute intervals. This was the shortest interval supported by the sensors which enabled calculation of wind speed minimum, maximum, and variance within each 30-minute photographic interval, and captured gustiness otherwise lost with longer intervals.</w:t>
      </w:r>
    </w:p>
    <w:p>
      <w:pPr>
        <w:pStyle w:val="BodyText"/>
      </w:pPr>
      <w:r>
        <w:t xml:space="preserve">Monitoring equipment was repositioned to follow cluster aggregations across a season. To systematically organize our monitoring efforts, we defined discrete cluster monitoring periods as deployment units. Each deployment unit represented a unique combination of cluster location, camera configuration (camera ID, mounting height, and viewing angle), associated wind measurements, and photos for abundance estimates, over a temporal period. This deployment-based structure provided standardized sampling units that accounted for variation in environmental conditions and equipment configurations while treating each deployment as an independent time-series.</w:t>
      </w:r>
    </w:p>
    <w:bookmarkEnd w:id="38"/>
    <w:bookmarkStart w:id="43" w:name="image-analysis"/>
    <w:p>
      <w:pPr>
        <w:pStyle w:val="Heading2"/>
      </w:pPr>
      <w:r>
        <w:t xml:space="preserve">Image Analysis</w:t>
      </w:r>
    </w:p>
    <w:bookmarkStart w:id="40" w:name="grid-based-counting-method-for-images"/>
    <w:p>
      <w:pPr>
        <w:pStyle w:val="Heading3"/>
      </w:pPr>
      <w:r>
        <w:t xml:space="preserve">Grid-Based Counting Method for Images</w:t>
      </w:r>
    </w:p>
    <w:p>
      <w:pPr>
        <w:pStyle w:val="FirstParagraph"/>
      </w:pPr>
      <w:r>
        <w:t xml:space="preserve">To systematically quantify changes in overwintering butterfly abundance, we developed a grid-based protocol that balanced counting accuracy with the practical constraints of analyzing tens of thousands of images. This approach addresses where counts of all individuals would be prohibitively time-consuming, and where estimates of abundance would be a normal alternative, as is typical in monarch field research (e.g., Thanksgiving Count,</w:t>
      </w:r>
      <w:r>
        <w:t xml:space="preserve"> </w:t>
      </w:r>
      <w:r>
        <w:t xml:space="preserve">[46]</w:t>
      </w:r>
      <w:r>
        <w:t xml:space="preserve">). But, because images were available, and we were not under field conditions, we could be somewhat more systematic. Thus, we subdivided each image using a grid overlay system whereafter human labelers assigned order-of-magnitude estimates (0: no butterflies, 1–9: single digits, 10–99: dozens, and 100–999: hundreds) per cell. Grid dimensions (and thus number of cells) were optimized (most occupied cells contained butterflies in the 10–99 count range) per deployment, and remained fixed within each deployment. Grid dimensions varied across deployments based on camera-to-cluster distance. This standardization balanced classification efficiency (effort) with spatial resolution, minimized cells randomly/erroneously alternating between different order-of-magnitude categories within a time series, and was facilitated with custom software developed using the Electron framework in JavaScript (</w:t>
      </w:r>
      <w:hyperlink r:id="rId39">
        <w:r>
          <w:rPr>
            <w:rStyle w:val="Hyperlink"/>
          </w:rPr>
          <w:t xml:space="preserve">https://kylenessen.github.io/monarch_trailcam_classifier/</w:t>
        </w:r>
      </w:hyperlink>
      <w:r>
        <w:t xml:space="preserve">).</w:t>
      </w:r>
    </w:p>
    <w:bookmarkEnd w:id="40"/>
    <w:bookmarkStart w:id="41" w:name="counting-protocol"/>
    <w:p>
      <w:pPr>
        <w:pStyle w:val="Heading3"/>
      </w:pPr>
      <w:r>
        <w:t xml:space="preserve">Counting Protocol</w:t>
      </w:r>
    </w:p>
    <w:p>
      <w:pPr>
        <w:pStyle w:val="FirstParagraph"/>
      </w:pPr>
      <w:r>
        <w:t xml:space="preserve">Human labelers, trained on a comprehensive online guide with example images and detailed classification criteria, estimated butterfly abundance within each grid cell using the four order-of-magnitude categories (</w:t>
      </w:r>
      <w:hyperlink r:id="rId39">
        <w:r>
          <w:rPr>
            <w:rStyle w:val="Hyperlink"/>
          </w:rPr>
          <w:t xml:space="preserve">https://kylenessen.github.io/monarch_trailcam_classifier/</w:t>
        </w:r>
      </w:hyperlink>
      <w:r>
        <w:t xml:space="preserve">). This optimized efficiency while maintaining consistency across observers. For example, abundance estimates derived from two-dimensional image planes only, without estimating three-dimensional cluster abundance, structure or depth. This approach intentionally excluded hidden individuals behind visible butterflies in overlapping aggregations, thus providing a conservative and less subjective but more consistent measure of abundance. Labelers also classified cells as receiving direct sunlight when branches or butterflies exhibited additional illumination clearly from direct rather than indirect light. This classification was recorded only for occupied cells and stored separately. Labelers received ongoing feedback throughout the classification process. All classifications underwent review for common errors including mislabeled cells, incorrect category assignments, and inconsistent counting-criteria application. Direct communication of corrections to all labelers ensured consistent protocol application.</w:t>
      </w:r>
    </w:p>
    <w:bookmarkEnd w:id="41"/>
    <w:bookmarkStart w:id="42" w:name="butterfly-index-calculation"/>
    <w:p>
      <w:pPr>
        <w:pStyle w:val="Heading3"/>
      </w:pPr>
      <w:r>
        <w:t xml:space="preserve">Butterfly Index Calculation</w:t>
      </w:r>
    </w:p>
    <w:p>
      <w:pPr>
        <w:pStyle w:val="FirstParagraph"/>
      </w:pPr>
      <w:r>
        <w:t xml:space="preserve">We calculated a butterfly index (BI) for each frame in a deployment time series:</w:t>
      </w:r>
    </w:p>
    <w:p>
      <w:pPr>
        <w:pStyle w:val="BodyText"/>
      </w:pPr>
      <m:oMathPara>
        <m:oMathParaPr>
          <m:jc m:val="center"/>
        </m:oMathParaPr>
        <m:oMath>
          <m:r>
            <m:rPr>
              <m:sty m:val="p"/>
            </m:rPr>
            <m:t>B</m:t>
          </m:r>
          <m:r>
            <m:rPr>
              <m:sty m:val="p"/>
            </m:rPr>
            <m:t>u</m:t>
          </m:r>
          <m:r>
            <m:rPr>
              <m:sty m:val="p"/>
            </m:rPr>
            <m:t>t</m:t>
          </m:r>
          <m:r>
            <m:rPr>
              <m:sty m:val="p"/>
            </m:rPr>
            <m:t>t</m:t>
          </m:r>
          <m:r>
            <m:rPr>
              <m:sty m:val="p"/>
            </m:rPr>
            <m:t>e</m:t>
          </m:r>
          <m:r>
            <m:rPr>
              <m:sty m:val="p"/>
            </m:rPr>
            <m:t>r</m:t>
          </m:r>
          <m:r>
            <m:rPr>
              <m:sty m:val="p"/>
            </m:rPr>
            <m:t>f</m:t>
          </m:r>
          <m:r>
            <m:rPr>
              <m:sty m:val="p"/>
            </m:rPr>
            <m:t>l</m:t>
          </m:r>
          <m:r>
            <m:rPr>
              <m:sty m:val="p"/>
            </m:rPr>
            <m:t>y</m:t>
          </m:r>
          <m:r>
            <m:rPr>
              <m:sty m:val="p"/>
            </m:rPr>
            <m:t> </m:t>
          </m:r>
          <m:r>
            <m:rPr>
              <m:sty m:val="p"/>
            </m:rPr>
            <m:t>i</m:t>
          </m:r>
          <m:r>
            <m:rPr>
              <m:sty m:val="p"/>
            </m:rPr>
            <m:t>n</m:t>
          </m:r>
          <m:r>
            <m:rPr>
              <m:sty m:val="p"/>
            </m:rPr>
            <m:t>d</m:t>
          </m:r>
          <m:r>
            <m:rPr>
              <m:sty m:val="p"/>
            </m:rPr>
            <m:t>e</m:t>
          </m:r>
          <m:r>
            <m:rPr>
              <m:sty m:val="p"/>
            </m:rPr>
            <m:t>x</m:t>
          </m:r>
          <m:r>
            <m:rPr>
              <m:sty m:val="p"/>
            </m:rPr>
            <m:t>=</m:t>
          </m:r>
          <m:nary>
            <m:naryPr>
              <m:chr m:val="∑"/>
              <m:limLoc m:val="undOvr"/>
              <m:subHide m:val="off"/>
              <m:supHide m:val="on"/>
            </m:naryPr>
            <m:sub>
              <m:r>
                <m:t>i</m:t>
              </m:r>
            </m:sub>
            <m:sup>
              <m:r>
                <m:t>​</m:t>
              </m:r>
            </m:sup>
            <m:e>
              <m:sSub>
                <m:e>
                  <m:r>
                    <m:t>ρ</m:t>
                  </m:r>
                </m:e>
                <m:sub>
                  <m:r>
                    <m:t>i</m:t>
                  </m:r>
                </m:sub>
              </m:sSub>
            </m:e>
          </m:nary>
          <m:r>
            <m:rPr>
              <m:sty m:val="p"/>
            </m:rPr>
            <m:t>×</m:t>
          </m:r>
          <m:sSub>
            <m:e>
              <m:r>
                <m:t>C</m:t>
              </m:r>
            </m:e>
            <m:sub>
              <m:r>
                <m:t>i</m:t>
              </m:r>
            </m:sub>
          </m:sSub>
        </m:oMath>
      </m:oMathPara>
    </w:p>
    <w:p>
      <w:pPr>
        <w:pStyle w:val="FirstParagraph"/>
      </w:pPr>
      <w:r>
        <w:t xml:space="preserve">where</w:t>
      </w:r>
      <w:r>
        <w:t xml:space="preserve"> </w:t>
      </w:r>
      <m:oMath>
        <m:sSub>
          <m:e>
            <m:r>
              <m:t>ρ</m:t>
            </m:r>
          </m:e>
          <m:sub>
            <m:r>
              <m:t>i</m:t>
            </m:r>
          </m:sub>
        </m:sSub>
      </m:oMath>
      <w:r>
        <w:t xml:space="preserve"> </w:t>
      </w:r>
      <w:r>
        <w:t xml:space="preserve">represents the number of cells in category</w:t>
      </w:r>
      <w:r>
        <w:t xml:space="preserve"> </w:t>
      </w:r>
      <m:oMath>
        <m:r>
          <m:t>i</m:t>
        </m:r>
      </m:oMath>
      <w:r>
        <w:t xml:space="preserve">, and</w:t>
      </w:r>
      <w:r>
        <w:t xml:space="preserve"> </w:t>
      </w:r>
      <m:oMath>
        <m:sSub>
          <m:e>
            <m:r>
              <m:t>C</m:t>
            </m:r>
          </m:e>
          <m:sub>
            <m:r>
              <m:t>i</m:t>
            </m:r>
          </m:sub>
        </m:sSub>
      </m:oMath>
      <w:r>
        <w:t xml:space="preserve"> </w:t>
      </w:r>
      <w:r>
        <w:t xml:space="preserve">represents the protocol-based count estimate for the number of cells of that category. We used minimum (conservative) category values (</w:t>
      </w:r>
      <m:oMath>
        <m:sSub>
          <m:e>
            <m:r>
              <m:t>C</m:t>
            </m:r>
          </m:e>
          <m:sub>
            <m:r>
              <m:t>1</m:t>
            </m:r>
          </m:sub>
        </m:sSub>
        <m:r>
          <m:rPr>
            <m:sty m:val="p"/>
          </m:rPr>
          <m:t>=</m:t>
        </m:r>
        <m:r>
          <m:t>1</m:t>
        </m:r>
      </m:oMath>
      <w:r>
        <w:t xml:space="preserve"> </w:t>
      </w:r>
      <w:r>
        <w:t xml:space="preserve">for category 1–9,</w:t>
      </w:r>
      <w:r>
        <w:t xml:space="preserve"> </w:t>
      </w:r>
      <m:oMath>
        <m:sSub>
          <m:e>
            <m:r>
              <m:t>C</m:t>
            </m:r>
          </m:e>
          <m:sub>
            <m:r>
              <m:t>2</m:t>
            </m:r>
          </m:sub>
        </m:sSub>
        <m:r>
          <m:rPr>
            <m:sty m:val="p"/>
          </m:rPr>
          <m:t>=</m:t>
        </m:r>
        <m:r>
          <m:t>10</m:t>
        </m:r>
      </m:oMath>
      <w:r>
        <w:t xml:space="preserve"> </w:t>
      </w:r>
      <w:r>
        <w:t xml:space="preserve">for category 10–99, and</w:t>
      </w:r>
      <w:r>
        <w:t xml:space="preserve"> </w:t>
      </w:r>
      <m:oMath>
        <m:sSub>
          <m:e>
            <m:r>
              <m:t>C</m:t>
            </m:r>
          </m:e>
          <m:sub>
            <m:r>
              <m:t>3</m:t>
            </m:r>
          </m:sub>
        </m:sSub>
        <m:r>
          <m:rPr>
            <m:sty m:val="p"/>
          </m:rPr>
          <m:t>=</m:t>
        </m:r>
        <m:r>
          <m:t>100</m:t>
        </m:r>
      </m:oMath>
      <w:r>
        <w:t xml:space="preserve"> </w:t>
      </w:r>
      <w:r>
        <w:t xml:space="preserve">for category 100–999) rather than midpoint or maximum values to ensure temporal analyses reflected genuine population shifts on an order of magnitude scale.</w:t>
      </w:r>
    </w:p>
    <w:bookmarkEnd w:id="42"/>
    <w:bookmarkEnd w:id="43"/>
    <w:bookmarkStart w:id="44" w:name="temperature-data-extraction"/>
    <w:p>
      <w:pPr>
        <w:pStyle w:val="Heading2"/>
      </w:pPr>
      <w:r>
        <w:t xml:space="preserve">Temperature Data Extraction</w:t>
      </w:r>
    </w:p>
    <w:p>
      <w:pPr>
        <w:pStyle w:val="FirstParagraph"/>
      </w:pPr>
      <w:r>
        <w:t xml:space="preserve">Given that temperature may influence monarch activity and potentially confound wind effects, ambient temperature data were extracted from camera images (30-minute interval). Cameras displayed temperature readings on the image overlay, but values were not accessible through EXIF metadata, so we developed an automated optical character recognition (OCR) technology Python script using preprocessing strategies and pattern matching algorithms to accommodate variations in image quality and display characteristics. We then manually reviewed and corrected edge cases through visualization of deployment-specific time series that enabled identification and correction of erroneous values. This process ensured complete and validated time series temperature values.</w:t>
      </w:r>
    </w:p>
    <w:bookmarkEnd w:id="44"/>
    <w:bookmarkStart w:id="55" w:name="statistical-analysis"/>
    <w:p>
      <w:pPr>
        <w:pStyle w:val="Heading2"/>
      </w:pPr>
      <w:r>
        <w:t xml:space="preserve">Statistical Analysis</w:t>
      </w:r>
    </w:p>
    <w:bookmarkStart w:id="45" w:name="data-preparation"/>
    <w:p>
      <w:pPr>
        <w:pStyle w:val="Heading3"/>
      </w:pPr>
      <w:r>
        <w:t xml:space="preserve">Data Preparation</w:t>
      </w:r>
    </w:p>
    <w:p>
      <w:pPr>
        <w:pStyle w:val="FirstParagraph"/>
      </w:pPr>
      <w:r>
        <w:t xml:space="preserve">We employed a lag-based framework to capture the temporal dynamics of butterfly responses to environmental changes, comparing the BI between consecutive daytime 30-minute intervals. Observation pairs were constructed by matching BI at time</w:t>
      </w:r>
      <w:r>
        <w:t xml:space="preserve"> </w:t>
      </w:r>
      <m:oMath>
        <m:r>
          <m:t>t</m:t>
        </m:r>
      </m:oMath>
      <w:r>
        <w:t xml:space="preserve"> </w:t>
      </w:r>
      <w:r>
        <w:t xml:space="preserve">with BI at time</w:t>
      </w:r>
      <w:r>
        <w:t xml:space="preserve"> </w:t>
      </w:r>
      <m:oMath>
        <m:r>
          <m:t>t</m:t>
        </m:r>
        <m:r>
          <m:rPr>
            <m:sty m:val="p"/>
          </m:rPr>
          <m:t>−</m:t>
        </m:r>
        <m:r>
          <m:t>30</m:t>
        </m:r>
      </m:oMath>
      <w:r>
        <w:t xml:space="preserve"> </w:t>
      </w:r>
      <w:r>
        <w:t xml:space="preserve">minutes, applying a</w:t>
      </w:r>
      <w:r>
        <w:t xml:space="preserve"> </w:t>
      </w:r>
      <m:oMath>
        <m:r>
          <m:rPr>
            <m:sty m:val="p"/>
          </m:rPr>
          <m:t>±</m:t>
        </m:r>
      </m:oMath>
      <w:r>
        <w:t xml:space="preserve">5-minute tolerance window to accommodate minor temporal variations in image capture. Observation pairs where both time points recorded zero butterflies were excluded as uninformative, reducing the dataset from approximately 2,500 to 1,894 pairs across 115 unique deployment-day combinations. The response variable (change in BI between time points) underwent cube root transformation to achieve approximate normality while preserving directional information:</w:t>
      </w:r>
      <w:r>
        <w:t xml:space="preserve"> </w:t>
      </w:r>
      <m:oMath>
        <m:r>
          <m:t>y</m:t>
        </m:r>
        <m:r>
          <m:rPr>
            <m:sty m:val="p"/>
          </m:rPr>
          <m:t>=</m:t>
        </m:r>
        <m:r>
          <m:rPr>
            <m:nor/>
            <m:sty m:val="p"/>
          </m:rPr>
          <m:t>sign</m:t>
        </m:r>
        <m:r>
          <m:rPr>
            <m:sty m:val="p"/>
          </m:rPr>
          <m:t>(</m:t>
        </m:r>
        <m:r>
          <m:rPr>
            <m:sty m:val="p"/>
          </m:rPr>
          <m:t>Δ</m:t>
        </m:r>
        <m:r>
          <m:rPr>
            <m:sty m:val="p"/>
          </m:rPr>
          <m:t>)</m:t>
        </m:r>
        <m:r>
          <m:rPr>
            <m:sty m:val="p"/>
          </m:rPr>
          <m:t>×</m:t>
        </m:r>
        <m:r>
          <m:rPr>
            <m:sty m:val="p"/>
          </m:rPr>
          <m:t>|</m:t>
        </m:r>
        <m:r>
          <m:rPr>
            <m:sty m:val="p"/>
          </m:rPr>
          <m:t>Δ</m:t>
        </m:r>
        <m:sSup>
          <m:e>
            <m:r>
              <m:rPr>
                <m:sty m:val="p"/>
              </m:rPr>
              <m:t>|</m:t>
            </m:r>
          </m:e>
          <m:sup>
            <m:r>
              <m:t>1</m:t>
            </m:r>
            <m:r>
              <m:rPr>
                <m:sty m:val="p"/>
              </m:rPr>
              <m:t>/</m:t>
            </m:r>
            <m:r>
              <m:t>3</m:t>
            </m:r>
          </m:sup>
        </m:sSup>
      </m:oMath>
      <w:r>
        <w:t xml:space="preserve">, where</w:t>
      </w:r>
      <w:r>
        <w:t xml:space="preserve"> </w:t>
      </w:r>
      <m:oMath>
        <m:r>
          <m:rPr>
            <m:sty m:val="p"/>
          </m:rPr>
          <m:t>Δ</m:t>
        </m:r>
      </m:oMath>
      <w:r>
        <w:t xml:space="preserve"> </w:t>
      </w:r>
      <w:r>
        <w:t xml:space="preserve">represents the difference in BI (</w:t>
      </w:r>
      <m:oMath>
        <m:r>
          <m:rPr>
            <m:sty m:val="p"/>
          </m:rPr>
          <m:t>Δ</m:t>
        </m:r>
      </m:oMath>
      <w:r>
        <w:t xml:space="preserve">BI). Data analysis revealed generally normal distributions except for bimodality in the</w:t>
      </w:r>
      <w:r>
        <w:t xml:space="preserve"> </w:t>
      </w:r>
      <m:oMath>
        <m:r>
          <m:rPr>
            <m:sty m:val="p"/>
          </m:rPr>
          <m:t>Δ</m:t>
        </m:r>
      </m:oMath>
      <w:r>
        <w:t xml:space="preserve">BI data from SC deployment 8 where a large cluster abruptly declined to near zero without a corresponding change in any environmental variable. Regardless of the bimodality we retained SC8 in the final analysis for three reasons: to maximize sample size, avoid arbitrary data exclusion, and sensitivity analysis showed that the cube root transformation of</w:t>
      </w:r>
      <w:r>
        <w:t xml:space="preserve"> </w:t>
      </w:r>
      <m:oMath>
        <m:r>
          <m:rPr>
            <m:sty m:val="p"/>
          </m:rPr>
          <m:t>Δ</m:t>
        </m:r>
      </m:oMath>
      <w:r>
        <w:t xml:space="preserve">BI adequately addressed the distributional concerns, and model selection and parameter estimates remaining consistent whether SC8 was included or excluded.</w:t>
      </w:r>
    </w:p>
    <w:bookmarkEnd w:id="45"/>
    <w:bookmarkStart w:id="46" w:name="variable-selection"/>
    <w:p>
      <w:pPr>
        <w:pStyle w:val="Heading3"/>
      </w:pPr>
      <w:r>
        <w:t xml:space="preserve">Variable Selection</w:t>
      </w:r>
    </w:p>
    <w:p>
      <w:pPr>
        <w:pStyle w:val="FirstParagraph"/>
      </w:pPr>
      <w:r>
        <w:t xml:space="preserve">Predictor variables were selected to test specific hypotheses while avoiding multicollinearity. Maximum wind gust speed during each 30-minute interval served as the primary wind metric, while average sustained speed, modal gust, and gust standard deviation were excluded due to high correlation (</w:t>
      </w:r>
      <m:oMath>
        <m:r>
          <m:t>r</m:t>
        </m:r>
        <m:r>
          <m:rPr>
            <m:sty m:val="p"/>
          </m:rPr>
          <m:t>&gt;</m:t>
        </m:r>
        <m:r>
          <m:t>0.75</m:t>
        </m:r>
      </m:oMath>
      <w:r>
        <w:t xml:space="preserve">). Other environmental predictors were average temperature between observation pairs, number of butterflies in direct sunlight at the</w:t>
      </w:r>
      <w:r>
        <w:t xml:space="preserve"> </w:t>
      </w:r>
      <m:oMath>
        <m:r>
          <m:t>t</m:t>
        </m:r>
      </m:oMath>
      <w:r>
        <w:t xml:space="preserve"> </w:t>
      </w:r>
      <w:r>
        <w:t xml:space="preserve">time point. To capture diurnal patterns, the time of day was defined as minutes elapsed since the first observation of each day. BI at the previous time point was included as a control variable, enabling distinction between proportional and absolute changes in abundance. When included, this variable tests effects on proportional change; when excluded, models test effects on absolute change.</w:t>
      </w:r>
    </w:p>
    <w:bookmarkEnd w:id="46"/>
    <w:bookmarkStart w:id="47" w:name="model-framework"/>
    <w:p>
      <w:pPr>
        <w:pStyle w:val="Heading3"/>
      </w:pPr>
      <w:r>
        <w:t xml:space="preserve">Model Framework</w:t>
      </w:r>
    </w:p>
    <w:p>
      <w:pPr>
        <w:pStyle w:val="FirstParagraph"/>
      </w:pPr>
      <w:r>
        <w:t xml:space="preserve">To test for environmental effects on the response variable (</w:t>
      </w:r>
      <m:oMath>
        <m:r>
          <m:rPr>
            <m:sty m:val="p"/>
          </m:rPr>
          <m:t>Δ</m:t>
        </m:r>
      </m:oMath>
      <w:r>
        <w:t xml:space="preserve">BI), the analyses implemented generalized additive mixed models (GAMMs) through the mgcv package in R. Model selection compared 52 named candidate models using AIC. The candidate set included 48 base models organized into two frameworks, 24 models that included previous BI and 24 models that excluded previous BI. Within each framework, models included baseline terms, single predictors, additive combinations, linear two-way and three-way interactions among the wind metric, average temperature, direct-sun BI, and smooth terms for nonlinear relationships. Four additional candidates explicitly tested tensor-product interactions between the wind metric and direct-sun BI, with the same four structures repeated in the threshold analysis after replacing maximum wind gust with minutes at or above 2 m/s. Random effects accounted for variation at three hierarchical levels: deployment location, observer, and deployment-day. Temporal autocorrelation within days was addressed using a first-order autoregressive (AR1) correlation structure grouped by deployment-day. All models were fitted using restricted maximum likelihood (REML) estimation.</w:t>
      </w:r>
    </w:p>
    <w:p>
      <w:pPr>
        <w:pStyle w:val="BodyText"/>
      </w:pPr>
      <w:r>
        <w:t xml:space="preserve">To specifically test for threshold effects of the Wind Disruption Hypothesis’ 2 m/s, we repeated the same 52 named model structures with a threshold-based predictor defined as the count of minutes within each 30-minute period where wind gusts equaled or exceeded 2 m/s. This variable ranged from 0 to 30 minutes and was tested using the same model structures described above. Because both analyses used the same response data and model structures, differing only in whether wind was represented as a continuous gust speed or a 2 m/s threshold-duration metric, AIC values were treated as comparable across the two model sets.</w:t>
      </w:r>
    </w:p>
    <w:bookmarkEnd w:id="47"/>
    <w:bookmarkStart w:id="48" w:name="model-validation"/>
    <w:p>
      <w:pPr>
        <w:pStyle w:val="Heading3"/>
      </w:pPr>
      <w:r>
        <w:t xml:space="preserve">Model Validation</w:t>
      </w:r>
    </w:p>
    <w:p>
      <w:pPr>
        <w:pStyle w:val="FirstParagraph"/>
      </w:pPr>
      <w:r>
        <w:t xml:space="preserve">Model assumptions were verified through standard residual diagnostics including examination of residual distributions, fitted versus residual plots, and quantile-quantile plots. Convergence was confirmed for all candidate models in both the continuous and threshold analyses. Model performance and predictor significance were evaluated through AIC comparison, with models differing by less than 2 AIC units considered equivalent. For close comparisons among models with different fitted degrees of freedom, we also inspected log-likelihoods and parameter counts to evaluate whether additional terms improved fit enough to justify added complexity.</w:t>
      </w:r>
    </w:p>
    <w:bookmarkEnd w:id="48"/>
    <w:bookmarkStart w:id="49" w:name="statistical-power-analysis"/>
    <w:p>
      <w:pPr>
        <w:pStyle w:val="Heading3"/>
      </w:pPr>
      <w:r>
        <w:t xml:space="preserve">Statistical Power Analysis</w:t>
      </w:r>
    </w:p>
    <w:p>
      <w:pPr>
        <w:pStyle w:val="FirstParagraph"/>
      </w:pPr>
      <w:r>
        <w:t xml:space="preserve">We evaluated our statistical ability to detect various wind effect sizes given 1,894 paired observations by conducting a simulation-based power analysis. We simulated 200 datasets from the best-fitting model (which excluded wind effects) and artificially introduced wind effects of known magnitude ranging from 0.05 to 0.20 standard deviations of the response variable. For each effect size, we refitted models including wind terms to determine the proportion of simulations where the artificial effect was detected as statistically significant (</w:t>
      </w:r>
      <m:oMath>
        <m:r>
          <m:t>α</m:t>
        </m:r>
        <m:r>
          <m:rPr>
            <m:sty m:val="p"/>
          </m:rPr>
          <m:t>=</m:t>
        </m:r>
        <m:r>
          <m:t>0.05</m:t>
        </m:r>
      </m:oMath>
      <w:r>
        <w:t xml:space="preserve">). This simulation approach accounts for the complexity of our GAMM framework and hierarchical data structure, providing robust estimates of statistical power for detecting wind effects across a range of biologically plausible magnitudes.</w:t>
      </w:r>
    </w:p>
    <w:bookmarkEnd w:id="49"/>
    <w:bookmarkStart w:id="54" w:name="dynamic-window-analysis"/>
    <w:p>
      <w:pPr>
        <w:pStyle w:val="Heading3"/>
      </w:pPr>
      <w:r>
        <w:t xml:space="preserve">Dynamic Window Analysis</w:t>
      </w:r>
    </w:p>
    <w:p>
      <w:pPr>
        <w:pStyle w:val="FirstParagraph"/>
      </w:pPr>
      <w:r>
        <w:t xml:space="preserve">The response time expected for changes in the response variable is technically unknown. The Wind Disruption Hypothesis does not address response time(s), but we surmise they should be a function of environmental conditions and butterfly biology. In the analyses outlined above (30-minute), we assumed that the response time could be at that level of resolution (30-minutes) under flight temperature conditions or after shivering. But it could be longer. For example, a response could occur over the course of one day: a daytime disruptive wind event, later followed by a threshold temperature that might support a behavioral response. Or an evening/overnight disruptive wind event might lead to a response the following day. Furthermore, monarchs may make clustering decisions on longer temporal horizons by not responding to immediate environmental conditions. To examine whether day-to-day changes in BI depend on cumulative weather exposure and are not just dependent on changes over a 30-minute interval, we conducted a complementary analysis using dynamic temporal windows. We tested two longer time windows to examine the robustness of our findings based on the 30-minute response window. First, a</w:t>
      </w:r>
      <w:r>
        <w:t xml:space="preserve"> </w:t>
      </w:r>
      <w:r>
        <w:t xml:space="preserve">“24-hour”</w:t>
      </w:r>
      <w:r>
        <w:t xml:space="preserve"> </w:t>
      </w:r>
      <w:r>
        <w:t xml:space="preserve">window provided a standardized comparison, extending exactly 24 hours from the previous day’s maximum BI (i.e., allowing for the maximum possible response over a fixed time). Second, a biologically aligned</w:t>
      </w:r>
      <w:r>
        <w:t xml:space="preserve"> </w:t>
      </w:r>
      <w:r>
        <w:t xml:space="preserve">“Next Day Window”</w:t>
      </w:r>
      <w:r>
        <w:t xml:space="preserve"> </w:t>
      </w:r>
      <w:r>
        <w:t xml:space="preserve">spanning from the previous day’s maximum BI to the current day’s last observation, approximating functional sunset on the second day when roosting decisions would have a second chance to be finalized. The Next Day Window interval might thus allow for roosting decisions that could not be made the previous evening because of temperatures below flight threshold. This window varied in duration (mean = 29.6 hours) capturing the exposure period of a peak aggregation through two potential opportunities for a subsequent roosting decision.</w:t>
      </w:r>
    </w:p>
    <w:p>
      <w:pPr>
        <w:pStyle w:val="BodyText"/>
      </w:pPr>
      <w:r>
        <w:t xml:space="preserve">Daily aggregate metrics were computed for each deployment-day combination, including maximum BI, 95th percentile BI, and mean of the top three BIs. We retained only days with 15–25 daytime photographs to ensure adequate temporal coverage, then constructed consecutive day pairs separated by exactly one day. Pairs where both days had a maximum BI of zero were excluded as uninformative. The response variable, defined as the change in maximum daily BI over the designated dynamic window, underwent signed square root transformation to achieve approximate normality while preserving directional information.</w:t>
      </w:r>
      <w:r>
        <w:t xml:space="preserve"> </w:t>
      </w:r>
      <w:r>
        <w:t xml:space="preserve">Weather metric variable selection for the dynamic window analyses began with 19 candidate predictors. Candidates included: spanning baseline BI metrics, temperature summaries (minimum, maximum, and mean values, plus cumulative metrics such as degree-hours above 15</w:t>
      </w:r>
      <m:oMath>
        <m:sSup>
          <m:e>
            <m:r>
              <m:t>​</m:t>
            </m:r>
          </m:e>
          <m:sup>
            <m:r>
              <m:rPr>
                <m:sty m:val="p"/>
              </m:rPr>
              <m:t>∘</m:t>
            </m:r>
          </m:sup>
        </m:sSup>
      </m:oMath>
      <w:r>
        <w:t xml:space="preserve">C), wind exposure measures (average sustained speed, maximum gust, cumulative gust exposure, and time above the proposed 2 m/s threshold), and cumulative sun exposure (the cumulative BIs observed in direct sunlight across all frames within the window). The sun exposure candidate predictor integrated both exposure duration and instantaneous abundance. We conducted correlation analysis to identify multicollinearity within groups of predictors. Based on this analysis, we selected predictors that minimized redundancy while maintaining interpretability and adequate degrees of freedom relative to sample size. We selected maximum wind gust as the primary wind metric because it captured the variance of all wind variables in a single interpretable measure, showed high correlation with sustained speed, gust summation, and threshold exceedance metrics, and duplicated our selection for the 30-minute analysis. Mode wind gust was excluded because it contained too few unique values, causing model convergence issues. We excluded the candidate predictors mean temperature and degree-hours above 15</w:t>
      </w:r>
      <m:oMath>
        <m:sSup>
          <m:e>
            <m:r>
              <m:t>​</m:t>
            </m:r>
          </m:e>
          <m:sup>
            <m:r>
              <m:rPr>
                <m:sty m:val="p"/>
              </m:rPr>
              <m:t>∘</m:t>
            </m:r>
          </m:sup>
        </m:sSup>
      </m:oMath>
      <w:r>
        <w:t xml:space="preserve">C to reduce multicollinearity. We selected three temperature candidate predictors, minimum and maximum window temperature and temperature at the previous day’s maximum count. We also included cumulative direct sun exposure as the primary predictor for testing the wind and sun interaction. For the Next Day Window analysis, we included lag duration (hours) as a control variable to account for varying window lengths. Overall, we required 95% data completeness across temperature, wind, and daylight observations, calculated as the geometric mean of coverage ratios. Thus, the final screened predictor set for model selection included previous-day maximum BI, minimum temperature, maximum temperature, temperature at the previous day’s maximum count, maximum wind gust, and cumulative direct sun exposure. The Next Day Window models also included lag duration as a window-length control, while the fixed 24-hour models did not.</w:t>
      </w:r>
    </w:p>
    <w:p>
      <w:pPr>
        <w:pStyle w:val="BodyText"/>
      </w:pPr>
      <w:r>
        <w:t xml:space="preserve">Model selection followed the same information-theoretic approach as the 30-minute analysis. We evaluated 78 candidate models for the Next Day Window and 76 candidate models for the fixed 24-hour window using GAMMs with deployment random intercepts and AR(1) temporal correlation structures. The candidate set included null models, single predictors, additive combinations, and models with smooth interaction terms. To address potential overfitting given the reduced sample size (</w:t>
      </w:r>
      <m:oMath>
        <m:r>
          <m:t>n</m:t>
        </m:r>
      </m:oMath>
      <w:r>
        <w:t xml:space="preserve"> </w:t>
      </w:r>
      <w:r>
        <w:t xml:space="preserve">= 94–96 pairs), we applied conservative thresholds for the ratio of effective degrees of freedom to sample size and conducted leave-one-deployment-out cross-validation on top-performing models.</w:t>
      </w:r>
    </w:p>
    <w:bookmarkStart w:id="53" w:name="fig:temporal_windows"/>
    <w:p>
      <w:pPr>
        <w:pStyle w:val="CaptionedFigure"/>
        <w:keepNext/>
        <w:spacing w:before="80" w:after="0"/>
        <w:jc w:val="center"/>
      </w:pPr>
      <w:r>
        <w:drawing>
          <wp:inline>
            <wp:extent cx="5074920" cy="2520735"/>
            <wp:effectExtent b="0" l="0" r="0" t="0"/>
            <wp:docPr descr="" title="" id="51" name="Picture"/>
            <a:graphic>
              <a:graphicData uri="http://schemas.openxmlformats.org/drawingml/2006/picture">
                <pic:pic>
                  <pic:nvPicPr>
                    <pic:cNvPr descr="figures/temporal_windows.png" id="52" name="Picture"/>
                    <pic:cNvPicPr>
                      <a:picLocks noChangeArrowheads="1" noChangeAspect="1"/>
                    </pic:cNvPicPr>
                  </pic:nvPicPr>
                  <pic:blipFill>
                    <a:blip r:embed="rId50"/>
                    <a:stretch>
                      <a:fillRect/>
                    </a:stretch>
                  </pic:blipFill>
                  <pic:spPr bwMode="auto">
                    <a:xfrm>
                      <a:off x="0" y="0"/>
                      <a:ext cx="5074920" cy="2520735"/>
                    </a:xfrm>
                    <a:prstGeom prst="rect">
                      <a:avLst/>
                    </a:prstGeom>
                    <a:noFill/>
                    <a:ln w="9525">
                      <a:noFill/>
                      <a:headEnd/>
                      <a:tailEnd/>
                    </a:ln>
                  </pic:spPr>
                </pic:pic>
              </a:graphicData>
            </a:graphic>
          </wp:inline>
        </w:drawing>
      </w:r>
    </w:p>
    <w:p>
      <w:pPr>
        <w:pStyle w:val="ImageCaption"/>
        <w:jc w:val="left"/>
      </w:pPr>
      <w:r>
        <w:t>Figure 1. Temporal analysis windows for monarch butterfly monitoring. BI is butterfly index. The figure illustrates two complementary approaches: (1) 30-minute lag analysis comparing consecutive observation intervals to capture immediate responses to environmental changes, and (2) Next Day Window analysis spanning from the previous day’s maximum BI to the current day’s final observation (mean duration 29.6 hours). Camera observations occur at 30-minute intervals during daylight hours only. Background shading indicates day-night cycles with transitions at sunrise and sunset.</w:t>
      </w:r>
    </w:p>
    <w:bookmarkEnd w:id="53"/>
    <w:bookmarkEnd w:id="54"/>
    <w:bookmarkEnd w:id="55"/>
    <w:bookmarkEnd w:id="56"/>
    <w:bookmarkStart w:id="114" w:name="results"/>
    <w:p>
      <w:pPr>
        <w:pStyle w:val="Heading1"/>
      </w:pPr>
      <w:r>
        <w:t xml:space="preserve">Results</w:t>
      </w:r>
    </w:p>
    <w:bookmarkStart w:id="61" w:name="descriptive-statistics"/>
    <w:p>
      <w:pPr>
        <w:pStyle w:val="Heading2"/>
      </w:pPr>
      <w:r>
        <w:t xml:space="preserve">Descriptive Statistics</w:t>
      </w:r>
    </w:p>
    <w:p>
      <w:pPr>
        <w:pStyle w:val="FirstParagraph"/>
      </w:pPr>
      <w:r>
        <w:t xml:space="preserve">Environmental conditions varied substantially across the 80-day monitoring period at SC and UDMH during the 2023–2024 overwintering season. The dataset comprised 2,028 unique observations collected at 30-minute intervals during daylight hours (06:00–17:00) from November 17, 2023, to February 4, 2024, totaling 1,014 observation hours across 115 unique deployment-days and producing approximately 56,000 images. Of these, 1,894 formed consecutive and informative 30-minute pairs used in the analysis.</w:t>
      </w:r>
    </w:p>
    <w:p>
      <w:pPr>
        <w:pStyle w:val="BodyText"/>
      </w:pPr>
      <w:r>
        <w:t xml:space="preserve">Wind speeds ranged from complete calm to moderately strong, with mean = 2.2</w:t>
      </w:r>
      <w:r>
        <w:t xml:space="preserve"> </w:t>
      </w:r>
      <m:oMath>
        <m:r>
          <m:rPr>
            <m:sty m:val="p"/>
          </m:rPr>
          <m:t>±</m:t>
        </m:r>
      </m:oMath>
      <w:r>
        <w:t xml:space="preserve"> </w:t>
      </w:r>
      <w:r>
        <w:t xml:space="preserve">1.4 m/s, median = 2.2 m/s, and maximum gust speeds reaching 12.4 m/s. The interquartile range of 1.3–3.0 m/s indicated that most observations occurred under relatively mild wind conditions. Temperatures showed considerable variation throughout the monitoring period, ranging from 3.0 to 30.0</w:t>
      </w:r>
      <m:oMath>
        <m:sSup>
          <m:e>
            <m:r>
              <m:t>​</m:t>
            </m:r>
          </m:e>
          <m:sup>
            <m:r>
              <m:rPr>
                <m:sty m:val="p"/>
              </m:rPr>
              <m:t>∘</m:t>
            </m:r>
          </m:sup>
        </m:sSup>
      </m:oMath>
      <w:r>
        <w:t xml:space="preserve">C, with mean = 14.5</w:t>
      </w:r>
      <w:r>
        <w:t xml:space="preserve"> </w:t>
      </w:r>
      <m:oMath>
        <m:r>
          <m:rPr>
            <m:sty m:val="p"/>
          </m:rPr>
          <m:t>±</m:t>
        </m:r>
      </m:oMath>
      <w:r>
        <w:t xml:space="preserve"> </w:t>
      </w:r>
      <w:r>
        <w:t xml:space="preserve">3.9</w:t>
      </w:r>
      <m:oMath>
        <m:sSup>
          <m:e>
            <m:r>
              <m:t>​</m:t>
            </m:r>
          </m:e>
          <m:sup>
            <m:r>
              <m:rPr>
                <m:sty m:val="p"/>
              </m:rPr>
              <m:t>∘</m:t>
            </m:r>
          </m:sup>
        </m:sSup>
      </m:oMath>
      <w:r>
        <w:t xml:space="preserve">C, median = 14.0</w:t>
      </w:r>
      <m:oMath>
        <m:sSup>
          <m:e>
            <m:r>
              <m:t>​</m:t>
            </m:r>
          </m:e>
          <m:sup>
            <m:r>
              <m:rPr>
                <m:sty m:val="p"/>
              </m:rPr>
              <m:t>∘</m:t>
            </m:r>
          </m:sup>
        </m:sSup>
      </m:oMath>
      <w:r>
        <w:t xml:space="preserve">C, and an interquartile range of 12.0–17.0</w:t>
      </w:r>
      <m:oMath>
        <m:sSup>
          <m:e>
            <m:r>
              <m:t>​</m:t>
            </m:r>
          </m:e>
          <m:sup>
            <m:r>
              <m:rPr>
                <m:sty m:val="p"/>
              </m:rPr>
              <m:t>∘</m:t>
            </m:r>
          </m:sup>
        </m:sSup>
      </m:oMath>
      <w:r>
        <w:t xml:space="preserve">C typical of California coastal winter conditions. Direct solar exposure of clustering monarchs occurred in 30.2% of observations (</w:t>
      </w:r>
      <m:oMath>
        <m:r>
          <m:t>n</m:t>
        </m:r>
      </m:oMath>
      <w:r>
        <w:t xml:space="preserve"> </w:t>
      </w:r>
      <w:r>
        <w:t xml:space="preserve">= 612), with butterflies actively basking when present in sunlight. When direct sunlight was available, an average of 16.8 individual butterflies occupied sunlit positions (range: 1–295), though most observations recorded no butterflies in direct sun, with the distribution heavily skewed toward low or zero values.</w:t>
      </w:r>
    </w:p>
    <w:p>
      <w:pPr>
        <w:pStyle w:val="BodyText"/>
      </w:pPr>
      <w:r>
        <w:t xml:space="preserve">Collectively, butterfly abundance ranged from 0 to 950 individuals per image, with a mean of 80.9</w:t>
      </w:r>
      <w:r>
        <w:t xml:space="preserve"> </w:t>
      </w:r>
      <m:oMath>
        <m:r>
          <m:rPr>
            <m:sty m:val="p"/>
          </m:rPr>
          <m:t>±</m:t>
        </m:r>
      </m:oMath>
      <w:r>
        <w:t xml:space="preserve"> </w:t>
      </w:r>
      <w:r>
        <w:t xml:space="preserve">101.4 and median of 36 butterflies. The interquartile range was 8–118, and zero-count observations comprised 3.5% of the dataset (</w:t>
      </w:r>
      <m:oMath>
        <m:r>
          <m:t>n</m:t>
        </m:r>
      </m:oMath>
      <w:r>
        <w:t xml:space="preserve"> </w:t>
      </w:r>
      <w:r>
        <w:t xml:space="preserve">= 71). The BI histogram was strongly right skewed, with a secondary concentration at higher BI values driven largely by SC8 and other large-cluster deployments (Figure 2). The largest mean 30-minute changes in BI occurred in late morning and early afternoon, consistent with daytime departures from and returns to clusters.</w:t>
      </w:r>
    </w:p>
    <w:bookmarkStart w:id="60" w:name="fig:descriptive_bi"/>
    <w:p>
      <w:pPr>
        <w:pStyle w:val="CaptionedFigure"/>
        <w:keepNext/>
        <w:spacing w:before="80" w:after="0"/>
        <w:jc w:val="center"/>
      </w:pPr>
      <w:r>
        <w:drawing>
          <wp:inline>
            <wp:extent cx="5074920" cy="2537460"/>
            <wp:effectExtent b="0" l="0" r="0" t="0"/>
            <wp:docPr descr="" title="" id="58" name="Picture"/>
            <a:graphic>
              <a:graphicData uri="http://schemas.openxmlformats.org/drawingml/2006/picture">
                <pic:pic>
                  <pic:nvPicPr>
                    <pic:cNvPr descr="figures/descriptive_bi.png" id="59" name="Picture"/>
                    <pic:cNvPicPr>
                      <a:picLocks noChangeArrowheads="1" noChangeAspect="1"/>
                    </pic:cNvPicPr>
                  </pic:nvPicPr>
                  <pic:blipFill>
                    <a:blip r:embed="rId57"/>
                    <a:stretch>
                      <a:fillRect/>
                    </a:stretch>
                  </pic:blipFill>
                  <pic:spPr bwMode="auto">
                    <a:xfrm>
                      <a:off x="0" y="0"/>
                      <a:ext cx="5074920" cy="2537460"/>
                    </a:xfrm>
                    <a:prstGeom prst="rect">
                      <a:avLst/>
                    </a:prstGeom>
                    <a:noFill/>
                    <a:ln w="9525">
                      <a:noFill/>
                      <a:headEnd/>
                      <a:tailEnd/>
                    </a:ln>
                  </pic:spPr>
                </pic:pic>
              </a:graphicData>
            </a:graphic>
          </wp:inline>
        </w:drawing>
      </w:r>
    </w:p>
    <w:p>
      <w:pPr>
        <w:pStyle w:val="ImageCaption"/>
        <w:jc w:val="left"/>
      </w:pPr>
      <w:r>
        <w:t>Figure 2. Distribution of monarch abundance and 30-minute cluster change. BI is butterfly index. (A) Histogram of BI across 2,028 unique observation images. (B) Mean 30-minute BI by hour of the ending observation, based on available 1,894 paired intervals. Error bars show 1 SE across deployment-day hourly means.</w:t>
      </w:r>
    </w:p>
    <w:bookmarkEnd w:id="60"/>
    <w:bookmarkEnd w:id="61"/>
    <w:bookmarkStart w:id="66" w:name="X85848a48530dc1b053b7c034834028e732ff6ad"/>
    <w:p>
      <w:pPr>
        <w:pStyle w:val="Heading2"/>
      </w:pPr>
      <w:r>
        <w:t xml:space="preserve">Linear Regression Between Maximum Wind Speed and Cluster Dynamics</w:t>
      </w:r>
    </w:p>
    <w:p>
      <w:pPr>
        <w:pStyle w:val="FirstParagraph"/>
      </w:pPr>
      <w:r>
        <w:t xml:space="preserve">We tested the most fundamental prediction of the Wind Disruption Hypothesis: whether wind speed alone could explain changes in monarch cluster size (</w:t>
      </w:r>
      <m:oMath>
        <m:r>
          <m:rPr>
            <m:sty m:val="p"/>
          </m:rPr>
          <m:t>Δ</m:t>
        </m:r>
      </m:oMath>
      <w:r>
        <w:t xml:space="preserve">BI). The 30-minute window (Figure 3A) revealed no statistically significant relationship between maximum wind speed and</w:t>
      </w:r>
      <w:r>
        <w:t xml:space="preserve"> </w:t>
      </w:r>
      <m:oMath>
        <m:r>
          <m:rPr>
            <m:sty m:val="p"/>
          </m:rPr>
          <m:t>Δ</m:t>
        </m:r>
      </m:oMath>
      <w:r>
        <w:t xml:space="preserve">BI (</w:t>
      </w:r>
      <m:oMath>
        <m:r>
          <m:t>β</m:t>
        </m:r>
      </m:oMath>
      <w:r>
        <w:t xml:space="preserve"> </w:t>
      </w:r>
      <w:r>
        <w:t xml:space="preserve">= 1.19 butterflies per m/s, SE = 0.66,</w:t>
      </w:r>
      <w:r>
        <w:t xml:space="preserve"> </w:t>
      </w:r>
      <m:oMath>
        <m:r>
          <m:t>p</m:t>
        </m:r>
      </m:oMath>
      <w:r>
        <w:t xml:space="preserve"> </w:t>
      </w:r>
      <w:r>
        <w:t xml:space="preserve">= 0.073,</w:t>
      </w:r>
      <w:r>
        <w:t xml:space="preserve"> </w:t>
      </w:r>
      <m:oMath>
        <m:r>
          <m:t>n</m:t>
        </m:r>
      </m:oMath>
      <w:r>
        <w:t xml:space="preserve"> </w:t>
      </w:r>
      <w:r>
        <w:t xml:space="preserve">= 1,894), with a negligible correlation (</w:t>
      </w:r>
      <m:oMath>
        <m:r>
          <m:t>r</m:t>
        </m:r>
      </m:oMath>
      <w:r>
        <w:t xml:space="preserve"> </w:t>
      </w:r>
      <w:r>
        <w:t xml:space="preserve">= 0.041,</w:t>
      </w:r>
      <w:r>
        <w:t xml:space="preserve"> </w:t>
      </w:r>
      <m:oMath>
        <m:sSup>
          <m:e>
            <m:r>
              <m:t>R</m:t>
            </m:r>
          </m:e>
          <m:sup>
            <m:r>
              <m:t>2</m:t>
            </m:r>
          </m:sup>
        </m:sSup>
      </m:oMath>
      <w:r>
        <w:t xml:space="preserve"> </w:t>
      </w:r>
      <w:r>
        <w:t xml:space="preserve">= 0.002) explaining only 0.2% of the variance in</w:t>
      </w:r>
      <w:r>
        <w:t xml:space="preserve"> </w:t>
      </w:r>
      <m:oMath>
        <m:r>
          <m:rPr>
            <m:sty m:val="p"/>
          </m:rPr>
          <m:t>Δ</m:t>
        </m:r>
      </m:oMath>
      <w:r>
        <w:t xml:space="preserve">BI. Data points scattered uniformly across all wind speeds from calm conditions to 12.4 m/s. Additionally, a heuristic test of the Wind Disruption Hypothesis 2 m/s behavioral threshold (Figure 3A) showed no apparent demarcation in butterfly responses, with similar variance in</w:t>
      </w:r>
      <w:r>
        <w:t xml:space="preserve"> </w:t>
      </w:r>
      <m:oMath>
        <m:r>
          <m:rPr>
            <m:sty m:val="p"/>
          </m:rPr>
          <m:t>Δ</m:t>
        </m:r>
      </m:oMath>
      <w:r>
        <w:t xml:space="preserve">BI both above and below this threshold. The Next Day Window analyses (Figure 3B) similarly revealed no significant relationship between maximum wind exposure and</w:t>
      </w:r>
      <w:r>
        <w:t xml:space="preserve"> </w:t>
      </w:r>
      <m:oMath>
        <m:r>
          <m:rPr>
            <m:sty m:val="p"/>
          </m:rPr>
          <m:t>Δ</m:t>
        </m:r>
      </m:oMath>
      <w:r>
        <w:t xml:space="preserve">BI (</w:t>
      </w:r>
      <m:oMath>
        <m:r>
          <m:t>β</m:t>
        </m:r>
      </m:oMath>
      <w:r>
        <w:t xml:space="preserve"> </w:t>
      </w:r>
      <w:r>
        <w:t xml:space="preserve">= 7.57 butterflies per m/s, SE = 5.76,</w:t>
      </w:r>
      <w:r>
        <w:t xml:space="preserve"> </w:t>
      </w:r>
      <m:oMath>
        <m:r>
          <m:t>p</m:t>
        </m:r>
      </m:oMath>
      <w:r>
        <w:t xml:space="preserve"> </w:t>
      </w:r>
      <w:r>
        <w:t xml:space="preserve">= 0.192,</w:t>
      </w:r>
      <w:r>
        <w:t xml:space="preserve"> </w:t>
      </w:r>
      <m:oMath>
        <m:r>
          <m:t>n</m:t>
        </m:r>
      </m:oMath>
      <w:r>
        <w:t xml:space="preserve"> </w:t>
      </w:r>
      <w:r>
        <w:t xml:space="preserve">= 101). The correlation remained weak (</w:t>
      </w:r>
      <m:oMath>
        <m:r>
          <m:t>r</m:t>
        </m:r>
      </m:oMath>
      <w:r>
        <w:t xml:space="preserve"> </w:t>
      </w:r>
      <w:r>
        <w:t xml:space="preserve">= 0.131,</w:t>
      </w:r>
      <w:r>
        <w:t xml:space="preserve"> </w:t>
      </w:r>
      <m:oMath>
        <m:sSup>
          <m:e>
            <m:r>
              <m:t>R</m:t>
            </m:r>
          </m:e>
          <m:sup>
            <m:r>
              <m:t>2</m:t>
            </m:r>
          </m:sup>
        </m:sSup>
      </m:oMath>
      <w:r>
        <w:t xml:space="preserve"> </w:t>
      </w:r>
      <w:r>
        <w:t xml:space="preserve">= 0.017), with wind speed explaining only 1.7% of the variance in</w:t>
      </w:r>
      <w:r>
        <w:t xml:space="preserve"> </w:t>
      </w:r>
      <m:oMath>
        <m:r>
          <m:rPr>
            <m:sty m:val="p"/>
          </m:rPr>
          <m:t>Δ</m:t>
        </m:r>
      </m:oMath>
      <w:r>
        <w:t xml:space="preserve">BI between consecutive days. All observation periods in the Next Day Window analysis experienced maximum wind speeds exceeding the Wind Disruption Hypothesis 2 m/s behavioral threshold but with no apparent response (i.e., winds</w:t>
      </w:r>
      <w:r>
        <w:t xml:space="preserve"> </w:t>
      </w:r>
      <m:oMath>
        <m:r>
          <m:rPr>
            <m:sty m:val="p"/>
          </m:rPr>
          <m:t>&gt;</m:t>
        </m:r>
      </m:oMath>
      <w:r>
        <w:t xml:space="preserve"> </w:t>
      </w:r>
      <w:r>
        <w:t xml:space="preserve">2 m/s do not seem to have been avoided). Likewise, despite consistent exposure to winds that exceeded the threshold, no clear heuristic pattern emerged linking wind intensity to subsequent roost abandonment or growth.</w:t>
      </w:r>
      <w:r>
        <w:t xml:space="preserve"> </w:t>
      </w:r>
      <w:r>
        <w:t xml:space="preserve">These null linear regression relationships indicated that the Wind Disruption Hypothesis alone cannot predict monarch clustering behavior, thus necessitating examination of more complex environmental interactions and conditional relationships that may modulate wind effects.</w:t>
      </w:r>
    </w:p>
    <w:bookmarkStart w:id="65" w:name="fig:wind_linear"/>
    <w:p>
      <w:pPr>
        <w:pStyle w:val="CaptionedFigure"/>
        <w:keepNext/>
        <w:spacing w:before="80" w:after="0"/>
        <w:jc w:val="center"/>
      </w:pPr>
      <w:r>
        <w:drawing>
          <wp:inline>
            <wp:extent cx="5074920" cy="3044952"/>
            <wp:effectExtent b="0" l="0" r="0" t="0"/>
            <wp:docPr descr="" title="" id="63" name="Picture"/>
            <a:graphic>
              <a:graphicData uri="http://schemas.openxmlformats.org/drawingml/2006/picture">
                <pic:pic>
                  <pic:nvPicPr>
                    <pic:cNvPr descr="figures/wind_linear_combined.png" id="64" name="Picture"/>
                    <pic:cNvPicPr>
                      <a:picLocks noChangeArrowheads="1" noChangeAspect="1"/>
                    </pic:cNvPicPr>
                  </pic:nvPicPr>
                  <pic:blipFill>
                    <a:blip r:embed="rId62"/>
                    <a:stretch>
                      <a:fillRect/>
                    </a:stretch>
                  </pic:blipFill>
                  <pic:spPr bwMode="auto">
                    <a:xfrm>
                      <a:off x="0" y="0"/>
                      <a:ext cx="5074920" cy="3044952"/>
                    </a:xfrm>
                    <a:prstGeom prst="rect">
                      <a:avLst/>
                    </a:prstGeom>
                    <a:noFill/>
                    <a:ln w="9525">
                      <a:noFill/>
                      <a:headEnd/>
                      <a:tailEnd/>
                    </a:ln>
                  </pic:spPr>
                </pic:pic>
              </a:graphicData>
            </a:graphic>
          </wp:inline>
        </w:drawing>
      </w:r>
    </w:p>
    <w:p>
      <w:pPr>
        <w:pStyle w:val="ImageCaption"/>
        <w:jc w:val="left"/>
      </w:pPr>
      <w:r>
        <w:t>Figure 3. Maximum wind speed vs. BI across analytical windows. BI is butterfly index. (A) Linear regression of maximum wind speed and BI at 30-minute intervals. Each point represents a paired observation ( = 1,894) of abundance (or BI) over a 30-minute interval. Linear regression showed no significant relationship ( = 1.19, SE = 0.66,  = 0.073,  = 0.041,  = 0.002). (B) Linear regression of maximum wind speed and Next Day Window time interval which is the BI from maximum BI to the next day’s sunset BI (see methods). Each point represents a paired observation ( = 101) of abundance (or BI) over the Next Day Window interval. Linear regression showed no significant relationship ( = 7.57, SE = 5.76,  = 0.192,  = 0.131,  = 0.017). Positive values denote an increase in abundance, negative values denote a decrease, and blue regression lines are shown for reference despite non-significance.</w:t>
      </w:r>
    </w:p>
    <w:bookmarkEnd w:id="65"/>
    <w:bookmarkEnd w:id="66"/>
    <w:bookmarkStart w:id="86" w:name="wind-disruption-analysis"/>
    <w:p>
      <w:pPr>
        <w:pStyle w:val="Heading2"/>
      </w:pPr>
      <w:r>
        <w:t xml:space="preserve">Wind Disruption Analysis</w:t>
      </w:r>
    </w:p>
    <w:p>
      <w:pPr>
        <w:pStyle w:val="FirstParagraph"/>
      </w:pPr>
      <w:r>
        <w:t xml:space="preserve">To examine more complex environmental interactions and conditional relationships that may modulate how monarchs respond to wind effects and other immediate environmental conditions, we analyzed 1,894 paired observations collected at 30-minute intervals throughout the overwintering season. This responsive change analysis tested whether short-term fluctuations in cluster size (</w:t>
      </w:r>
      <m:oMath>
        <m:r>
          <m:rPr>
            <m:sty m:val="p"/>
          </m:rPr>
          <m:t>Δ</m:t>
        </m:r>
      </m:oMath>
      <w:r>
        <w:t xml:space="preserve">BI) could be explained by concurrent weather variables.</w:t>
      </w:r>
    </w:p>
    <w:bookmarkStart w:id="67" w:name="model-selection-30-minute-analysis"/>
    <w:p>
      <w:pPr>
        <w:pStyle w:val="Heading3"/>
      </w:pPr>
      <w:r>
        <w:t xml:space="preserve">Model Selection: 30-Minute Analysis</w:t>
      </w:r>
    </w:p>
    <w:p>
      <w:pPr>
        <w:pStyle w:val="FirstParagraph"/>
      </w:pPr>
      <w:r>
        <w:t xml:space="preserve">Model selection via AIC identified the decisively best-fit model (M50), capturing 86% of the total model weight (Table 1). The next best model (M23) showed substantially weaker support with</w:t>
      </w:r>
      <w:r>
        <w:t xml:space="preserve"> </w:t>
      </w:r>
      <m:oMath>
        <m:r>
          <m:rPr>
            <m:sty m:val="p"/>
          </m:rPr>
          <m:t>Δ</m:t>
        </m:r>
      </m:oMath>
      <w:r>
        <w:t xml:space="preserve">AIC = 3.8 and only 13% model weight.</w:t>
      </w:r>
    </w:p>
    <w:p>
      <w:pPr>
        <w:pStyle w:val="TableCaption"/>
        <w:keepNext/>
        <w:spacing w:after="80"/>
      </w:pPr>
      <w:r>
        <w:t>Table 1. Top 5 models ranked by AIC for environmental predictors of in the 30-minute wind disruption analysis. BI is butterfly index. K is the number of estimated parameters, logLik is the model log-likelihood, is the difference from the best model, and Weight is the Akaike weight.</w:t>
      </w:r>
    </w:p>
    <w:tbl>
      <w:tblPr>
        <w:tblStyle w:val="Table"/>
        <w:tblW w:type="dxa" w:w="9270"/>
        <w:jc w:val="left"/>
        <w:tblLayout w:type="fixed"/>
        <w:tblLook w:firstColumn="1" w:firstRow="1" w:lastColumn="0" w:lastRow="0" w:noHBand="0" w:noVBand="1" w:val="04A0"/>
        <w:tblInd w:w="90" w:type="dxa"/>
      </w:tblPr>
      <w:tblGrid>
        <w:gridCol w:w="700"/>
        <w:gridCol w:w="4150"/>
        <w:gridCol w:w="650"/>
        <w:gridCol w:w="850"/>
        <w:gridCol w:w="850"/>
        <w:gridCol w:w="1050"/>
        <w:gridCol w:w="1020"/>
      </w:tblGrid>
      <w:tr>
        <w:trPr>
          <w:tblHeader w:val="true"/>
        </w:trPr>
        <w:tc>
          <w:tcPr>
            <w:tcW w:type="dxa" w:w="700"/>
            <w:vAlign w:val="center"/>
            <w:tcMar>
              <w:top w:w="70" w:type="dxa"/>
              <w:start w:w="90" w:type="dxa"/>
              <w:bottom w:w="70" w:type="dxa"/>
              <w:end w:w="90" w:type="dxa"/>
            </w:tcMar>
          </w:tcPr>
          <w:p>
            <w:pPr>
              <w:pStyle w:val="Compact"/>
              <w:spacing w:before="0" w:after="0" w:line="240" w:lineRule="auto"/>
            </w:pPr>
            <w:r>
              <w:rPr>
                <w:b/>
              </w:rPr>
              <w:t>Model</w:t>
            </w:r>
          </w:p>
        </w:tc>
        <w:tc>
          <w:tcPr>
            <w:tcW w:type="dxa" w:w="4150"/>
            <w:vAlign w:val="center"/>
            <w:tcMar>
              <w:top w:w="70" w:type="dxa"/>
              <w:start w:w="90" w:type="dxa"/>
              <w:bottom w:w="70" w:type="dxa"/>
              <w:end w:w="90" w:type="dxa"/>
            </w:tcMar>
          </w:tcPr>
          <w:p>
            <w:pPr>
              <w:pStyle w:val="Compact"/>
              <w:spacing w:before="0" w:after="0" w:line="240" w:lineRule="auto"/>
            </w:pPr>
            <w:r>
              <w:rPr>
                <w:b/>
              </w:rPr>
              <w:t>Terms</w:t>
            </w:r>
          </w:p>
        </w:tc>
        <w:tc>
          <w:tcPr>
            <w:tcW w:type="dxa" w:w="650"/>
            <w:vAlign w:val="center"/>
            <w:tcMar>
              <w:top w:w="70" w:type="dxa"/>
              <w:start w:w="90" w:type="dxa"/>
              <w:bottom w:w="70" w:type="dxa"/>
              <w:end w:w="90" w:type="dxa"/>
            </w:tcMar>
          </w:tcPr>
          <w:p>
            <w:pPr>
              <w:pStyle w:val="Compact"/>
              <w:spacing w:before="0" w:after="0" w:line="240" w:lineRule="auto"/>
            </w:pPr>
            <w:r>
              <w:rPr>
                <w:b/>
              </w:rPr>
              <w:t>K</w:t>
            </w:r>
          </w:p>
        </w:tc>
        <w:tc>
          <w:tcPr>
            <w:tcW w:type="dxa" w:w="850"/>
            <w:vAlign w:val="center"/>
            <w:tcMar>
              <w:top w:w="70" w:type="dxa"/>
              <w:start w:w="90" w:type="dxa"/>
              <w:bottom w:w="70" w:type="dxa"/>
              <w:end w:w="90" w:type="dxa"/>
            </w:tcMar>
          </w:tcPr>
          <w:p>
            <w:pPr>
              <w:pStyle w:val="Compact"/>
              <w:spacing w:before="0" w:after="0" w:line="240" w:lineRule="auto"/>
            </w:pPr>
            <w:r>
              <w:rPr>
                <w:b/>
              </w:rPr>
              <w:t>logLik</w:t>
            </w:r>
          </w:p>
        </w:tc>
        <w:tc>
          <w:tcPr>
            <w:tcW w:type="dxa" w:w="850"/>
            <w:vAlign w:val="center"/>
            <w:tcMar>
              <w:top w:w="70" w:type="dxa"/>
              <w:start w:w="90" w:type="dxa"/>
              <w:bottom w:w="70" w:type="dxa"/>
              <w:end w:w="90" w:type="dxa"/>
            </w:tcMar>
          </w:tcPr>
          <w:p>
            <w:pPr>
              <w:pStyle w:val="Compact"/>
              <w:spacing w:before="0" w:after="0" w:line="240" w:lineRule="auto"/>
            </w:pPr>
            <w:r>
              <w:rPr>
                <w:b/>
              </w:rPr>
              <w:t>AIC</w:t>
            </w:r>
          </w:p>
        </w:tc>
        <w:tc>
          <w:tcPr>
            <w:tcW w:type="dxa" w:w="1050"/>
            <w:vAlign w:val="center"/>
            <w:tcMar>
              <w:top w:w="70" w:type="dxa"/>
              <w:start w:w="90" w:type="dxa"/>
              <w:bottom w:w="70" w:type="dxa"/>
              <w:end w:w="90" w:type="dxa"/>
            </w:tcMar>
          </w:tcPr>
          <w:p>
            <w:pPr>
              <w:pStyle w:val="Compact"/>
              <w:spacing w:before="0" w:after="0" w:line="240" w:lineRule="auto"/>
            </w:pPr>
            <w:r>
              <w:rPr>
                <w:b/>
              </w:rPr>
            </w:r>
          </w:p>
        </w:tc>
        <w:tc>
          <w:tcPr>
            <w:tcW w:type="dxa" w:w="1020"/>
            <w:vAlign w:val="center"/>
            <w:tcMar>
              <w:top w:w="70" w:type="dxa"/>
              <w:start w:w="90" w:type="dxa"/>
              <w:bottom w:w="70" w:type="dxa"/>
              <w:end w:w="90" w:type="dxa"/>
            </w:tcMar>
          </w:tcPr>
          <w:p>
            <w:pPr>
              <w:pStyle w:val="Compact"/>
              <w:spacing w:before="0" w:after="0" w:line="240" w:lineRule="auto"/>
            </w:pPr>
            <w:r>
              <w:rPr>
                <w:b/>
              </w:rPr>
              <w:t>Weight</w:t>
            </w:r>
          </w:p>
        </w:tc>
      </w:tr>
      <w:tr>
        <w:tc>
          <w:tcPr>
            <w:tcW w:type="dxa" w:w="700"/>
            <w:vAlign w:val="center"/>
            <w:tcMar>
              <w:top w:w="70" w:type="dxa"/>
              <w:start w:w="90" w:type="dxa"/>
              <w:bottom w:w="70" w:type="dxa"/>
              <w:end w:w="90" w:type="dxa"/>
            </w:tcMar>
          </w:tcPr>
          <w:p>
            <w:pPr>
              <w:pStyle w:val="Compact"/>
              <w:spacing w:before="0" w:after="0" w:line="240" w:lineRule="auto"/>
            </w:pPr>
            <w:r>
              <w:t>M50</w:t>
            </w:r>
          </w:p>
        </w:tc>
        <w:tc>
          <w:tcPr>
            <w:tcW w:type="dxa" w:w="4150"/>
            <w:vAlign w:val="center"/>
            <w:tcMar>
              <w:top w:w="70" w:type="dxa"/>
              <w:start w:w="90" w:type="dxa"/>
              <w:bottom w:w="70" w:type="dxa"/>
              <w:end w:w="90" w:type="dxa"/>
            </w:tcMar>
          </w:tcPr>
          <w:p>
            <w:pPr>
              <w:pStyle w:val="Compact"/>
              <w:spacing w:before="0" w:after="0" w:line="240" w:lineRule="auto"/>
            </w:pPr>
            <w:r>
              <w:t>Previous BI, temperature, time since sunrise, ti(maximum wind gust, butterflies in direct sun)</w:t>
            </w:r>
          </w:p>
        </w:tc>
        <w:tc>
          <w:tcPr>
            <w:tcW w:type="dxa" w:w="650"/>
            <w:vAlign w:val="center"/>
            <w:tcMar>
              <w:top w:w="70" w:type="dxa"/>
              <w:start w:w="90" w:type="dxa"/>
              <w:bottom w:w="70" w:type="dxa"/>
              <w:end w:w="90" w:type="dxa"/>
            </w:tcMar>
          </w:tcPr>
          <w:p>
            <w:pPr>
              <w:pStyle w:val="Compact"/>
              <w:spacing w:before="0" w:after="0" w:line="240" w:lineRule="auto"/>
            </w:pPr>
            <w:r>
              <w:t>15</w:t>
            </w:r>
          </w:p>
        </w:tc>
        <w:tc>
          <w:tcPr>
            <w:tcW w:type="dxa" w:w="850"/>
            <w:vAlign w:val="center"/>
            <w:tcMar>
              <w:top w:w="70" w:type="dxa"/>
              <w:start w:w="90" w:type="dxa"/>
              <w:bottom w:w="70" w:type="dxa"/>
              <w:end w:w="90" w:type="dxa"/>
            </w:tcMar>
          </w:tcPr>
          <w:p>
            <w:pPr>
              <w:pStyle w:val="Compact"/>
              <w:spacing w:before="0" w:after="0" w:line="240" w:lineRule="auto"/>
            </w:pPr>
            <w:r>
              <w:t>−4024.01</w:t>
            </w:r>
          </w:p>
        </w:tc>
        <w:tc>
          <w:tcPr>
            <w:tcW w:type="dxa" w:w="850"/>
            <w:vAlign w:val="center"/>
            <w:tcMar>
              <w:top w:w="70" w:type="dxa"/>
              <w:start w:w="90" w:type="dxa"/>
              <w:bottom w:w="70" w:type="dxa"/>
              <w:end w:w="90" w:type="dxa"/>
            </w:tcMar>
          </w:tcPr>
          <w:p>
            <w:pPr>
              <w:pStyle w:val="Compact"/>
              <w:spacing w:before="0" w:after="0" w:line="240" w:lineRule="auto"/>
            </w:pPr>
            <w:r>
              <w:t>8078.03</w:t>
            </w:r>
          </w:p>
        </w:tc>
        <w:tc>
          <w:tcPr>
            <w:tcW w:type="dxa" w:w="1050"/>
            <w:vAlign w:val="center"/>
            <w:tcMar>
              <w:top w:w="70" w:type="dxa"/>
              <w:start w:w="90" w:type="dxa"/>
              <w:bottom w:w="70" w:type="dxa"/>
              <w:end w:w="90" w:type="dxa"/>
            </w:tcMar>
          </w:tcPr>
          <w:p>
            <w:pPr>
              <w:pStyle w:val="Compact"/>
              <w:spacing w:before="0" w:after="0" w:line="240" w:lineRule="auto"/>
            </w:pPr>
            <w:r>
              <w:t>0.00</w:t>
            </w:r>
          </w:p>
        </w:tc>
        <w:tc>
          <w:tcPr>
            <w:tcW w:type="dxa" w:w="1020"/>
            <w:vAlign w:val="center"/>
            <w:tcMar>
              <w:top w:w="70" w:type="dxa"/>
              <w:start w:w="90" w:type="dxa"/>
              <w:bottom w:w="70" w:type="dxa"/>
              <w:end w:w="90" w:type="dxa"/>
            </w:tcMar>
          </w:tcPr>
          <w:p>
            <w:pPr>
              <w:pStyle w:val="Compact"/>
              <w:spacing w:before="0" w:after="0" w:line="240" w:lineRule="auto"/>
            </w:pPr>
            <w:r>
              <w:t>0.86</w:t>
            </w:r>
          </w:p>
        </w:tc>
      </w:tr>
      <w:tr>
        <w:tc>
          <w:tcPr>
            <w:tcW w:type="dxa" w:w="700"/>
            <w:vAlign w:val="center"/>
            <w:tcMar>
              <w:top w:w="70" w:type="dxa"/>
              <w:start w:w="90" w:type="dxa"/>
              <w:bottom w:w="70" w:type="dxa"/>
              <w:end w:w="90" w:type="dxa"/>
            </w:tcMar>
          </w:tcPr>
          <w:p>
            <w:pPr>
              <w:pStyle w:val="Compact"/>
              <w:spacing w:before="0" w:after="0" w:line="240" w:lineRule="auto"/>
            </w:pPr>
            <w:r>
              <w:t>M23</w:t>
            </w:r>
          </w:p>
        </w:tc>
        <w:tc>
          <w:tcPr>
            <w:tcW w:type="dxa" w:w="4150"/>
            <w:vAlign w:val="center"/>
            <w:tcMar>
              <w:top w:w="70" w:type="dxa"/>
              <w:start w:w="90" w:type="dxa"/>
              <w:bottom w:w="70" w:type="dxa"/>
              <w:end w:w="90" w:type="dxa"/>
            </w:tcMar>
          </w:tcPr>
          <w:p>
            <w:pPr>
              <w:pStyle w:val="Compact"/>
              <w:spacing w:before="0" w:after="0" w:line="240" w:lineRule="auto"/>
            </w:pPr>
            <w:r>
              <w:t>Previous BI, temperature, butterflies in direct sun, time since sunrise</w:t>
            </w:r>
          </w:p>
        </w:tc>
        <w:tc>
          <w:tcPr>
            <w:tcW w:type="dxa" w:w="650"/>
            <w:vAlign w:val="center"/>
            <w:tcMar>
              <w:top w:w="70" w:type="dxa"/>
              <w:start w:w="90" w:type="dxa"/>
              <w:bottom w:w="70" w:type="dxa"/>
              <w:end w:w="90" w:type="dxa"/>
            </w:tcMar>
          </w:tcPr>
          <w:p>
            <w:pPr>
              <w:pStyle w:val="Compact"/>
              <w:spacing w:before="0" w:after="0" w:line="240" w:lineRule="auto"/>
            </w:pPr>
            <w:r>
              <w:t>14</w:t>
            </w:r>
          </w:p>
        </w:tc>
        <w:tc>
          <w:tcPr>
            <w:tcW w:type="dxa" w:w="850"/>
            <w:vAlign w:val="center"/>
            <w:tcMar>
              <w:top w:w="70" w:type="dxa"/>
              <w:start w:w="90" w:type="dxa"/>
              <w:bottom w:w="70" w:type="dxa"/>
              <w:end w:w="90" w:type="dxa"/>
            </w:tcMar>
          </w:tcPr>
          <w:p>
            <w:pPr>
              <w:pStyle w:val="Compact"/>
              <w:spacing w:before="0" w:after="0" w:line="240" w:lineRule="auto"/>
            </w:pPr>
            <w:r>
              <w:t>−4026.92</w:t>
            </w:r>
          </w:p>
        </w:tc>
        <w:tc>
          <w:tcPr>
            <w:tcW w:type="dxa" w:w="850"/>
            <w:vAlign w:val="center"/>
            <w:tcMar>
              <w:top w:w="70" w:type="dxa"/>
              <w:start w:w="90" w:type="dxa"/>
              <w:bottom w:w="70" w:type="dxa"/>
              <w:end w:w="90" w:type="dxa"/>
            </w:tcMar>
          </w:tcPr>
          <w:p>
            <w:pPr>
              <w:pStyle w:val="Compact"/>
              <w:spacing w:before="0" w:after="0" w:line="240" w:lineRule="auto"/>
            </w:pPr>
            <w:r>
              <w:t>8081.85</w:t>
            </w:r>
          </w:p>
        </w:tc>
        <w:tc>
          <w:tcPr>
            <w:tcW w:type="dxa" w:w="1050"/>
            <w:vAlign w:val="center"/>
            <w:tcMar>
              <w:top w:w="70" w:type="dxa"/>
              <w:start w:w="90" w:type="dxa"/>
              <w:bottom w:w="70" w:type="dxa"/>
              <w:end w:w="90" w:type="dxa"/>
            </w:tcMar>
          </w:tcPr>
          <w:p>
            <w:pPr>
              <w:pStyle w:val="Compact"/>
              <w:spacing w:before="0" w:after="0" w:line="240" w:lineRule="auto"/>
            </w:pPr>
            <w:r>
              <w:t>3.82</w:t>
            </w:r>
          </w:p>
        </w:tc>
        <w:tc>
          <w:tcPr>
            <w:tcW w:type="dxa" w:w="1020"/>
            <w:vAlign w:val="center"/>
            <w:tcMar>
              <w:top w:w="70" w:type="dxa"/>
              <w:start w:w="90" w:type="dxa"/>
              <w:bottom w:w="70" w:type="dxa"/>
              <w:end w:w="90" w:type="dxa"/>
            </w:tcMar>
          </w:tcPr>
          <w:p>
            <w:pPr>
              <w:pStyle w:val="Compact"/>
              <w:spacing w:before="0" w:after="0" w:line="240" w:lineRule="auto"/>
            </w:pPr>
            <w:r>
              <w:t>0.13</w:t>
            </w:r>
          </w:p>
        </w:tc>
      </w:tr>
      <w:tr>
        <w:tc>
          <w:tcPr>
            <w:tcW w:type="dxa" w:w="700"/>
            <w:vAlign w:val="center"/>
            <w:tcMar>
              <w:top w:w="70" w:type="dxa"/>
              <w:start w:w="90" w:type="dxa"/>
              <w:bottom w:w="70" w:type="dxa"/>
              <w:end w:w="90" w:type="dxa"/>
            </w:tcMar>
          </w:tcPr>
          <w:p>
            <w:pPr>
              <w:pStyle w:val="Compact"/>
              <w:spacing w:before="0" w:after="0" w:line="240" w:lineRule="auto"/>
            </w:pPr>
            <w:r>
              <w:t>M22</w:t>
            </w:r>
          </w:p>
        </w:tc>
        <w:tc>
          <w:tcPr>
            <w:tcW w:type="dxa" w:w="4150"/>
            <w:vAlign w:val="center"/>
            <w:tcMar>
              <w:top w:w="70" w:type="dxa"/>
              <w:start w:w="90" w:type="dxa"/>
              <w:bottom w:w="70" w:type="dxa"/>
              <w:end w:w="90" w:type="dxa"/>
            </w:tcMar>
          </w:tcPr>
          <w:p>
            <w:pPr>
              <w:pStyle w:val="Compact"/>
              <w:spacing w:before="0" w:after="0" w:line="240" w:lineRule="auto"/>
            </w:pPr>
            <w:r>
              <w:t>Previous BI, temperature (linear), butterflies in direct sun, time since sunrise</w:t>
            </w:r>
          </w:p>
        </w:tc>
        <w:tc>
          <w:tcPr>
            <w:tcW w:type="dxa" w:w="650"/>
            <w:vAlign w:val="center"/>
            <w:tcMar>
              <w:top w:w="70" w:type="dxa"/>
              <w:start w:w="90" w:type="dxa"/>
              <w:bottom w:w="70" w:type="dxa"/>
              <w:end w:w="90" w:type="dxa"/>
            </w:tcMar>
          </w:tcPr>
          <w:p>
            <w:pPr>
              <w:pStyle w:val="Compact"/>
              <w:spacing w:before="0" w:after="0" w:line="240" w:lineRule="auto"/>
            </w:pPr>
            <w:r>
              <w:t>13</w:t>
            </w:r>
          </w:p>
        </w:tc>
        <w:tc>
          <w:tcPr>
            <w:tcW w:type="dxa" w:w="850"/>
            <w:vAlign w:val="center"/>
            <w:tcMar>
              <w:top w:w="70" w:type="dxa"/>
              <w:start w:w="90" w:type="dxa"/>
              <w:bottom w:w="70" w:type="dxa"/>
              <w:end w:w="90" w:type="dxa"/>
            </w:tcMar>
          </w:tcPr>
          <w:p>
            <w:pPr>
              <w:pStyle w:val="Compact"/>
              <w:spacing w:before="0" w:after="0" w:line="240" w:lineRule="auto"/>
            </w:pPr>
            <w:r>
              <w:t>−4030.32</w:t>
            </w:r>
          </w:p>
        </w:tc>
        <w:tc>
          <w:tcPr>
            <w:tcW w:type="dxa" w:w="850"/>
            <w:vAlign w:val="center"/>
            <w:tcMar>
              <w:top w:w="70" w:type="dxa"/>
              <w:start w:w="90" w:type="dxa"/>
              <w:bottom w:w="70" w:type="dxa"/>
              <w:end w:w="90" w:type="dxa"/>
            </w:tcMar>
          </w:tcPr>
          <w:p>
            <w:pPr>
              <w:pStyle w:val="Compact"/>
              <w:spacing w:before="0" w:after="0" w:line="240" w:lineRule="auto"/>
            </w:pPr>
            <w:r>
              <w:t>8086.64</w:t>
            </w:r>
          </w:p>
        </w:tc>
        <w:tc>
          <w:tcPr>
            <w:tcW w:type="dxa" w:w="1050"/>
            <w:vAlign w:val="center"/>
            <w:tcMar>
              <w:top w:w="70" w:type="dxa"/>
              <w:start w:w="90" w:type="dxa"/>
              <w:bottom w:w="70" w:type="dxa"/>
              <w:end w:w="90" w:type="dxa"/>
            </w:tcMar>
          </w:tcPr>
          <w:p>
            <w:pPr>
              <w:pStyle w:val="Compact"/>
              <w:spacing w:before="0" w:after="0" w:line="240" w:lineRule="auto"/>
            </w:pPr>
            <w:r>
              <w:t>8.62</w:t>
            </w:r>
          </w:p>
        </w:tc>
        <w:tc>
          <w:tcPr>
            <w:tcW w:type="dxa" w:w="1020"/>
            <w:vAlign w:val="center"/>
            <w:tcMar>
              <w:top w:w="70" w:type="dxa"/>
              <w:start w:w="90" w:type="dxa"/>
              <w:bottom w:w="70" w:type="dxa"/>
              <w:end w:w="90" w:type="dxa"/>
            </w:tcMar>
          </w:tcPr>
          <w:p>
            <w:pPr>
              <w:pStyle w:val="Compact"/>
              <w:spacing w:before="0" w:after="0" w:line="240" w:lineRule="auto"/>
            </w:pPr>
            <w:r>
              <w:t>0.01</w:t>
            </w:r>
          </w:p>
        </w:tc>
      </w:tr>
      <w:tr>
        <w:tc>
          <w:tcPr>
            <w:tcW w:type="dxa" w:w="700"/>
            <w:vAlign w:val="center"/>
            <w:tcMar>
              <w:top w:w="70" w:type="dxa"/>
              <w:start w:w="90" w:type="dxa"/>
              <w:bottom w:w="70" w:type="dxa"/>
              <w:end w:w="90" w:type="dxa"/>
            </w:tcMar>
          </w:tcPr>
          <w:p>
            <w:pPr>
              <w:pStyle w:val="Compact"/>
              <w:spacing w:before="0" w:after="0" w:line="240" w:lineRule="auto"/>
            </w:pPr>
            <w:r>
              <w:t>M24</w:t>
            </w:r>
          </w:p>
        </w:tc>
        <w:tc>
          <w:tcPr>
            <w:tcW w:type="dxa" w:w="4150"/>
            <w:vAlign w:val="center"/>
            <w:tcMar>
              <w:top w:w="70" w:type="dxa"/>
              <w:start w:w="90" w:type="dxa"/>
              <w:bottom w:w="70" w:type="dxa"/>
              <w:end w:w="90" w:type="dxa"/>
            </w:tcMar>
          </w:tcPr>
          <w:p>
            <w:pPr>
              <w:pStyle w:val="Compact"/>
              <w:spacing w:before="0" w:after="0" w:line="240" w:lineRule="auto"/>
            </w:pPr>
            <w:r>
              <w:t>Previous BI, maximum wind gust, temperature, butterflies in direct sun, time since sunrise</w:t>
            </w:r>
          </w:p>
        </w:tc>
        <w:tc>
          <w:tcPr>
            <w:tcW w:type="dxa" w:w="650"/>
            <w:vAlign w:val="center"/>
            <w:tcMar>
              <w:top w:w="70" w:type="dxa"/>
              <w:start w:w="90" w:type="dxa"/>
              <w:bottom w:w="70" w:type="dxa"/>
              <w:end w:w="90" w:type="dxa"/>
            </w:tcMar>
          </w:tcPr>
          <w:p>
            <w:pPr>
              <w:pStyle w:val="Compact"/>
              <w:spacing w:before="0" w:after="0" w:line="240" w:lineRule="auto"/>
            </w:pPr>
            <w:r>
              <w:t>16</w:t>
            </w:r>
          </w:p>
        </w:tc>
        <w:tc>
          <w:tcPr>
            <w:tcW w:type="dxa" w:w="850"/>
            <w:vAlign w:val="center"/>
            <w:tcMar>
              <w:top w:w="70" w:type="dxa"/>
              <w:start w:w="90" w:type="dxa"/>
              <w:bottom w:w="70" w:type="dxa"/>
              <w:end w:w="90" w:type="dxa"/>
            </w:tcMar>
          </w:tcPr>
          <w:p>
            <w:pPr>
              <w:pStyle w:val="Compact"/>
              <w:spacing w:before="0" w:after="0" w:line="240" w:lineRule="auto"/>
            </w:pPr>
            <w:r>
              <w:t>−4028.02</w:t>
            </w:r>
          </w:p>
        </w:tc>
        <w:tc>
          <w:tcPr>
            <w:tcW w:type="dxa" w:w="850"/>
            <w:vAlign w:val="center"/>
            <w:tcMar>
              <w:top w:w="70" w:type="dxa"/>
              <w:start w:w="90" w:type="dxa"/>
              <w:bottom w:w="70" w:type="dxa"/>
              <w:end w:w="90" w:type="dxa"/>
            </w:tcMar>
          </w:tcPr>
          <w:p>
            <w:pPr>
              <w:pStyle w:val="Compact"/>
              <w:spacing w:before="0" w:after="0" w:line="240" w:lineRule="auto"/>
            </w:pPr>
            <w:r>
              <w:t>8088.05</w:t>
            </w:r>
          </w:p>
        </w:tc>
        <w:tc>
          <w:tcPr>
            <w:tcW w:type="dxa" w:w="1050"/>
            <w:vAlign w:val="center"/>
            <w:tcMar>
              <w:top w:w="70" w:type="dxa"/>
              <w:start w:w="90" w:type="dxa"/>
              <w:bottom w:w="70" w:type="dxa"/>
              <w:end w:w="90" w:type="dxa"/>
            </w:tcMar>
          </w:tcPr>
          <w:p>
            <w:pPr>
              <w:pStyle w:val="Compact"/>
              <w:spacing w:before="0" w:after="0" w:line="240" w:lineRule="auto"/>
            </w:pPr>
            <w:r>
              <w:t>10.02</w:t>
            </w:r>
          </w:p>
        </w:tc>
        <w:tc>
          <w:tcPr>
            <w:tcW w:type="dxa" w:w="1020"/>
            <w:vAlign w:val="center"/>
            <w:tcMar>
              <w:top w:w="70" w:type="dxa"/>
              <w:start w:w="90" w:type="dxa"/>
              <w:bottom w:w="70" w:type="dxa"/>
              <w:end w:w="90" w:type="dxa"/>
            </w:tcMar>
          </w:tcPr>
          <w:p>
            <w:pPr>
              <w:pStyle w:val="Compact"/>
              <w:spacing w:before="0" w:after="0" w:line="240" w:lineRule="auto"/>
            </w:pPr>
            <w:r>
              <w:t>0.01</w:t>
            </w:r>
          </w:p>
        </w:tc>
      </w:tr>
      <w:tr>
        <w:tc>
          <w:tcPr>
            <w:tcW w:type="dxa" w:w="700"/>
            <w:vAlign w:val="center"/>
            <w:tcMar>
              <w:top w:w="70" w:type="dxa"/>
              <w:start w:w="90" w:type="dxa"/>
              <w:bottom w:w="70" w:type="dxa"/>
              <w:end w:w="90" w:type="dxa"/>
            </w:tcMar>
          </w:tcPr>
          <w:p>
            <w:pPr>
              <w:pStyle w:val="Compact"/>
              <w:spacing w:before="0" w:after="0" w:line="240" w:lineRule="auto"/>
            </w:pPr>
            <w:r>
              <w:t>M52</w:t>
            </w:r>
          </w:p>
        </w:tc>
        <w:tc>
          <w:tcPr>
            <w:tcW w:type="dxa" w:w="4150"/>
            <w:vAlign w:val="center"/>
            <w:tcMar>
              <w:top w:w="70" w:type="dxa"/>
              <w:start w:w="90" w:type="dxa"/>
              <w:bottom w:w="70" w:type="dxa"/>
              <w:end w:w="90" w:type="dxa"/>
            </w:tcMar>
          </w:tcPr>
          <w:p>
            <w:pPr>
              <w:pStyle w:val="Compact"/>
              <w:spacing w:before="0" w:after="0" w:line="240" w:lineRule="auto"/>
            </w:pPr>
            <w:r>
              <w:t>Temperature, time since sunrise, ti(maximum wind gust, butterflies in direct sun)</w:t>
            </w:r>
          </w:p>
        </w:tc>
        <w:tc>
          <w:tcPr>
            <w:tcW w:type="dxa" w:w="650"/>
            <w:vAlign w:val="center"/>
            <w:tcMar>
              <w:top w:w="70" w:type="dxa"/>
              <w:start w:w="90" w:type="dxa"/>
              <w:bottom w:w="70" w:type="dxa"/>
              <w:end w:w="90" w:type="dxa"/>
            </w:tcMar>
          </w:tcPr>
          <w:p>
            <w:pPr>
              <w:pStyle w:val="Compact"/>
              <w:spacing w:before="0" w:after="0" w:line="240" w:lineRule="auto"/>
            </w:pPr>
            <w:r>
              <w:t>13</w:t>
            </w:r>
          </w:p>
        </w:tc>
        <w:tc>
          <w:tcPr>
            <w:tcW w:type="dxa" w:w="850"/>
            <w:vAlign w:val="center"/>
            <w:tcMar>
              <w:top w:w="70" w:type="dxa"/>
              <w:start w:w="90" w:type="dxa"/>
              <w:bottom w:w="70" w:type="dxa"/>
              <w:end w:w="90" w:type="dxa"/>
            </w:tcMar>
          </w:tcPr>
          <w:p>
            <w:pPr>
              <w:pStyle w:val="Compact"/>
              <w:spacing w:before="0" w:after="0" w:line="240" w:lineRule="auto"/>
            </w:pPr>
            <w:r>
              <w:t>−4035.36</w:t>
            </w:r>
          </w:p>
        </w:tc>
        <w:tc>
          <w:tcPr>
            <w:tcW w:type="dxa" w:w="850"/>
            <w:vAlign w:val="center"/>
            <w:tcMar>
              <w:top w:w="70" w:type="dxa"/>
              <w:start w:w="90" w:type="dxa"/>
              <w:bottom w:w="70" w:type="dxa"/>
              <w:end w:w="90" w:type="dxa"/>
            </w:tcMar>
          </w:tcPr>
          <w:p>
            <w:pPr>
              <w:pStyle w:val="Compact"/>
              <w:spacing w:before="0" w:after="0" w:line="240" w:lineRule="auto"/>
            </w:pPr>
            <w:r>
              <w:t>8096.72</w:t>
            </w:r>
          </w:p>
        </w:tc>
        <w:tc>
          <w:tcPr>
            <w:tcW w:type="dxa" w:w="1050"/>
            <w:vAlign w:val="center"/>
            <w:tcMar>
              <w:top w:w="70" w:type="dxa"/>
              <w:start w:w="90" w:type="dxa"/>
              <w:bottom w:w="70" w:type="dxa"/>
              <w:end w:w="90" w:type="dxa"/>
            </w:tcMar>
          </w:tcPr>
          <w:p>
            <w:pPr>
              <w:pStyle w:val="Compact"/>
              <w:spacing w:before="0" w:after="0" w:line="240" w:lineRule="auto"/>
            </w:pPr>
            <w:r>
              <w:t>18.69</w:t>
            </w:r>
          </w:p>
        </w:tc>
        <w:tc>
          <w:tcPr>
            <w:tcW w:type="dxa" w:w="1020"/>
            <w:vAlign w:val="center"/>
            <w:tcMar>
              <w:top w:w="70" w:type="dxa"/>
              <w:start w:w="90" w:type="dxa"/>
              <w:bottom w:w="70" w:type="dxa"/>
              <w:end w:w="90" w:type="dxa"/>
            </w:tcMar>
          </w:tcPr>
          <w:p>
            <w:pPr>
              <w:pStyle w:val="Compact"/>
              <w:spacing w:before="0" w:after="0" w:line="240" w:lineRule="auto"/>
            </w:pPr>
            <w:r>
              <w:t>0.00</w:t>
            </w:r>
          </w:p>
        </w:tc>
      </w:tr>
    </w:tbl>
    <w:bookmarkEnd w:id="67"/>
    <w:bookmarkStart w:id="76" w:name="analysis-of-best-fit-model"/>
    <w:p>
      <w:pPr>
        <w:pStyle w:val="Heading3"/>
      </w:pPr>
      <w:r>
        <w:t xml:space="preserve">Analysis of Best Fit Model</w:t>
      </w:r>
    </w:p>
    <w:p>
      <w:pPr>
        <w:pStyle w:val="FirstParagraph"/>
      </w:pPr>
      <w:r>
        <w:t xml:space="preserve">The best-fit model (M50) from the 30-minute wind disruption analysis predicted</w:t>
      </w:r>
      <w:r>
        <w:t xml:space="preserve"> </w:t>
      </w:r>
      <m:oMath>
        <m:r>
          <m:rPr>
            <m:sty m:val="p"/>
          </m:rPr>
          <m:t>Δ</m:t>
        </m:r>
      </m:oMath>
      <w:r>
        <w:t xml:space="preserve">BI as a function of: (1) the previous 30-minute observation’s BI, (2) average 30-minute temperature, (3) time of day (minutes since sunrise), and (4) a tensor interaction between maximum wind gust speed and the number of butterflies in direct sunlight. Statistical analysis of this responsive change model revealed significant effects for three of the four predictors (Table 2). The previous butterfly index (</w:t>
      </w:r>
      <m:oMath>
        <m:r>
          <m:t>F</m:t>
        </m:r>
      </m:oMath>
      <w:r>
        <w:t xml:space="preserve"> </w:t>
      </w:r>
      <w:r>
        <w:t xml:space="preserve">= 12.50,</w:t>
      </w:r>
      <w:r>
        <w:t xml:space="preserve"> </w:t>
      </w:r>
      <m:oMath>
        <m:r>
          <m:t>p</m:t>
        </m:r>
        <m:r>
          <m:rPr>
            <m:sty m:val="p"/>
          </m:rPr>
          <m:t>&lt;</m:t>
        </m:r>
        <m:r>
          <m:t>0.001</m:t>
        </m:r>
      </m:oMath>
      <w:r>
        <w:t xml:space="preserve">), time of day (</w:t>
      </w:r>
      <m:oMath>
        <m:r>
          <m:t>F</m:t>
        </m:r>
      </m:oMath>
      <w:r>
        <w:t xml:space="preserve"> </w:t>
      </w:r>
      <w:r>
        <w:t xml:space="preserve">= 9.85,</w:t>
      </w:r>
      <w:r>
        <w:t xml:space="preserve"> </w:t>
      </w:r>
      <m:oMath>
        <m:r>
          <m:t>p</m:t>
        </m:r>
        <m:r>
          <m:rPr>
            <m:sty m:val="p"/>
          </m:rPr>
          <m:t>&lt;</m:t>
        </m:r>
        <m:r>
          <m:t>0.001</m:t>
        </m:r>
      </m:oMath>
      <w:r>
        <w:t xml:space="preserve">), and the wind-sunlight interaction (</w:t>
      </w:r>
      <m:oMath>
        <m:r>
          <m:t>F</m:t>
        </m:r>
      </m:oMath>
      <w:r>
        <w:t xml:space="preserve"> </w:t>
      </w:r>
      <w:r>
        <w:t xml:space="preserve">= 4.67,</w:t>
      </w:r>
      <w:r>
        <w:t xml:space="preserve"> </w:t>
      </w:r>
      <m:oMath>
        <m:r>
          <m:t>p</m:t>
        </m:r>
        <m:r>
          <m:rPr>
            <m:sty m:val="p"/>
          </m:rPr>
          <m:t>&lt;</m:t>
        </m:r>
        <m:r>
          <m:t>0.001</m:t>
        </m:r>
      </m:oMath>
      <w:r>
        <w:t xml:space="preserve">) all showed strong statistical significance. Temperature effects approached but did not reach conventional significance thresholds (</w:t>
      </w:r>
      <m:oMath>
        <m:r>
          <m:t>F</m:t>
        </m:r>
      </m:oMath>
      <w:r>
        <w:t xml:space="preserve"> </w:t>
      </w:r>
      <w:r>
        <w:t xml:space="preserve">= 3.19,</w:t>
      </w:r>
      <w:r>
        <w:t xml:space="preserve"> </w:t>
      </w:r>
      <m:oMath>
        <m:r>
          <m:t>p</m:t>
        </m:r>
      </m:oMath>
      <w:r>
        <w:t xml:space="preserve"> </w:t>
      </w:r>
      <w:r>
        <w:t xml:space="preserve">= 0.057). The model only explained 6.4% of the variance in</w:t>
      </w:r>
      <w:r>
        <w:t xml:space="preserve"> </w:t>
      </w:r>
      <m:oMath>
        <m:r>
          <m:rPr>
            <m:sty m:val="p"/>
          </m:rPr>
          <m:t>Δ</m:t>
        </m:r>
      </m:oMath>
      <w:r>
        <w:t xml:space="preserve">BI (adjusted</w:t>
      </w:r>
      <w:r>
        <w:t xml:space="preserve"> </w:t>
      </w:r>
      <m:oMath>
        <m:sSup>
          <m:e>
            <m:r>
              <m:t>R</m:t>
            </m:r>
          </m:e>
          <m:sup>
            <m:r>
              <m:t>2</m:t>
            </m:r>
          </m:sup>
        </m:sSup>
      </m:oMath>
      <w:r>
        <w:t xml:space="preserve"> </w:t>
      </w:r>
      <w:r>
        <w:t xml:space="preserve">= 0.064,</w:t>
      </w:r>
      <w:r>
        <w:t xml:space="preserve"> </w:t>
      </w:r>
      <m:oMath>
        <m:r>
          <m:t>n</m:t>
        </m:r>
      </m:oMath>
      <w:r>
        <w:t xml:space="preserve"> </w:t>
      </w:r>
      <w:r>
        <w:t xml:space="preserve">= 1894).</w:t>
      </w:r>
    </w:p>
    <w:p>
      <w:pPr>
        <w:pStyle w:val="TableCaption"/>
        <w:keepNext/>
        <w:spacing w:after="80"/>
      </w:pPr>
      <w:r>
        <w:t>Table 2. Summary of best-fit 30-minute wind disruption model (M50). The response was cube-root transformed . BI is butterfly index. edf is estimated degrees of freedom.</w:t>
      </w:r>
    </w:p>
    <w:tbl>
      <w:tblPr>
        <w:tblStyle w:val="Table"/>
        <w:tblW w:type="dxa" w:w="9270"/>
        <w:jc w:val="left"/>
        <w:tblLayout w:type="fixed"/>
        <w:tblLook w:firstColumn="1" w:firstRow="1" w:lastColumn="0" w:lastRow="0" w:noHBand="0" w:noVBand="1" w:val="04A0"/>
        <w:tblInd w:w="90" w:type="dxa"/>
      </w:tblPr>
      <w:tblGrid>
        <w:gridCol w:w="5010"/>
        <w:gridCol w:w="1420"/>
        <w:gridCol w:w="1420"/>
        <w:gridCol w:w="1420"/>
      </w:tblGrid>
      <w:tr>
        <w:trPr>
          <w:tblHeader w:val="true"/>
        </w:trPr>
        <w:tc>
          <w:tcPr>
            <w:tcW w:type="dxa" w:w="5010"/>
            <w:vAlign w:val="center"/>
            <w:tcMar>
              <w:top w:w="70" w:type="dxa"/>
              <w:start w:w="90" w:type="dxa"/>
              <w:bottom w:w="70" w:type="dxa"/>
              <w:end w:w="90" w:type="dxa"/>
            </w:tcMar>
          </w:tcPr>
          <w:p>
            <w:pPr>
              <w:pStyle w:val="Compact"/>
              <w:spacing w:before="0" w:after="0" w:line="240" w:lineRule="auto"/>
            </w:pPr>
            <w:r>
              <w:rPr>
                <w:b/>
              </w:rPr>
              <w:t>Smooth Term</w:t>
            </w:r>
          </w:p>
        </w:tc>
        <w:tc>
          <w:tcPr>
            <w:tcW w:type="dxa" w:w="1420"/>
            <w:vAlign w:val="center"/>
            <w:tcMar>
              <w:top w:w="70" w:type="dxa"/>
              <w:start w:w="90" w:type="dxa"/>
              <w:bottom w:w="70" w:type="dxa"/>
              <w:end w:w="90" w:type="dxa"/>
            </w:tcMar>
          </w:tcPr>
          <w:p>
            <w:pPr>
              <w:pStyle w:val="Compact"/>
              <w:spacing w:before="0" w:after="0" w:line="240" w:lineRule="auto"/>
            </w:pPr>
            <w:r>
              <w:rPr>
                <w:b/>
              </w:rPr>
              <w:t>edf</w:t>
            </w:r>
          </w:p>
        </w:tc>
        <w:tc>
          <w:tcPr>
            <w:tcW w:type="dxa" w:w="1420"/>
            <w:vAlign w:val="center"/>
            <w:tcMar>
              <w:top w:w="70" w:type="dxa"/>
              <w:start w:w="90" w:type="dxa"/>
              <w:bottom w:w="70" w:type="dxa"/>
              <w:end w:w="90" w:type="dxa"/>
            </w:tcMar>
          </w:tcPr>
          <w:p>
            <w:pPr>
              <w:pStyle w:val="Compact"/>
              <w:spacing w:before="0" w:after="0" w:line="240" w:lineRule="auto"/>
            </w:pPr>
            <w:r>
              <w:rPr>
                <w:b/>
              </w:rPr>
              <w:t>F</w:t>
            </w:r>
          </w:p>
        </w:tc>
        <w:tc>
          <w:tcPr>
            <w:tcW w:type="dxa" w:w="1420"/>
            <w:vAlign w:val="center"/>
            <w:tcMar>
              <w:top w:w="70" w:type="dxa"/>
              <w:start w:w="90" w:type="dxa"/>
              <w:bottom w:w="70" w:type="dxa"/>
              <w:end w:w="90" w:type="dxa"/>
            </w:tcMar>
          </w:tcPr>
          <w:p>
            <w:pPr>
              <w:pStyle w:val="Compact"/>
              <w:spacing w:before="0" w:after="0" w:line="240" w:lineRule="auto"/>
            </w:pPr>
            <w:r>
              <w:rPr>
                <w:b/>
              </w:rPr>
              <w:t>p-value</w:t>
            </w:r>
          </w:p>
        </w:tc>
      </w:tr>
      <w:tr>
        <w:tc>
          <w:tcPr>
            <w:tcW w:type="dxa" w:w="5010"/>
            <w:vAlign w:val="center"/>
            <w:tcMar>
              <w:top w:w="70" w:type="dxa"/>
              <w:start w:w="90" w:type="dxa"/>
              <w:bottom w:w="70" w:type="dxa"/>
              <w:end w:w="90" w:type="dxa"/>
            </w:tcMar>
          </w:tcPr>
          <w:p>
            <w:pPr>
              <w:pStyle w:val="Compact"/>
              <w:spacing w:before="0" w:after="0" w:line="240" w:lineRule="auto"/>
            </w:pPr>
            <w:r>
              <w:t>Previous butterfly index</w:t>
            </w:r>
          </w:p>
        </w:tc>
        <w:tc>
          <w:tcPr>
            <w:tcW w:type="dxa" w:w="1420"/>
            <w:vAlign w:val="center"/>
            <w:tcMar>
              <w:top w:w="70" w:type="dxa"/>
              <w:start w:w="90" w:type="dxa"/>
              <w:bottom w:w="70" w:type="dxa"/>
              <w:end w:w="90" w:type="dxa"/>
            </w:tcMar>
          </w:tcPr>
          <w:p>
            <w:pPr>
              <w:pStyle w:val="Compact"/>
              <w:spacing w:before="0" w:after="0" w:line="240" w:lineRule="auto"/>
            </w:pPr>
            <w:r>
              <w:t>2.41</w:t>
            </w:r>
          </w:p>
        </w:tc>
        <w:tc>
          <w:tcPr>
            <w:tcW w:type="dxa" w:w="1420"/>
            <w:vAlign w:val="center"/>
            <w:tcMar>
              <w:top w:w="70" w:type="dxa"/>
              <w:start w:w="90" w:type="dxa"/>
              <w:bottom w:w="70" w:type="dxa"/>
              <w:end w:w="90" w:type="dxa"/>
            </w:tcMar>
          </w:tcPr>
          <w:p>
            <w:pPr>
              <w:pStyle w:val="Compact"/>
              <w:spacing w:before="0" w:after="0" w:line="240" w:lineRule="auto"/>
            </w:pPr>
            <w:r>
              <w:t>12.50</w:t>
            </w:r>
          </w:p>
        </w:tc>
        <w:tc>
          <w:tcPr>
            <w:tcW w:type="dxa" w:w="1420"/>
            <w:vAlign w:val="center"/>
            <w:tcMar>
              <w:top w:w="70" w:type="dxa"/>
              <w:start w:w="90" w:type="dxa"/>
              <w:bottom w:w="70" w:type="dxa"/>
              <w:end w:w="90" w:type="dxa"/>
            </w:tcMar>
          </w:tcPr>
          <w:p>
            <w:pPr>
              <w:pStyle w:val="Compact"/>
              <w:spacing w:before="0" w:after="0" w:line="240" w:lineRule="auto"/>
            </w:pPr>
            <w:r>
              <w:t>&lt; 0.001***</w:t>
            </w:r>
          </w:p>
        </w:tc>
      </w:tr>
      <w:tr>
        <w:tc>
          <w:tcPr>
            <w:tcW w:type="dxa" w:w="5010"/>
            <w:vAlign w:val="center"/>
            <w:tcMar>
              <w:top w:w="70" w:type="dxa"/>
              <w:start w:w="90" w:type="dxa"/>
              <w:bottom w:w="70" w:type="dxa"/>
              <w:end w:w="90" w:type="dxa"/>
            </w:tcMar>
          </w:tcPr>
          <w:p>
            <w:pPr>
              <w:pStyle w:val="Compact"/>
              <w:spacing w:before="0" w:after="0" w:line="240" w:lineRule="auto"/>
            </w:pPr>
            <w:r>
              <w:t>Average temperature</w:t>
            </w:r>
          </w:p>
        </w:tc>
        <w:tc>
          <w:tcPr>
            <w:tcW w:type="dxa" w:w="1420"/>
            <w:vAlign w:val="center"/>
            <w:tcMar>
              <w:top w:w="70" w:type="dxa"/>
              <w:start w:w="90" w:type="dxa"/>
              <w:bottom w:w="70" w:type="dxa"/>
              <w:end w:w="90" w:type="dxa"/>
            </w:tcMar>
          </w:tcPr>
          <w:p>
            <w:pPr>
              <w:pStyle w:val="Compact"/>
              <w:spacing w:before="0" w:after="0" w:line="240" w:lineRule="auto"/>
            </w:pPr>
            <w:r>
              <w:t>3.68</w:t>
            </w:r>
          </w:p>
        </w:tc>
        <w:tc>
          <w:tcPr>
            <w:tcW w:type="dxa" w:w="1420"/>
            <w:vAlign w:val="center"/>
            <w:tcMar>
              <w:top w:w="70" w:type="dxa"/>
              <w:start w:w="90" w:type="dxa"/>
              <w:bottom w:w="70" w:type="dxa"/>
              <w:end w:w="90" w:type="dxa"/>
            </w:tcMar>
          </w:tcPr>
          <w:p>
            <w:pPr>
              <w:pStyle w:val="Compact"/>
              <w:spacing w:before="0" w:after="0" w:line="240" w:lineRule="auto"/>
            </w:pPr>
            <w:r>
              <w:t>3.19</w:t>
            </w:r>
          </w:p>
        </w:tc>
        <w:tc>
          <w:tcPr>
            <w:tcW w:type="dxa" w:w="1420"/>
            <w:vAlign w:val="center"/>
            <w:tcMar>
              <w:top w:w="70" w:type="dxa"/>
              <w:start w:w="90" w:type="dxa"/>
              <w:bottom w:w="70" w:type="dxa"/>
              <w:end w:w="90" w:type="dxa"/>
            </w:tcMar>
          </w:tcPr>
          <w:p>
            <w:pPr>
              <w:pStyle w:val="Compact"/>
              <w:spacing w:before="0" w:after="0" w:line="240" w:lineRule="auto"/>
            </w:pPr>
            <w:r>
              <w:t>0.057</w:t>
            </w:r>
          </w:p>
        </w:tc>
      </w:tr>
      <w:tr>
        <w:tc>
          <w:tcPr>
            <w:tcW w:type="dxa" w:w="5010"/>
            <w:vAlign w:val="center"/>
            <w:tcMar>
              <w:top w:w="70" w:type="dxa"/>
              <w:start w:w="90" w:type="dxa"/>
              <w:bottom w:w="70" w:type="dxa"/>
              <w:end w:w="90" w:type="dxa"/>
            </w:tcMar>
          </w:tcPr>
          <w:p>
            <w:pPr>
              <w:pStyle w:val="Compact"/>
              <w:spacing w:before="0" w:after="0" w:line="240" w:lineRule="auto"/>
            </w:pPr>
            <w:r>
              <w:t>Time since sunrise</w:t>
            </w:r>
          </w:p>
        </w:tc>
        <w:tc>
          <w:tcPr>
            <w:tcW w:type="dxa" w:w="1420"/>
            <w:vAlign w:val="center"/>
            <w:tcMar>
              <w:top w:w="70" w:type="dxa"/>
              <w:start w:w="90" w:type="dxa"/>
              <w:bottom w:w="70" w:type="dxa"/>
              <w:end w:w="90" w:type="dxa"/>
            </w:tcMar>
          </w:tcPr>
          <w:p>
            <w:pPr>
              <w:pStyle w:val="Compact"/>
              <w:spacing w:before="0" w:after="0" w:line="240" w:lineRule="auto"/>
            </w:pPr>
            <w:r>
              <w:t>4.87</w:t>
            </w:r>
          </w:p>
        </w:tc>
        <w:tc>
          <w:tcPr>
            <w:tcW w:type="dxa" w:w="1420"/>
            <w:vAlign w:val="center"/>
            <w:tcMar>
              <w:top w:w="70" w:type="dxa"/>
              <w:start w:w="90" w:type="dxa"/>
              <w:bottom w:w="70" w:type="dxa"/>
              <w:end w:w="90" w:type="dxa"/>
            </w:tcMar>
          </w:tcPr>
          <w:p>
            <w:pPr>
              <w:pStyle w:val="Compact"/>
              <w:spacing w:before="0" w:after="0" w:line="240" w:lineRule="auto"/>
            </w:pPr>
            <w:r>
              <w:t>9.85</w:t>
            </w:r>
          </w:p>
        </w:tc>
        <w:tc>
          <w:tcPr>
            <w:tcW w:type="dxa" w:w="1420"/>
            <w:vAlign w:val="center"/>
            <w:tcMar>
              <w:top w:w="70" w:type="dxa"/>
              <w:start w:w="90" w:type="dxa"/>
              <w:bottom w:w="70" w:type="dxa"/>
              <w:end w:w="90" w:type="dxa"/>
            </w:tcMar>
          </w:tcPr>
          <w:p>
            <w:pPr>
              <w:pStyle w:val="Compact"/>
              <w:spacing w:before="0" w:after="0" w:line="240" w:lineRule="auto"/>
            </w:pPr>
            <w:r>
              <w:t>&lt; 0.001***</w:t>
            </w:r>
          </w:p>
        </w:tc>
      </w:tr>
      <w:tr>
        <w:tc>
          <w:tcPr>
            <w:tcW w:type="dxa" w:w="5010"/>
            <w:vAlign w:val="center"/>
            <w:tcMar>
              <w:top w:w="70" w:type="dxa"/>
              <w:start w:w="90" w:type="dxa"/>
              <w:bottom w:w="70" w:type="dxa"/>
              <w:end w:w="90" w:type="dxa"/>
            </w:tcMar>
          </w:tcPr>
          <w:p>
            <w:pPr>
              <w:pStyle w:val="Compact"/>
              <w:spacing w:before="0" w:after="0" w:line="240" w:lineRule="auto"/>
            </w:pPr>
            <w:r>
              <w:t>Maximum wind gust butterflies in direct sun</w:t>
            </w:r>
          </w:p>
        </w:tc>
        <w:tc>
          <w:tcPr>
            <w:tcW w:type="dxa" w:w="1420"/>
            <w:vAlign w:val="center"/>
            <w:tcMar>
              <w:top w:w="70" w:type="dxa"/>
              <w:start w:w="90" w:type="dxa"/>
              <w:bottom w:w="70" w:type="dxa"/>
              <w:end w:w="90" w:type="dxa"/>
            </w:tcMar>
          </w:tcPr>
          <w:p>
            <w:pPr>
              <w:pStyle w:val="Compact"/>
              <w:spacing w:before="0" w:after="0" w:line="240" w:lineRule="auto"/>
            </w:pPr>
            <w:r>
              <w:t>7.35</w:t>
            </w:r>
          </w:p>
        </w:tc>
        <w:tc>
          <w:tcPr>
            <w:tcW w:type="dxa" w:w="1420"/>
            <w:vAlign w:val="center"/>
            <w:tcMar>
              <w:top w:w="70" w:type="dxa"/>
              <w:start w:w="90" w:type="dxa"/>
              <w:bottom w:w="70" w:type="dxa"/>
              <w:end w:w="90" w:type="dxa"/>
            </w:tcMar>
          </w:tcPr>
          <w:p>
            <w:pPr>
              <w:pStyle w:val="Compact"/>
              <w:spacing w:before="0" w:after="0" w:line="240" w:lineRule="auto"/>
            </w:pPr>
            <w:r>
              <w:t>4.67</w:t>
            </w:r>
          </w:p>
        </w:tc>
        <w:tc>
          <w:tcPr>
            <w:tcW w:type="dxa" w:w="1420"/>
            <w:vAlign w:val="center"/>
            <w:tcMar>
              <w:top w:w="70" w:type="dxa"/>
              <w:start w:w="90" w:type="dxa"/>
              <w:bottom w:w="70" w:type="dxa"/>
              <w:end w:w="90" w:type="dxa"/>
            </w:tcMar>
          </w:tcPr>
          <w:p>
            <w:pPr>
              <w:pStyle w:val="Compact"/>
              <w:spacing w:before="0" w:after="0" w:line="240" w:lineRule="auto"/>
            </w:pPr>
            <w:r>
              <w:t>&lt; 0.001***</w:t>
            </w:r>
          </w:p>
        </w:tc>
      </w:tr>
      <w:tr>
        <w:tc>
          <w:tcPr>
            <w:tcW w:type="dxa" w:w="1420"/>
            <w:gridSpan w:val="4"/>
            <w:vAlign w:val="center"/>
            <w:tcMar>
              <w:top w:w="70" w:type="dxa"/>
              <w:start w:w="90" w:type="dxa"/>
              <w:bottom w:w="70" w:type="dxa"/>
              <w:end w:w="90" w:type="dxa"/>
            </w:tcMar>
          </w:tcPr>
          <w:p>
            <w:pPr>
              <w:pStyle w:val="Compact"/>
              <w:spacing w:before="36" w:after="36"/>
            </w:pPr>
            <w:r>
              <w:rPr>
                <w:i/>
              </w:rPr>
              <w:t>Model performance: Adj.\ R² = 0.064, Scale est.\ = 4.03, n = 1894</w:t>
            </w:r>
          </w:p>
        </w:tc>
      </w:tr>
    </w:tbl>
    <w:p>
      <w:pPr>
        <w:pStyle w:val="BodyText"/>
      </w:pPr>
      <w:r>
        <w:t xml:space="preserve">Partial effects for the smooth terms, which represent the isolated influence of each predictor while holding other variables constant at their mean, are shown in Figure 4. The previous butterfly count (BI) showed a significant non-linear negative relationship (</w:t>
      </w:r>
      <m:oMath>
        <m:r>
          <m:t>p</m:t>
        </m:r>
        <m:r>
          <m:rPr>
            <m:sty m:val="p"/>
          </m:rPr>
          <m:t>&lt;</m:t>
        </m:r>
        <m:r>
          <m:t>0.001</m:t>
        </m:r>
      </m:oMath>
      <w:r>
        <w:t xml:space="preserve">) consistent with proportionally greater departures from larger aggregations. Time of day captured a significant diurnal pattern (</w:t>
      </w:r>
      <m:oMath>
        <m:r>
          <m:t>p</m:t>
        </m:r>
        <m:r>
          <m:rPr>
            <m:sty m:val="p"/>
          </m:rPr>
          <m:t>&lt;</m:t>
        </m:r>
        <m:r>
          <m:t>0.001</m:t>
        </m:r>
      </m:oMath>
      <w:r>
        <w:t xml:space="preserve">) with morning departures (reductions in BI) and afternoon returns (increases in BI). Temperature showed a marginally non-significant trend (</w:t>
      </w:r>
      <m:oMath>
        <m:r>
          <m:t>p</m:t>
        </m:r>
      </m:oMath>
      <w:r>
        <w:t xml:space="preserve"> </w:t>
      </w:r>
      <w:r>
        <w:t xml:space="preserve">= 0.057), suggesting possible effects beginning near the 12.7–16</w:t>
      </w:r>
      <m:oMath>
        <m:sSup>
          <m:e>
            <m:r>
              <m:t>​</m:t>
            </m:r>
          </m:e>
          <m:sup>
            <m:r>
              <m:rPr>
                <m:sty m:val="p"/>
              </m:rPr>
              <m:t>∘</m:t>
            </m:r>
          </m:sup>
        </m:sSup>
      </m:oMath>
      <w:r>
        <w:t xml:space="preserve">C flight threshold and continuing at warmer temperatures. In Figure 4, limited change below this threshold is consistent with reduced ability to fly from clusters. The rise at moderate temperatures above the threshold suggests increased clustering under those conditions, whereas the decline at warmer values suggests departures from locations that may have become too warm.</w:t>
      </w:r>
    </w:p>
    <w:bookmarkStart w:id="71" w:name="fig:partial_effects_30min"/>
    <w:p>
      <w:pPr>
        <w:pStyle w:val="CaptionedFigure"/>
        <w:keepNext/>
        <w:spacing w:before="80" w:after="0"/>
        <w:jc w:val="center"/>
      </w:pPr>
      <w:r>
        <w:drawing>
          <wp:inline>
            <wp:extent cx="5074920" cy="2537460"/>
            <wp:effectExtent b="0" l="0" r="0" t="0"/>
            <wp:docPr descr="" title="" id="69" name="Picture"/>
            <a:graphic>
              <a:graphicData uri="http://schemas.openxmlformats.org/drawingml/2006/picture">
                <pic:pic>
                  <pic:nvPicPr>
                    <pic:cNvPr descr="figures/partial_effects_30min.png" id="70" name="Picture"/>
                    <pic:cNvPicPr>
                      <a:picLocks noChangeArrowheads="1" noChangeAspect="1"/>
                    </pic:cNvPicPr>
                  </pic:nvPicPr>
                  <pic:blipFill>
                    <a:blip r:embed="rId68"/>
                    <a:stretch>
                      <a:fillRect/>
                    </a:stretch>
                  </pic:blipFill>
                  <pic:spPr bwMode="auto">
                    <a:xfrm>
                      <a:off x="0" y="0"/>
                      <a:ext cx="5074920" cy="2537460"/>
                    </a:xfrm>
                    <a:prstGeom prst="rect">
                      <a:avLst/>
                    </a:prstGeom>
                    <a:noFill/>
                    <a:ln w="9525">
                      <a:noFill/>
                      <a:headEnd/>
                      <a:tailEnd/>
                    </a:ln>
                  </pic:spPr>
                </pic:pic>
              </a:graphicData>
            </a:graphic>
          </wp:inline>
        </w:drawing>
      </w:r>
    </w:p>
    <w:p>
      <w:pPr>
        <w:pStyle w:val="ImageCaption"/>
        <w:jc w:val="left"/>
      </w:pPr>
      <w:r>
        <w:t>Figure 4. Partial effects for best fit wind disruption model (30-minute window). BI is butterfly index. Partial effects of environmental predictors on BI from the best-fit GAMM model (M50) in the 30-minute wind disruption analysis. Partial effects show how each environmental factor influences butterfly abundance while holding all other variables constant, thus isolating each predictor’s individual contribution to the response. Shaded regions represent 95% confidence intervals. The blue vertical shading in the right panel shows the range of temperatures over which the flight threshold occurs.</w:t>
      </w:r>
    </w:p>
    <w:bookmarkEnd w:id="71"/>
    <w:p>
      <w:pPr>
        <w:pStyle w:val="BodyText"/>
      </w:pPr>
      <w:r>
        <w:t xml:space="preserve">The tensor interaction between wind speed and butterflies in direct sun (</w:t>
      </w:r>
      <m:oMath>
        <m:r>
          <m:t>p</m:t>
        </m:r>
        <m:r>
          <m:rPr>
            <m:sty m:val="p"/>
          </m:rPr>
          <m:t>&lt;</m:t>
        </m:r>
        <m:r>
          <m:t>0.001</m:t>
        </m:r>
      </m:oMath>
      <w:r>
        <w:t xml:space="preserve">) revealed a complex conditional relationship where wind effects on</w:t>
      </w:r>
      <w:r>
        <w:t xml:space="preserve"> </w:t>
      </w:r>
      <m:oMath>
        <m:r>
          <m:rPr>
            <m:sty m:val="p"/>
          </m:rPr>
          <m:t>Δ</m:t>
        </m:r>
      </m:oMath>
      <w:r>
        <w:t xml:space="preserve">BI depended on solar exposure conditions. Bivariate heat maps (Figure 5) show the combined response to wind and light of monarchs present in clusters. When none of the butterflies present were in direct sun (Figure 5, origin of ordinate),</w:t>
      </w:r>
      <w:r>
        <w:t xml:space="preserve"> </w:t>
      </w:r>
      <m:oMath>
        <m:r>
          <m:rPr>
            <m:sty m:val="p"/>
          </m:rPr>
          <m:t>Δ</m:t>
        </m:r>
      </m:oMath>
      <w:r>
        <w:t xml:space="preserve">BI showed no consistent trend (blue or red) across the observed wind speed range (0–12.4 m/s). Conversely, when wind was held constant and low (near origin of abscissa, Figure 5), low numbers of butterflies in direct sun (</w:t>
      </w:r>
      <m:oMath>
        <m:r>
          <m:rPr>
            <m:sty m:val="p"/>
          </m:rPr>
          <m:t>&lt;</m:t>
        </m:r>
      </m:oMath>
      <w:r>
        <w:t xml:space="preserve">50) were associated with decreasing cluster sizes (blue or negative</w:t>
      </w:r>
      <w:r>
        <w:t xml:space="preserve"> </w:t>
      </w:r>
      <m:oMath>
        <m:r>
          <m:rPr>
            <m:sty m:val="p"/>
          </m:rPr>
          <m:t>Δ</m:t>
        </m:r>
      </m:oMath>
      <w:r>
        <w:t xml:space="preserve">BI values), while larger cluster sizes (</w:t>
      </w:r>
      <m:oMath>
        <m:r>
          <m:rPr>
            <m:sty m:val="p"/>
          </m:rPr>
          <m:t>∼</m:t>
        </m:r>
      </m:oMath>
      <w:r>
        <w:t xml:space="preserve">100–150) led to increases in size (red or positive</w:t>
      </w:r>
      <w:r>
        <w:t xml:space="preserve"> </w:t>
      </w:r>
      <m:oMath>
        <m:r>
          <m:rPr>
            <m:sty m:val="p"/>
          </m:rPr>
          <m:t>Δ</m:t>
        </m:r>
      </m:oMath>
      <w:r>
        <w:t xml:space="preserve">BI values). At higher counts of butterflies in sun (e.g.,</w:t>
      </w:r>
      <w:r>
        <w:t xml:space="preserve"> </w:t>
      </w:r>
      <m:oMath>
        <m:r>
          <m:rPr>
            <m:sty m:val="p"/>
          </m:rPr>
          <m:t>&gt;</m:t>
        </m:r>
      </m:oMath>
      <w:r>
        <w:t xml:space="preserve">100), the response depended on wind speed. In winds</w:t>
      </w:r>
      <w:r>
        <w:t xml:space="preserve"> </w:t>
      </w:r>
      <m:oMath>
        <m:r>
          <m:rPr>
            <m:sty m:val="p"/>
          </m:rPr>
          <m:t>&lt;</m:t>
        </m:r>
      </m:oMath>
      <w:r>
        <w:t xml:space="preserve">1 m/s clusters increase, then decrease in winds between 2 and 3 m/s, and then the pattern reverses and cluster sizes increase when wind speeds exceeded 3 m/s. The proposed 2 m/s value does not seem to be a boundary or threshold when wind and light are considered simultaneously. Gray regions (Figure 5) mask areas too distant from observed data points for reliable interpretation, and caution is warranted when interpreting the strongest partial effects at the edges of the data distribution because observations are sparse and interpolation artifacts may occur. Notably, the overwhelming majority of observations occurred at low counts of butterflies in direct sun, emphasizing that most clustering behavior happens in indirect light.</w:t>
      </w:r>
    </w:p>
    <w:bookmarkStart w:id="75" w:name="fig:interaction_wind_sun_30min"/>
    <w:p>
      <w:pPr>
        <w:pStyle w:val="CaptionedFigure"/>
        <w:keepNext/>
        <w:spacing w:before="80" w:after="0"/>
        <w:jc w:val="center"/>
      </w:pPr>
      <w:r>
        <w:drawing>
          <wp:inline>
            <wp:extent cx="4160520" cy="3566160"/>
            <wp:effectExtent b="0" l="0" r="0" t="0"/>
            <wp:docPr descr="" title="" id="73" name="Picture"/>
            <a:graphic>
              <a:graphicData uri="http://schemas.openxmlformats.org/drawingml/2006/picture">
                <pic:pic>
                  <pic:nvPicPr>
                    <pic:cNvPr descr="figures/interaction_wind_sun_30min.png" id="74" name="Picture"/>
                    <pic:cNvPicPr>
                      <a:picLocks noChangeArrowheads="1" noChangeAspect="1"/>
                    </pic:cNvPicPr>
                  </pic:nvPicPr>
                  <pic:blipFill>
                    <a:blip r:embed="rId72"/>
                    <a:stretch>
                      <a:fillRect/>
                    </a:stretch>
                  </pic:blipFill>
                  <pic:spPr bwMode="auto">
                    <a:xfrm>
                      <a:off x="0" y="0"/>
                      <a:ext cx="4160520" cy="3566160"/>
                    </a:xfrm>
                    <a:prstGeom prst="rect">
                      <a:avLst/>
                    </a:prstGeom>
                    <a:noFill/>
                    <a:ln w="9525">
                      <a:noFill/>
                      <a:headEnd/>
                      <a:tailEnd/>
                    </a:ln>
                  </pic:spPr>
                </pic:pic>
              </a:graphicData>
            </a:graphic>
          </wp:inline>
        </w:drawing>
      </w:r>
    </w:p>
    <w:p>
      <w:pPr>
        <w:pStyle w:val="ImageCaption"/>
        <w:jc w:val="left"/>
      </w:pPr>
      <w:r>
        <w:t>Figure 5. BI response to interaction of wind and direct sun (30-minute window). Tensor smooth interaction between maximum wind speed (m/s) and the count of butterflies in direct sun on change in butterfly index (BI) in the 30-minute time windows. Color gradient indicates partial effects magnitude on BI (red = positive, blue = negative). Black points show observed data distribution. Gray regions indicate areas beyond reliable interpolation range.</w:t>
      </w:r>
    </w:p>
    <w:bookmarkEnd w:id="75"/>
    <w:bookmarkEnd w:id="76"/>
    <w:bookmarkStart w:id="85" w:name="model-diagnostics"/>
    <w:p>
      <w:pPr>
        <w:pStyle w:val="Heading3"/>
      </w:pPr>
      <w:r>
        <w:t xml:space="preserve">Model Diagnostics</w:t>
      </w:r>
    </w:p>
    <w:p>
      <w:pPr>
        <w:pStyle w:val="FirstParagraph"/>
      </w:pPr>
      <w:r>
        <w:t xml:space="preserve">Model diagnostic plots confirmed the adequacy of the GAMM specification (Figure 6) for the best fit model. The quantile-quantile plot revealed approximately normal residual distribution with minor deviations in the tails. Residual versus fitted value plots showed no systematic patterns or heteroscedasticity.</w:t>
      </w:r>
    </w:p>
    <w:bookmarkStart w:id="80" w:name="fig:diagnostics_30min"/>
    <w:p>
      <w:pPr>
        <w:pStyle w:val="CaptionedFigure"/>
        <w:keepNext/>
        <w:spacing w:before="80" w:after="0"/>
        <w:jc w:val="center"/>
      </w:pPr>
      <w:r>
        <w:drawing>
          <wp:inline>
            <wp:extent cx="4754880" cy="2641600"/>
            <wp:effectExtent b="0" l="0" r="0" t="0"/>
            <wp:docPr descr="" title="" id="78" name="Picture"/>
            <a:graphic>
              <a:graphicData uri="http://schemas.openxmlformats.org/drawingml/2006/picture">
                <pic:pic>
                  <pic:nvPicPr>
                    <pic:cNvPr descr="figures/diagnostics_30min.png" id="79" name="Picture"/>
                    <pic:cNvPicPr>
                      <a:picLocks noChangeArrowheads="1" noChangeAspect="1"/>
                    </pic:cNvPicPr>
                  </pic:nvPicPr>
                  <pic:blipFill>
                    <a:blip r:embed="rId77"/>
                    <a:stretch>
                      <a:fillRect/>
                    </a:stretch>
                  </pic:blipFill>
                  <pic:spPr bwMode="auto">
                    <a:xfrm>
                      <a:off x="0" y="0"/>
                      <a:ext cx="4754880" cy="2641600"/>
                    </a:xfrm>
                    <a:prstGeom prst="rect">
                      <a:avLst/>
                    </a:prstGeom>
                    <a:noFill/>
                    <a:ln w="9525">
                      <a:noFill/>
                      <a:headEnd/>
                      <a:tailEnd/>
                    </a:ln>
                  </pic:spPr>
                </pic:pic>
              </a:graphicData>
            </a:graphic>
          </wp:inline>
        </w:drawing>
      </w:r>
    </w:p>
    <w:p>
      <w:pPr>
        <w:pStyle w:val="ImageCaption"/>
        <w:jc w:val="left"/>
      </w:pPr>
      <w:r>
        <w:t>Figure 6. Quantile-quantile and residual plots for the best fit 30-minute wind disruption model. Quantile-quantile plot (left panel) comparing model residuals to theoretical normal distribution. Residuals versus fitted values (right panel) assess homoscedasticity and model adequacy.</w:t>
      </w:r>
    </w:p>
    <w:bookmarkEnd w:id="80"/>
    <w:p>
      <w:pPr>
        <w:pStyle w:val="BodyText"/>
      </w:pPr>
      <w:r>
        <w:t xml:space="preserve">Basis dimension checks confirmed adequate smoothing parameter selection for all model terms (Table 3). All smooth functions showed k-index values near 1.0, indicating sufficient basis dimensions to capture the underlying functional forms. None of the smooth terms showed evidence of undersmoothing (all</w:t>
      </w:r>
      <w:r>
        <w:t xml:space="preserve"> </w:t>
      </w:r>
      <m:oMath>
        <m:r>
          <m:t>p</m:t>
        </m:r>
      </m:oMath>
      <w:r>
        <w:t xml:space="preserve">-values</w:t>
      </w:r>
      <w:r>
        <w:t xml:space="preserve"> </w:t>
      </w:r>
      <m:oMath>
        <m:r>
          <m:rPr>
            <m:sty m:val="p"/>
          </m:rPr>
          <m:t>&gt;</m:t>
        </m:r>
        <m:r>
          <m:t>0.05</m:t>
        </m:r>
      </m:oMath>
      <w:r>
        <w:t xml:space="preserve">), with the possible exception of time within day which showed marginal evidence (k-index = 0.96,</w:t>
      </w:r>
      <w:r>
        <w:t xml:space="preserve"> </w:t>
      </w:r>
      <m:oMath>
        <m:r>
          <m:t>p</m:t>
        </m:r>
      </m:oMath>
      <w:r>
        <w:t xml:space="preserve"> </w:t>
      </w:r>
      <w:r>
        <w:t xml:space="preserve">= 0.065). These diagnostics confirm that overall, chosen basis dimensions adequately represent the complexity of the relationships without overfitting.</w:t>
      </w:r>
    </w:p>
    <w:p>
      <w:pPr>
        <w:pStyle w:val="TableCaption"/>
        <w:keepNext/>
        <w:spacing w:after="80"/>
      </w:pPr>
      <w:r>
        <w:t>Table 3. Basis dimension adequacy checks for the best fit 30-minute wind disruption model.</w:t>
      </w:r>
    </w:p>
    <w:tbl>
      <w:tblPr>
        <w:tblStyle w:val="Table"/>
        <w:tblW w:type="dxa" w:w="9270"/>
        <w:jc w:val="left"/>
        <w:tblLayout w:type="fixed"/>
        <w:tblLook w:firstColumn="1" w:firstRow="1" w:lastColumn="0" w:lastRow="0" w:noHBand="0" w:noVBand="1" w:val="04A0"/>
        <w:tblInd w:w="90" w:type="dxa"/>
      </w:tblPr>
      <w:tblGrid>
        <w:gridCol w:w="1350"/>
        <w:gridCol w:w="4560"/>
        <w:gridCol w:w="1120"/>
        <w:gridCol w:w="1120"/>
        <w:gridCol w:w="1120"/>
      </w:tblGrid>
      <w:tr>
        <w:trPr>
          <w:tblHeader w:val="true"/>
        </w:trPr>
        <w:tc>
          <w:tcPr>
            <w:tcW w:type="dxa" w:w="1350"/>
            <w:vAlign w:val="center"/>
            <w:tcMar>
              <w:top w:w="70" w:type="dxa"/>
              <w:start w:w="90" w:type="dxa"/>
              <w:bottom w:w="70" w:type="dxa"/>
              <w:end w:w="90" w:type="dxa"/>
            </w:tcMar>
          </w:tcPr>
          <w:p>
            <w:pPr>
              <w:pStyle w:val="Compact"/>
              <w:spacing w:before="0" w:after="0" w:line="240" w:lineRule="auto"/>
            </w:pPr>
            <w:r>
              <w:rPr>
                <w:b/>
              </w:rPr>
              <w:t>Smooth Term</w:t>
            </w:r>
          </w:p>
        </w:tc>
        <w:tc>
          <w:tcPr>
            <w:tcW w:type="dxa" w:w="4560"/>
            <w:vAlign w:val="center"/>
            <w:tcMar>
              <w:top w:w="70" w:type="dxa"/>
              <w:start w:w="90" w:type="dxa"/>
              <w:bottom w:w="70" w:type="dxa"/>
              <w:end w:w="90" w:type="dxa"/>
            </w:tcMar>
          </w:tcPr>
          <w:p>
            <w:pPr>
              <w:pStyle w:val="Compact"/>
              <w:spacing w:before="0" w:after="0" w:line="240" w:lineRule="auto"/>
            </w:pPr>
            <w:r>
              <w:rPr>
                <w:b/>
              </w:rPr>
              <w:t>k'</w:t>
            </w:r>
          </w:p>
        </w:tc>
        <w:tc>
          <w:tcPr>
            <w:tcW w:type="dxa" w:w="1120"/>
            <w:vAlign w:val="center"/>
            <w:tcMar>
              <w:top w:w="70" w:type="dxa"/>
              <w:start w:w="90" w:type="dxa"/>
              <w:bottom w:w="70" w:type="dxa"/>
              <w:end w:w="90" w:type="dxa"/>
            </w:tcMar>
          </w:tcPr>
          <w:p>
            <w:pPr>
              <w:pStyle w:val="Compact"/>
              <w:spacing w:before="0" w:after="0" w:line="240" w:lineRule="auto"/>
            </w:pPr>
            <w:r>
              <w:rPr>
                <w:b/>
              </w:rPr>
              <w:t>edf</w:t>
            </w:r>
          </w:p>
        </w:tc>
        <w:tc>
          <w:tcPr>
            <w:tcW w:type="dxa" w:w="1120"/>
            <w:vAlign w:val="center"/>
            <w:tcMar>
              <w:top w:w="70" w:type="dxa"/>
              <w:start w:w="90" w:type="dxa"/>
              <w:bottom w:w="70" w:type="dxa"/>
              <w:end w:w="90" w:type="dxa"/>
            </w:tcMar>
          </w:tcPr>
          <w:p>
            <w:pPr>
              <w:pStyle w:val="Compact"/>
              <w:spacing w:before="0" w:after="0" w:line="240" w:lineRule="auto"/>
            </w:pPr>
            <w:r>
              <w:rPr>
                <w:b/>
              </w:rPr>
              <w:t>k-index</w:t>
            </w:r>
          </w:p>
        </w:tc>
        <w:tc>
          <w:tcPr>
            <w:tcW w:type="dxa" w:w="1120"/>
            <w:vAlign w:val="center"/>
            <w:tcMar>
              <w:top w:w="70" w:type="dxa"/>
              <w:start w:w="90" w:type="dxa"/>
              <w:bottom w:w="70" w:type="dxa"/>
              <w:end w:w="90" w:type="dxa"/>
            </w:tcMar>
          </w:tcPr>
          <w:p>
            <w:pPr>
              <w:pStyle w:val="Compact"/>
              <w:spacing w:before="0" w:after="0" w:line="240" w:lineRule="auto"/>
            </w:pPr>
            <w:r>
              <w:rPr>
                <w:b/>
              </w:rPr>
              <w:t>p-value</w:t>
            </w:r>
          </w:p>
        </w:tc>
      </w:tr>
      <w:tr>
        <w:tc>
          <w:tcPr>
            <w:tcW w:type="dxa" w:w="1350"/>
            <w:vAlign w:val="center"/>
            <w:tcMar>
              <w:top w:w="70" w:type="dxa"/>
              <w:start w:w="90" w:type="dxa"/>
              <w:bottom w:w="70" w:type="dxa"/>
              <w:end w:w="90" w:type="dxa"/>
            </w:tcMar>
          </w:tcPr>
          <w:p>
            <w:pPr>
              <w:pStyle w:val="Compact"/>
              <w:spacing w:before="0" w:after="0" w:line="240" w:lineRule="auto"/>
            </w:pPr>
            <w:r>
              <w:t>s(total butterflies t_lag)</w:t>
            </w:r>
          </w:p>
        </w:tc>
        <w:tc>
          <w:tcPr>
            <w:tcW w:type="dxa" w:w="4560"/>
            <w:vAlign w:val="center"/>
            <w:tcMar>
              <w:top w:w="70" w:type="dxa"/>
              <w:start w:w="90" w:type="dxa"/>
              <w:bottom w:w="70" w:type="dxa"/>
              <w:end w:w="90" w:type="dxa"/>
            </w:tcMar>
          </w:tcPr>
          <w:p>
            <w:pPr>
              <w:pStyle w:val="Compact"/>
              <w:spacing w:before="0" w:after="0" w:line="240" w:lineRule="auto"/>
            </w:pPr>
            <w:r>
              <w:t>9.00</w:t>
            </w:r>
          </w:p>
        </w:tc>
        <w:tc>
          <w:tcPr>
            <w:tcW w:type="dxa" w:w="1120"/>
            <w:vAlign w:val="center"/>
            <w:tcMar>
              <w:top w:w="70" w:type="dxa"/>
              <w:start w:w="90" w:type="dxa"/>
              <w:bottom w:w="70" w:type="dxa"/>
              <w:end w:w="90" w:type="dxa"/>
            </w:tcMar>
          </w:tcPr>
          <w:p>
            <w:pPr>
              <w:pStyle w:val="Compact"/>
              <w:spacing w:before="0" w:after="0" w:line="240" w:lineRule="auto"/>
            </w:pPr>
            <w:r>
              <w:t>2.41</w:t>
            </w:r>
          </w:p>
        </w:tc>
        <w:tc>
          <w:tcPr>
            <w:tcW w:type="dxa" w:w="1120"/>
            <w:vAlign w:val="center"/>
            <w:tcMar>
              <w:top w:w="70" w:type="dxa"/>
              <w:start w:w="90" w:type="dxa"/>
              <w:bottom w:w="70" w:type="dxa"/>
              <w:end w:w="90" w:type="dxa"/>
            </w:tcMar>
          </w:tcPr>
          <w:p>
            <w:pPr>
              <w:pStyle w:val="Compact"/>
              <w:spacing w:before="0" w:after="0" w:line="240" w:lineRule="auto"/>
            </w:pPr>
            <w:r>
              <w:t>1.00</w:t>
            </w:r>
          </w:p>
        </w:tc>
        <w:tc>
          <w:tcPr>
            <w:tcW w:type="dxa" w:w="1120"/>
            <w:vAlign w:val="center"/>
            <w:tcMar>
              <w:top w:w="70" w:type="dxa"/>
              <w:start w:w="90" w:type="dxa"/>
              <w:bottom w:w="70" w:type="dxa"/>
              <w:end w:w="90" w:type="dxa"/>
            </w:tcMar>
          </w:tcPr>
          <w:p>
            <w:pPr>
              <w:pStyle w:val="Compact"/>
              <w:spacing w:before="0" w:after="0" w:line="240" w:lineRule="auto"/>
            </w:pPr>
            <w:r>
              <w:t>0.735</w:t>
            </w:r>
          </w:p>
        </w:tc>
      </w:tr>
      <w:tr>
        <w:tc>
          <w:tcPr>
            <w:tcW w:type="dxa" w:w="1350"/>
            <w:vAlign w:val="center"/>
            <w:tcMar>
              <w:top w:w="70" w:type="dxa"/>
              <w:start w:w="90" w:type="dxa"/>
              <w:bottom w:w="70" w:type="dxa"/>
              <w:end w:w="90" w:type="dxa"/>
            </w:tcMar>
          </w:tcPr>
          <w:p>
            <w:pPr>
              <w:pStyle w:val="Compact"/>
              <w:spacing w:before="0" w:after="0" w:line="240" w:lineRule="auto"/>
            </w:pPr>
            <w:r>
              <w:t>s(temperature avg)</w:t>
            </w:r>
          </w:p>
        </w:tc>
        <w:tc>
          <w:tcPr>
            <w:tcW w:type="dxa" w:w="4560"/>
            <w:vAlign w:val="center"/>
            <w:tcMar>
              <w:top w:w="70" w:type="dxa"/>
              <w:start w:w="90" w:type="dxa"/>
              <w:bottom w:w="70" w:type="dxa"/>
              <w:end w:w="90" w:type="dxa"/>
            </w:tcMar>
          </w:tcPr>
          <w:p>
            <w:pPr>
              <w:pStyle w:val="Compact"/>
              <w:spacing w:before="0" w:after="0" w:line="240" w:lineRule="auto"/>
            </w:pPr>
            <w:r>
              <w:t>9.00</w:t>
            </w:r>
          </w:p>
        </w:tc>
        <w:tc>
          <w:tcPr>
            <w:tcW w:type="dxa" w:w="1120"/>
            <w:vAlign w:val="center"/>
            <w:tcMar>
              <w:top w:w="70" w:type="dxa"/>
              <w:start w:w="90" w:type="dxa"/>
              <w:bottom w:w="70" w:type="dxa"/>
              <w:end w:w="90" w:type="dxa"/>
            </w:tcMar>
          </w:tcPr>
          <w:p>
            <w:pPr>
              <w:pStyle w:val="Compact"/>
              <w:spacing w:before="0" w:after="0" w:line="240" w:lineRule="auto"/>
            </w:pPr>
            <w:r>
              <w:t>3.67</w:t>
            </w:r>
          </w:p>
        </w:tc>
        <w:tc>
          <w:tcPr>
            <w:tcW w:type="dxa" w:w="1120"/>
            <w:vAlign w:val="center"/>
            <w:tcMar>
              <w:top w:w="70" w:type="dxa"/>
              <w:start w:w="90" w:type="dxa"/>
              <w:bottom w:w="70" w:type="dxa"/>
              <w:end w:w="90" w:type="dxa"/>
            </w:tcMar>
          </w:tcPr>
          <w:p>
            <w:pPr>
              <w:pStyle w:val="Compact"/>
              <w:spacing w:before="0" w:after="0" w:line="240" w:lineRule="auto"/>
            </w:pPr>
            <w:r>
              <w:t>1.02</w:t>
            </w:r>
          </w:p>
        </w:tc>
        <w:tc>
          <w:tcPr>
            <w:tcW w:type="dxa" w:w="1120"/>
            <w:vAlign w:val="center"/>
            <w:tcMar>
              <w:top w:w="70" w:type="dxa"/>
              <w:start w:w="90" w:type="dxa"/>
              <w:bottom w:w="70" w:type="dxa"/>
              <w:end w:w="90" w:type="dxa"/>
            </w:tcMar>
          </w:tcPr>
          <w:p>
            <w:pPr>
              <w:pStyle w:val="Compact"/>
              <w:spacing w:before="0" w:after="0" w:line="240" w:lineRule="auto"/>
            </w:pPr>
            <w:r>
              <w:t>0.895</w:t>
            </w:r>
          </w:p>
        </w:tc>
      </w:tr>
      <w:tr>
        <w:tc>
          <w:tcPr>
            <w:tcW w:type="dxa" w:w="1350"/>
            <w:vAlign w:val="center"/>
            <w:tcMar>
              <w:top w:w="70" w:type="dxa"/>
              <w:start w:w="90" w:type="dxa"/>
              <w:bottom w:w="70" w:type="dxa"/>
              <w:end w:w="90" w:type="dxa"/>
            </w:tcMar>
          </w:tcPr>
          <w:p>
            <w:pPr>
              <w:pStyle w:val="Compact"/>
              <w:spacing w:before="0" w:after="0" w:line="240" w:lineRule="auto"/>
            </w:pPr>
            <w:r>
              <w:t>s(time within day t)</w:t>
            </w:r>
          </w:p>
        </w:tc>
        <w:tc>
          <w:tcPr>
            <w:tcW w:type="dxa" w:w="4560"/>
            <w:vAlign w:val="center"/>
            <w:tcMar>
              <w:top w:w="70" w:type="dxa"/>
              <w:start w:w="90" w:type="dxa"/>
              <w:bottom w:w="70" w:type="dxa"/>
              <w:end w:w="90" w:type="dxa"/>
            </w:tcMar>
          </w:tcPr>
          <w:p>
            <w:pPr>
              <w:pStyle w:val="Compact"/>
              <w:spacing w:before="0" w:after="0" w:line="240" w:lineRule="auto"/>
            </w:pPr>
            <w:r>
              <w:t>9.00</w:t>
            </w:r>
          </w:p>
        </w:tc>
        <w:tc>
          <w:tcPr>
            <w:tcW w:type="dxa" w:w="1120"/>
            <w:vAlign w:val="center"/>
            <w:tcMar>
              <w:top w:w="70" w:type="dxa"/>
              <w:start w:w="90" w:type="dxa"/>
              <w:bottom w:w="70" w:type="dxa"/>
              <w:end w:w="90" w:type="dxa"/>
            </w:tcMar>
          </w:tcPr>
          <w:p>
            <w:pPr>
              <w:pStyle w:val="Compact"/>
              <w:spacing w:before="0" w:after="0" w:line="240" w:lineRule="auto"/>
            </w:pPr>
            <w:r>
              <w:t>4.87</w:t>
            </w:r>
          </w:p>
        </w:tc>
        <w:tc>
          <w:tcPr>
            <w:tcW w:type="dxa" w:w="1120"/>
            <w:vAlign w:val="center"/>
            <w:tcMar>
              <w:top w:w="70" w:type="dxa"/>
              <w:start w:w="90" w:type="dxa"/>
              <w:bottom w:w="70" w:type="dxa"/>
              <w:end w:w="90" w:type="dxa"/>
            </w:tcMar>
          </w:tcPr>
          <w:p>
            <w:pPr>
              <w:pStyle w:val="Compact"/>
              <w:spacing w:before="0" w:after="0" w:line="240" w:lineRule="auto"/>
            </w:pPr>
            <w:r>
              <w:t>0.96</w:t>
            </w:r>
          </w:p>
        </w:tc>
        <w:tc>
          <w:tcPr>
            <w:tcW w:type="dxa" w:w="1120"/>
            <w:vAlign w:val="center"/>
            <w:tcMar>
              <w:top w:w="70" w:type="dxa"/>
              <w:start w:w="90" w:type="dxa"/>
              <w:bottom w:w="70" w:type="dxa"/>
              <w:end w:w="90" w:type="dxa"/>
            </w:tcMar>
          </w:tcPr>
          <w:p>
            <w:pPr>
              <w:pStyle w:val="Compact"/>
              <w:spacing w:before="0" w:after="0" w:line="240" w:lineRule="auto"/>
            </w:pPr>
            <w:r>
              <w:t>0.065</w:t>
            </w:r>
          </w:p>
        </w:tc>
      </w:tr>
      <w:tr>
        <w:tc>
          <w:tcPr>
            <w:tcW w:type="dxa" w:w="1350"/>
            <w:vAlign w:val="center"/>
            <w:tcMar>
              <w:top w:w="70" w:type="dxa"/>
              <w:start w:w="90" w:type="dxa"/>
              <w:bottom w:w="70" w:type="dxa"/>
              <w:end w:w="90" w:type="dxa"/>
            </w:tcMar>
          </w:tcPr>
          <w:p>
            <w:pPr>
              <w:pStyle w:val="Compact"/>
              <w:spacing w:before="0" w:after="0" w:line="240" w:lineRule="auto"/>
            </w:pPr>
            <w:r>
              <w:t>ti(max gust, butterflies direct sun t_lag)</w:t>
            </w:r>
          </w:p>
        </w:tc>
        <w:tc>
          <w:tcPr>
            <w:tcW w:type="dxa" w:w="4560"/>
            <w:vAlign w:val="center"/>
            <w:tcMar>
              <w:top w:w="70" w:type="dxa"/>
              <w:start w:w="90" w:type="dxa"/>
              <w:bottom w:w="70" w:type="dxa"/>
              <w:end w:w="90" w:type="dxa"/>
            </w:tcMar>
          </w:tcPr>
          <w:p>
            <w:pPr>
              <w:pStyle w:val="Compact"/>
              <w:spacing w:before="0" w:after="0" w:line="240" w:lineRule="auto"/>
            </w:pPr>
            <w:r>
              <w:t>16.00</w:t>
            </w:r>
          </w:p>
        </w:tc>
        <w:tc>
          <w:tcPr>
            <w:tcW w:type="dxa" w:w="1120"/>
            <w:vAlign w:val="center"/>
            <w:tcMar>
              <w:top w:w="70" w:type="dxa"/>
              <w:start w:w="90" w:type="dxa"/>
              <w:bottom w:w="70" w:type="dxa"/>
              <w:end w:w="90" w:type="dxa"/>
            </w:tcMar>
          </w:tcPr>
          <w:p>
            <w:pPr>
              <w:pStyle w:val="Compact"/>
              <w:spacing w:before="0" w:after="0" w:line="240" w:lineRule="auto"/>
            </w:pPr>
            <w:r>
              <w:t>7.35</w:t>
            </w:r>
          </w:p>
        </w:tc>
        <w:tc>
          <w:tcPr>
            <w:tcW w:type="dxa" w:w="1120"/>
            <w:vAlign w:val="center"/>
            <w:tcMar>
              <w:top w:w="70" w:type="dxa"/>
              <w:start w:w="90" w:type="dxa"/>
              <w:bottom w:w="70" w:type="dxa"/>
              <w:end w:w="90" w:type="dxa"/>
            </w:tcMar>
          </w:tcPr>
          <w:p>
            <w:pPr>
              <w:pStyle w:val="Compact"/>
              <w:spacing w:before="0" w:after="0" w:line="240" w:lineRule="auto"/>
            </w:pPr>
            <w:r>
              <w:t>0.99</w:t>
            </w:r>
          </w:p>
        </w:tc>
        <w:tc>
          <w:tcPr>
            <w:tcW w:type="dxa" w:w="1120"/>
            <w:vAlign w:val="center"/>
            <w:tcMar>
              <w:top w:w="70" w:type="dxa"/>
              <w:start w:w="90" w:type="dxa"/>
              <w:bottom w:w="70" w:type="dxa"/>
              <w:end w:w="90" w:type="dxa"/>
            </w:tcMar>
          </w:tcPr>
          <w:p>
            <w:pPr>
              <w:pStyle w:val="Compact"/>
              <w:spacing w:before="0" w:after="0" w:line="240" w:lineRule="auto"/>
            </w:pPr>
            <w:r>
              <w:t>0.490</w:t>
            </w:r>
          </w:p>
        </w:tc>
      </w:tr>
    </w:tbl>
    <w:p>
      <w:pPr>
        <w:pStyle w:val="BodyText"/>
      </w:pPr>
      <w:r>
        <w:t xml:space="preserve">Temporal autocorrelation analysis revealed minimal residual correlation structure after accounting for the AR(1) correlation within deployment-day time series (Figure 7). The rapid decay of autocorrelation function and all lags beyond lag 1 falling within the significance bounds confirmed the model adequately addressed the repeated measures nature of the time-series observations.</w:t>
      </w:r>
    </w:p>
    <w:bookmarkStart w:id="84" w:name="fig:acf_30min"/>
    <w:p>
      <w:pPr>
        <w:pStyle w:val="CaptionedFigure"/>
        <w:keepNext/>
        <w:spacing w:before="80" w:after="0"/>
        <w:jc w:val="center"/>
      </w:pPr>
      <w:r>
        <w:drawing>
          <wp:inline>
            <wp:extent cx="4160520" cy="2971800"/>
            <wp:effectExtent b="0" l="0" r="0" t="0"/>
            <wp:docPr descr="" title="" id="82" name="Picture"/>
            <a:graphic>
              <a:graphicData uri="http://schemas.openxmlformats.org/drawingml/2006/picture">
                <pic:pic>
                  <pic:nvPicPr>
                    <pic:cNvPr descr="figures/acf_30min.png" id="83" name="Picture"/>
                    <pic:cNvPicPr>
                      <a:picLocks noChangeArrowheads="1" noChangeAspect="1"/>
                    </pic:cNvPicPr>
                  </pic:nvPicPr>
                  <pic:blipFill>
                    <a:blip r:embed="rId81"/>
                    <a:stretch>
                      <a:fillRect/>
                    </a:stretch>
                  </pic:blipFill>
                  <pic:spPr bwMode="auto">
                    <a:xfrm>
                      <a:off x="0" y="0"/>
                      <a:ext cx="4160520" cy="2971800"/>
                    </a:xfrm>
                    <a:prstGeom prst="rect">
                      <a:avLst/>
                    </a:prstGeom>
                    <a:noFill/>
                    <a:ln w="9525">
                      <a:noFill/>
                      <a:headEnd/>
                      <a:tailEnd/>
                    </a:ln>
                  </pic:spPr>
                </pic:pic>
              </a:graphicData>
            </a:graphic>
          </wp:inline>
        </w:drawing>
      </w:r>
    </w:p>
    <w:p>
      <w:pPr>
        <w:pStyle w:val="ImageCaption"/>
        <w:jc w:val="left"/>
      </w:pPr>
      <w:r>
        <w:t>Figure 7. Autocorrelation function for best fit 30-minute wind disruption model. Autocorrelation function of model residuals showing minimal temporal correlation after accounting for AR(1) structure within deployment-day time series. Blue dashed lines indicate 95% confidence bounds for white noise.</w:t>
      </w:r>
    </w:p>
    <w:bookmarkEnd w:id="84"/>
    <w:bookmarkEnd w:id="85"/>
    <w:bookmarkEnd w:id="86"/>
    <w:bookmarkStart w:id="87" w:name="threshold-wind-disruption-analysis"/>
    <w:p>
      <w:pPr>
        <w:pStyle w:val="Heading2"/>
      </w:pPr>
      <w:r>
        <w:t xml:space="preserve">Threshold Wind Disruption Analysis</w:t>
      </w:r>
    </w:p>
    <w:p>
      <w:pPr>
        <w:pStyle w:val="FirstParagraph"/>
      </w:pPr>
      <w:r>
        <w:t xml:space="preserve">To determine whether wind is best characterized as a continuous variable or a binary disruption threshold, we repeated the entire model selection process using</w:t>
      </w:r>
      <w:r>
        <w:t xml:space="preserve"> </w:t>
      </w:r>
      <w:r>
        <w:t xml:space="preserve">“minutes above 2 m/s”</w:t>
      </w:r>
      <w:r>
        <w:t xml:space="preserve"> </w:t>
      </w:r>
      <w:r>
        <w:t xml:space="preserve">as the wind predictor. The best threshold model (T50) captured only 55% of model weight compared to 40% for a model without any wind term (</w:t>
      </w:r>
      <m:oMath>
        <m:r>
          <m:rPr>
            <m:sty m:val="p"/>
          </m:rPr>
          <m:t>Δ</m:t>
        </m:r>
      </m:oMath>
      <w:r>
        <w:t xml:space="preserve">AIC = 0.62) and showed comparable explanatory power (adjusted</w:t>
      </w:r>
      <w:r>
        <w:t xml:space="preserve"> </w:t>
      </w:r>
      <m:oMath>
        <m:sSup>
          <m:e>
            <m:r>
              <m:t>R</m:t>
            </m:r>
          </m:e>
          <m:sup>
            <m:r>
              <m:t>2</m:t>
            </m:r>
          </m:sup>
        </m:sSup>
      </m:oMath>
      <w:r>
        <w:t xml:space="preserve"> </w:t>
      </w:r>
      <w:r>
        <w:t xml:space="preserve">= 0.061) to the continuous wind model (adjusted</w:t>
      </w:r>
      <w:r>
        <w:t xml:space="preserve"> </w:t>
      </w:r>
      <m:oMath>
        <m:sSup>
          <m:e>
            <m:r>
              <m:t>R</m:t>
            </m:r>
          </m:e>
          <m:sup>
            <m:r>
              <m:t>2</m:t>
            </m:r>
          </m:sup>
        </m:sSup>
      </m:oMath>
      <w:r>
        <w:t xml:space="preserve"> </w:t>
      </w:r>
      <w:r>
        <w:t xml:space="preserve">= 0.064). Therefore, we find that the threshold approach does not improve the characterization of wind effects. While the threshold approach (2 m/s) may not optimally characterize wind effects, the interaction between wind (as a continuous or discrete variable) and solar exposure is a better characterization.</w:t>
      </w:r>
    </w:p>
    <w:p>
      <w:pPr>
        <w:pStyle w:val="BodyText"/>
      </w:pPr>
      <w:r>
        <w:t xml:space="preserve">We note that parameter estimation was not the objective of this comparison; rather, hypothesis testing was the objective. Therefore, we do not summarize the interaction partial effects here but present the complete threshold analysis results in Appendix B.</w:t>
      </w:r>
    </w:p>
    <w:bookmarkEnd w:id="87"/>
    <w:bookmarkStart w:id="88" w:name="statistical-power-to-detect-wind-effects"/>
    <w:p>
      <w:pPr>
        <w:pStyle w:val="Heading2"/>
      </w:pPr>
      <w:r>
        <w:t xml:space="preserve">Statistical Power to Detect Wind Effects</w:t>
      </w:r>
    </w:p>
    <w:p>
      <w:pPr>
        <w:pStyle w:val="FirstParagraph"/>
      </w:pPr>
      <w:r>
        <w:t xml:space="preserve">Post-hoc power analysis indicates that 1,894 paired observations achieved sufficient statistical power for effect sizes of biological relevance (Table 4).</w:t>
      </w:r>
    </w:p>
    <w:p>
      <w:pPr>
        <w:pStyle w:val="TableCaption"/>
        <w:keepNext/>
        <w:spacing w:after="80"/>
      </w:pPr>
      <w:r>
        <w:t>Table 4. Statistical power to detect wind effects.</w:t>
      </w:r>
    </w:p>
    <w:tbl>
      <w:tblPr>
        <w:tblStyle w:val="Table"/>
        <w:tblW w:type="dxa" w:w="9270"/>
        <w:jc w:val="left"/>
        <w:tblLayout w:type="fixed"/>
        <w:tblLook w:firstColumn="1" w:firstRow="1" w:lastColumn="0" w:lastRow="0" w:noHBand="0" w:noVBand="1" w:val="04A0"/>
        <w:tblInd w:w="90" w:type="dxa"/>
      </w:tblPr>
      <w:tblGrid>
        <w:gridCol w:w="3090"/>
        <w:gridCol w:w="3090"/>
        <w:gridCol w:w="3090"/>
      </w:tblGrid>
      <w:tr>
        <w:trPr>
          <w:tblHeader w:val="true"/>
        </w:trPr>
        <w:tc>
          <w:tcPr>
            <w:tcW w:type="dxa" w:w="3090"/>
            <w:vAlign w:val="center"/>
            <w:tcMar>
              <w:top w:w="70" w:type="dxa"/>
              <w:start w:w="90" w:type="dxa"/>
              <w:bottom w:w="70" w:type="dxa"/>
              <w:end w:w="90" w:type="dxa"/>
            </w:tcMar>
          </w:tcPr>
          <w:p>
            <w:pPr>
              <w:pStyle w:val="Compact"/>
              <w:spacing w:before="0" w:after="0" w:line="240" w:lineRule="auto"/>
            </w:pPr>
            <w:r>
              <w:rPr>
                <w:b/>
              </w:rPr>
              <w:t>Effect Size (SD units)</w:t>
            </w:r>
          </w:p>
        </w:tc>
        <w:tc>
          <w:tcPr>
            <w:tcW w:type="dxa" w:w="3090"/>
            <w:vAlign w:val="center"/>
            <w:tcMar>
              <w:top w:w="70" w:type="dxa"/>
              <w:start w:w="90" w:type="dxa"/>
              <w:bottom w:w="70" w:type="dxa"/>
              <w:end w:w="90" w:type="dxa"/>
            </w:tcMar>
          </w:tcPr>
          <w:p>
            <w:pPr>
              <w:pStyle w:val="Compact"/>
              <w:spacing w:before="0" w:after="0" w:line="240" w:lineRule="auto"/>
            </w:pPr>
            <w:r>
              <w:rPr>
                <w:b/>
              </w:rPr>
              <w:t>Power (Proportion)</w:t>
            </w:r>
          </w:p>
        </w:tc>
        <w:tc>
          <w:tcPr>
            <w:tcW w:type="dxa" w:w="3090"/>
            <w:vAlign w:val="center"/>
            <w:tcMar>
              <w:top w:w="70" w:type="dxa"/>
              <w:start w:w="90" w:type="dxa"/>
              <w:bottom w:w="70" w:type="dxa"/>
              <w:end w:w="90" w:type="dxa"/>
            </w:tcMar>
          </w:tcPr>
          <w:p>
            <w:pPr>
              <w:pStyle w:val="Compact"/>
              <w:spacing w:before="0" w:after="0" w:line="240" w:lineRule="auto"/>
            </w:pPr>
            <w:r>
              <w:rPr>
                <w:b/>
              </w:rPr>
              <w:t>Power (\ 0.05 &amp; 0.165 &amp; 16.5\ 0.10 &amp; 0.560 &amp; 56\ 0.15 &amp; 0.875 &amp; 87.5\ 0.20 &amp; 0.985 &amp; 98.5\</w:t>
            </w:r>
          </w:p>
        </w:tc>
      </w:tr>
    </w:tbl>
    <w:bookmarkEnd w:id="88"/>
    <w:bookmarkStart w:id="108" w:name="Xd6f312d1bed740beb2645549df248dd8ee9e3de"/>
    <w:p>
      <w:pPr>
        <w:pStyle w:val="Heading2"/>
      </w:pPr>
      <w:r>
        <w:t xml:space="preserve">Next Day Window and Site Fidelity Analysis</w:t>
      </w:r>
    </w:p>
    <w:p>
      <w:pPr>
        <w:pStyle w:val="FirstParagraph"/>
      </w:pPr>
      <w:r>
        <w:t xml:space="preserve">As noted, in the 30-minute interval analysis we assume butterflies can respond to unfavorable conditions over that interval. This assumption may not hold when temperatures fall below the flight threshold, or when shivering is too physiologically expensive, or when clustering decisions occur on a longer temporal horizon. Meaning there could be an apparent lag in response (</w:t>
      </w:r>
      <m:oMath>
        <m:r>
          <m:rPr>
            <m:sty m:val="p"/>
          </m:rPr>
          <m:t>Δ</m:t>
        </m:r>
      </m:oMath>
      <w:r>
        <w:t xml:space="preserve">BI). To address these limitations, we examined 96 consecutive-day pairs using a variable time interval spanning from the previous day’s maximum BI to the consecutive day’s last observation at sunset (mean duration = 29.6 hours). This approach tests whether cumulative weather exposure over a longer interval is what actually influences</w:t>
      </w:r>
      <w:r>
        <w:t xml:space="preserve"> </w:t>
      </w:r>
      <m:oMath>
        <m:r>
          <m:rPr>
            <m:sty m:val="p"/>
          </m:rPr>
          <m:t>Δ</m:t>
        </m:r>
      </m:oMath>
      <w:r>
        <w:t xml:space="preserve">BI. Inadvertently, it is also a test of site fidelity decisions over the course of two evenings. If butterflies leave a cluster, they could choose to return or not by the following day’s sunset. Returning would boost or maintain the maximum BI at sunset; not returning would lower it. A secondary analysis (below) using a standard 24-hour window (</w:t>
      </w:r>
      <m:oMath>
        <m:r>
          <m:t>n</m:t>
        </m:r>
      </m:oMath>
      <w:r>
        <w:t xml:space="preserve"> </w:t>
      </w:r>
      <w:r>
        <w:t xml:space="preserve">= 94 pairs) provided a sensitivity test of our findings.</w:t>
      </w:r>
    </w:p>
    <w:p>
      <w:pPr>
        <w:pStyle w:val="BodyText"/>
      </w:pPr>
      <w:r>
        <w:t xml:space="preserve">Daily maximum BI per cluster ranged from 0 to 770 butterflies (mean = 134.7</w:t>
      </w:r>
      <w:r>
        <w:t xml:space="preserve"> </w:t>
      </w:r>
      <m:oMath>
        <m:r>
          <m:rPr>
            <m:sty m:val="p"/>
          </m:rPr>
          <m:t>±</m:t>
        </m:r>
      </m:oMath>
      <w:r>
        <w:t xml:space="preserve"> </w:t>
      </w:r>
      <w:r>
        <w:t xml:space="preserve">138.1), with Next Day Window changes in maximum BI ranging from losses of 376 butterflies to gains of 464 butterflies (mean change =</w:t>
      </w:r>
      <w:r>
        <w:t xml:space="preserve"> </w:t>
      </w:r>
      <m:oMath>
        <m:r>
          <m:rPr>
            <m:sty m:val="p"/>
          </m:rPr>
          <m:t>−</m:t>
        </m:r>
      </m:oMath>
      <w:r>
        <w:t xml:space="preserve">10.5</w:t>
      </w:r>
      <w:r>
        <w:t xml:space="preserve"> </w:t>
      </w:r>
      <m:oMath>
        <m:r>
          <m:rPr>
            <m:sty m:val="p"/>
          </m:rPr>
          <m:t>±</m:t>
        </m:r>
      </m:oMath>
      <w:r>
        <w:t xml:space="preserve"> </w:t>
      </w:r>
      <w:r>
        <w:t xml:space="preserve">111.6). Maximum interval wind gusts ranged from 2.0 to 12.8 m/s (mean = 4.5</w:t>
      </w:r>
      <w:r>
        <w:t xml:space="preserve"> </w:t>
      </w:r>
      <m:oMath>
        <m:r>
          <m:rPr>
            <m:sty m:val="p"/>
          </m:rPr>
          <m:t>±</m:t>
        </m:r>
      </m:oMath>
      <w:r>
        <w:t xml:space="preserve"> </w:t>
      </w:r>
      <w:r>
        <w:t xml:space="preserve">1.8 m/s). Cumulative direct sun exposure varied from 0 to 1,122 butterflies observed per interval (mean = 139.8</w:t>
      </w:r>
      <w:r>
        <w:t xml:space="preserve"> </w:t>
      </w:r>
      <m:oMath>
        <m:r>
          <m:rPr>
            <m:sty m:val="p"/>
          </m:rPr>
          <m:t>±</m:t>
        </m:r>
      </m:oMath>
      <w:r>
        <w:t xml:space="preserve"> </w:t>
      </w:r>
      <w:r>
        <w:t xml:space="preserve">206.9).</w:t>
      </w:r>
    </w:p>
    <w:bookmarkStart w:id="89" w:name="X32ee3db399df8cb3b2887ea62030fd610bba97d"/>
    <w:p>
      <w:pPr>
        <w:pStyle w:val="Heading3"/>
      </w:pPr>
      <w:r>
        <w:t xml:space="preserve">Model Selection: Next Day Window and Site Fidelity Analysis</w:t>
      </w:r>
    </w:p>
    <w:p>
      <w:pPr>
        <w:pStyle w:val="FirstParagraph"/>
      </w:pPr>
      <w:r>
        <w:t xml:space="preserve">Model selection via AICc identified the best-fit model (M32) as capturing 85% of the total model weight (Table 5). The next best model showed substantially weaker support with</w:t>
      </w:r>
      <w:r>
        <w:t xml:space="preserve"> </w:t>
      </w:r>
      <m:oMath>
        <m:r>
          <m:rPr>
            <m:sty m:val="p"/>
          </m:rPr>
          <m:t>Δ</m:t>
        </m:r>
      </m:oMath>
      <w:r>
        <w:t xml:space="preserve">AICc = 5.6 and only 5% model weight. The best-fit model predicted square-root transformed change in BI as a function of: (1) the previous day’s maximum butterfly index, (2) window duration in hours, and (3) a tensor smooth interaction between maximum wind gust speed and cumulative butterflies in direct sunlight.</w:t>
      </w:r>
    </w:p>
    <w:p>
      <w:pPr>
        <w:pStyle w:val="TableCaption"/>
        <w:keepNext/>
        <w:spacing w:after="80"/>
      </w:pPr>
      <w:r>
        <w:t>Table 5. Top 5 models ranked by AICc for the Next Day Window and site fidelity analysis. Terms list candidate weather terms evaluated with baseline controls for previous-day maximum BI and window duration. BI is butterfly index. K is the number of estimated parameters, logLik is the model log-likelihood, is the difference from the best model, Weight is the Akaike weight, and ti() denotes a tensor product interaction smooth.</w:t>
      </w:r>
    </w:p>
    <w:tbl>
      <w:tblPr>
        <w:tblStyle w:val="Table"/>
        <w:tblW w:type="dxa" w:w="9270"/>
        <w:jc w:val="left"/>
        <w:tblLayout w:type="fixed"/>
        <w:tblLook w:firstColumn="1" w:firstRow="1" w:lastColumn="0" w:lastRow="0" w:noHBand="0" w:noVBand="1" w:val="04A0"/>
        <w:tblInd w:w="90" w:type="dxa"/>
      </w:tblPr>
      <w:tblGrid>
        <w:gridCol w:w="700"/>
        <w:gridCol w:w="4150"/>
        <w:gridCol w:w="650"/>
        <w:gridCol w:w="850"/>
        <w:gridCol w:w="850"/>
        <w:gridCol w:w="1050"/>
        <w:gridCol w:w="1020"/>
      </w:tblGrid>
      <w:tr>
        <w:trPr>
          <w:tblHeader w:val="true"/>
        </w:trPr>
        <w:tc>
          <w:tcPr>
            <w:tcW w:type="dxa" w:w="700"/>
            <w:vAlign w:val="center"/>
            <w:tcMar>
              <w:top w:w="70" w:type="dxa"/>
              <w:start w:w="90" w:type="dxa"/>
              <w:bottom w:w="70" w:type="dxa"/>
              <w:end w:w="90" w:type="dxa"/>
            </w:tcMar>
          </w:tcPr>
          <w:p>
            <w:pPr>
              <w:pStyle w:val="Compact"/>
              <w:spacing w:before="0" w:after="0" w:line="240" w:lineRule="auto"/>
            </w:pPr>
            <w:r>
              <w:rPr>
                <w:b/>
              </w:rPr>
              <w:t>Model</w:t>
            </w:r>
          </w:p>
        </w:tc>
        <w:tc>
          <w:tcPr>
            <w:tcW w:type="dxa" w:w="4150"/>
            <w:vAlign w:val="center"/>
            <w:tcMar>
              <w:top w:w="70" w:type="dxa"/>
              <w:start w:w="90" w:type="dxa"/>
              <w:bottom w:w="70" w:type="dxa"/>
              <w:end w:w="90" w:type="dxa"/>
            </w:tcMar>
          </w:tcPr>
          <w:p>
            <w:pPr>
              <w:pStyle w:val="Compact"/>
              <w:spacing w:before="0" w:after="0" w:line="240" w:lineRule="auto"/>
            </w:pPr>
            <w:r>
              <w:rPr>
                <w:b/>
              </w:rPr>
              <w:t>Terms</w:t>
            </w:r>
          </w:p>
        </w:tc>
        <w:tc>
          <w:tcPr>
            <w:tcW w:type="dxa" w:w="650"/>
            <w:vAlign w:val="center"/>
            <w:tcMar>
              <w:top w:w="70" w:type="dxa"/>
              <w:start w:w="90" w:type="dxa"/>
              <w:bottom w:w="70" w:type="dxa"/>
              <w:end w:w="90" w:type="dxa"/>
            </w:tcMar>
          </w:tcPr>
          <w:p>
            <w:pPr>
              <w:pStyle w:val="Compact"/>
              <w:spacing w:before="0" w:after="0" w:line="240" w:lineRule="auto"/>
            </w:pPr>
            <w:r>
              <w:rPr>
                <w:b/>
              </w:rPr>
              <w:t>K</w:t>
            </w:r>
          </w:p>
        </w:tc>
        <w:tc>
          <w:tcPr>
            <w:tcW w:type="dxa" w:w="850"/>
            <w:vAlign w:val="center"/>
            <w:tcMar>
              <w:top w:w="70" w:type="dxa"/>
              <w:start w:w="90" w:type="dxa"/>
              <w:bottom w:w="70" w:type="dxa"/>
              <w:end w:w="90" w:type="dxa"/>
            </w:tcMar>
          </w:tcPr>
          <w:p>
            <w:pPr>
              <w:pStyle w:val="Compact"/>
              <w:spacing w:before="0" w:after="0" w:line="240" w:lineRule="auto"/>
            </w:pPr>
            <w:r>
              <w:rPr>
                <w:b/>
              </w:rPr>
              <w:t>logLik</w:t>
            </w:r>
          </w:p>
        </w:tc>
        <w:tc>
          <w:tcPr>
            <w:tcW w:type="dxa" w:w="850"/>
            <w:vAlign w:val="center"/>
            <w:tcMar>
              <w:top w:w="70" w:type="dxa"/>
              <w:start w:w="90" w:type="dxa"/>
              <w:bottom w:w="70" w:type="dxa"/>
              <w:end w:w="90" w:type="dxa"/>
            </w:tcMar>
          </w:tcPr>
          <w:p>
            <w:pPr>
              <w:pStyle w:val="Compact"/>
              <w:spacing w:before="0" w:after="0" w:line="240" w:lineRule="auto"/>
            </w:pPr>
            <w:r>
              <w:rPr>
                <w:b/>
              </w:rPr>
              <w:t>AICc</w:t>
            </w:r>
          </w:p>
        </w:tc>
        <w:tc>
          <w:tcPr>
            <w:tcW w:type="dxa" w:w="1050"/>
            <w:vAlign w:val="center"/>
            <w:tcMar>
              <w:top w:w="70" w:type="dxa"/>
              <w:start w:w="90" w:type="dxa"/>
              <w:bottom w:w="70" w:type="dxa"/>
              <w:end w:w="90" w:type="dxa"/>
            </w:tcMar>
          </w:tcPr>
          <w:p>
            <w:pPr>
              <w:pStyle w:val="Compact"/>
              <w:spacing w:before="0" w:after="0" w:line="240" w:lineRule="auto"/>
            </w:pPr>
            <w:r>
              <w:rPr>
                <w:b/>
              </w:rPr>
            </w:r>
          </w:p>
        </w:tc>
        <w:tc>
          <w:tcPr>
            <w:tcW w:type="dxa" w:w="1020"/>
            <w:vAlign w:val="center"/>
            <w:tcMar>
              <w:top w:w="70" w:type="dxa"/>
              <w:start w:w="90" w:type="dxa"/>
              <w:bottom w:w="70" w:type="dxa"/>
              <w:end w:w="90" w:type="dxa"/>
            </w:tcMar>
          </w:tcPr>
          <w:p>
            <w:pPr>
              <w:pStyle w:val="Compact"/>
              <w:spacing w:before="0" w:after="0" w:line="240" w:lineRule="auto"/>
            </w:pPr>
            <w:r>
              <w:rPr>
                <w:b/>
              </w:rPr>
              <w:t>Weight</w:t>
            </w:r>
          </w:p>
        </w:tc>
      </w:tr>
      <w:tr>
        <w:tc>
          <w:tcPr>
            <w:tcW w:type="dxa" w:w="700"/>
            <w:vAlign w:val="center"/>
            <w:tcMar>
              <w:top w:w="70" w:type="dxa"/>
              <w:start w:w="90" w:type="dxa"/>
              <w:bottom w:w="70" w:type="dxa"/>
              <w:end w:w="90" w:type="dxa"/>
            </w:tcMar>
          </w:tcPr>
          <w:p>
            <w:pPr>
              <w:pStyle w:val="Compact"/>
              <w:spacing w:before="0" w:after="0" w:line="240" w:lineRule="auto"/>
            </w:pPr>
            <w:r>
              <w:t>M32</w:t>
            </w:r>
          </w:p>
        </w:tc>
        <w:tc>
          <w:tcPr>
            <w:tcW w:type="dxa" w:w="4150"/>
            <w:vAlign w:val="center"/>
            <w:tcMar>
              <w:top w:w="70" w:type="dxa"/>
              <w:start w:w="90" w:type="dxa"/>
              <w:bottom w:w="70" w:type="dxa"/>
              <w:end w:w="90" w:type="dxa"/>
            </w:tcMar>
          </w:tcPr>
          <w:p>
            <w:pPr>
              <w:pStyle w:val="Compact"/>
              <w:spacing w:before="0" w:after="0" w:line="240" w:lineRule="auto"/>
            </w:pPr>
            <w:r>
              <w:t>ti(maximum wind gust, cumulative butterflies in direct sun)</w:t>
            </w:r>
          </w:p>
        </w:tc>
        <w:tc>
          <w:tcPr>
            <w:tcW w:type="dxa" w:w="650"/>
            <w:vAlign w:val="center"/>
            <w:tcMar>
              <w:top w:w="70" w:type="dxa"/>
              <w:start w:w="90" w:type="dxa"/>
              <w:bottom w:w="70" w:type="dxa"/>
              <w:end w:w="90" w:type="dxa"/>
            </w:tcMar>
          </w:tcPr>
          <w:p>
            <w:pPr>
              <w:pStyle w:val="Compact"/>
              <w:spacing w:before="0" w:after="0" w:line="240" w:lineRule="auto"/>
            </w:pPr>
            <w:r>
              <w:t>9</w:t>
            </w:r>
          </w:p>
        </w:tc>
        <w:tc>
          <w:tcPr>
            <w:tcW w:type="dxa" w:w="850"/>
            <w:vAlign w:val="center"/>
            <w:tcMar>
              <w:top w:w="70" w:type="dxa"/>
              <w:start w:w="90" w:type="dxa"/>
              <w:bottom w:w="70" w:type="dxa"/>
              <w:end w:w="90" w:type="dxa"/>
            </w:tcMar>
          </w:tcPr>
          <w:p>
            <w:pPr>
              <w:pStyle w:val="Compact"/>
              <w:spacing w:before="0" w:after="0" w:line="240" w:lineRule="auto"/>
            </w:pPr>
            <w:r>
              <w:t>−314.38</w:t>
            </w:r>
          </w:p>
        </w:tc>
        <w:tc>
          <w:tcPr>
            <w:tcW w:type="dxa" w:w="850"/>
            <w:vAlign w:val="center"/>
            <w:tcMar>
              <w:top w:w="70" w:type="dxa"/>
              <w:start w:w="90" w:type="dxa"/>
              <w:bottom w:w="70" w:type="dxa"/>
              <w:end w:w="90" w:type="dxa"/>
            </w:tcMar>
          </w:tcPr>
          <w:p>
            <w:pPr>
              <w:pStyle w:val="Compact"/>
              <w:spacing w:before="0" w:after="0" w:line="240" w:lineRule="auto"/>
            </w:pPr>
            <w:r>
              <w:t>648.85</w:t>
            </w:r>
          </w:p>
        </w:tc>
        <w:tc>
          <w:tcPr>
            <w:tcW w:type="dxa" w:w="1050"/>
            <w:vAlign w:val="center"/>
            <w:tcMar>
              <w:top w:w="70" w:type="dxa"/>
              <w:start w:w="90" w:type="dxa"/>
              <w:bottom w:w="70" w:type="dxa"/>
              <w:end w:w="90" w:type="dxa"/>
            </w:tcMar>
          </w:tcPr>
          <w:p>
            <w:pPr>
              <w:pStyle w:val="Compact"/>
              <w:spacing w:before="0" w:after="0" w:line="240" w:lineRule="auto"/>
            </w:pPr>
            <w:r>
              <w:t>0.00</w:t>
            </w:r>
          </w:p>
        </w:tc>
        <w:tc>
          <w:tcPr>
            <w:tcW w:type="dxa" w:w="1020"/>
            <w:vAlign w:val="center"/>
            <w:tcMar>
              <w:top w:w="70" w:type="dxa"/>
              <w:start w:w="90" w:type="dxa"/>
              <w:bottom w:w="70" w:type="dxa"/>
              <w:end w:w="90" w:type="dxa"/>
            </w:tcMar>
          </w:tcPr>
          <w:p>
            <w:pPr>
              <w:pStyle w:val="Compact"/>
              <w:spacing w:before="0" w:after="0" w:line="240" w:lineRule="auto"/>
            </w:pPr>
            <w:r>
              <w:t>0.85</w:t>
            </w:r>
          </w:p>
        </w:tc>
      </w:tr>
      <w:tr>
        <w:tc>
          <w:tcPr>
            <w:tcW w:type="dxa" w:w="700"/>
            <w:vAlign w:val="center"/>
            <w:tcMar>
              <w:top w:w="70" w:type="dxa"/>
              <w:start w:w="90" w:type="dxa"/>
              <w:bottom w:w="70" w:type="dxa"/>
              <w:end w:w="90" w:type="dxa"/>
            </w:tcMar>
          </w:tcPr>
          <w:p>
            <w:pPr>
              <w:pStyle w:val="Compact"/>
              <w:spacing w:before="0" w:after="0" w:line="240" w:lineRule="auto"/>
            </w:pPr>
            <w:r>
              <w:t>M52</w:t>
            </w:r>
          </w:p>
        </w:tc>
        <w:tc>
          <w:tcPr>
            <w:tcW w:type="dxa" w:w="4150"/>
            <w:vAlign w:val="center"/>
            <w:tcMar>
              <w:top w:w="70" w:type="dxa"/>
              <w:start w:w="90" w:type="dxa"/>
              <w:bottom w:w="70" w:type="dxa"/>
              <w:end w:w="90" w:type="dxa"/>
            </w:tcMar>
          </w:tcPr>
          <w:p>
            <w:pPr>
              <w:pStyle w:val="Compact"/>
              <w:spacing w:before="0" w:after="0" w:line="240" w:lineRule="auto"/>
            </w:pPr>
            <w:r>
              <w:t>Maximum wind gust, cumulative butterflies in direct sun, ti(maximum wind gust, cumulative butterflies in direct sun)</w:t>
            </w:r>
          </w:p>
        </w:tc>
        <w:tc>
          <w:tcPr>
            <w:tcW w:type="dxa" w:w="650"/>
            <w:vAlign w:val="center"/>
            <w:tcMar>
              <w:top w:w="70" w:type="dxa"/>
              <w:start w:w="90" w:type="dxa"/>
              <w:bottom w:w="70" w:type="dxa"/>
              <w:end w:w="90" w:type="dxa"/>
            </w:tcMar>
          </w:tcPr>
          <w:p>
            <w:pPr>
              <w:pStyle w:val="Compact"/>
              <w:spacing w:before="0" w:after="0" w:line="240" w:lineRule="auto"/>
            </w:pPr>
            <w:r>
              <w:t>13</w:t>
            </w:r>
          </w:p>
        </w:tc>
        <w:tc>
          <w:tcPr>
            <w:tcW w:type="dxa" w:w="850"/>
            <w:vAlign w:val="center"/>
            <w:tcMar>
              <w:top w:w="70" w:type="dxa"/>
              <w:start w:w="90" w:type="dxa"/>
              <w:bottom w:w="70" w:type="dxa"/>
              <w:end w:w="90" w:type="dxa"/>
            </w:tcMar>
          </w:tcPr>
          <w:p>
            <w:pPr>
              <w:pStyle w:val="Compact"/>
              <w:spacing w:before="0" w:after="0" w:line="240" w:lineRule="auto"/>
            </w:pPr>
            <w:r>
              <w:t>−312.00</w:t>
            </w:r>
          </w:p>
        </w:tc>
        <w:tc>
          <w:tcPr>
            <w:tcW w:type="dxa" w:w="850"/>
            <w:vAlign w:val="center"/>
            <w:tcMar>
              <w:top w:w="70" w:type="dxa"/>
              <w:start w:w="90" w:type="dxa"/>
              <w:bottom w:w="70" w:type="dxa"/>
              <w:end w:w="90" w:type="dxa"/>
            </w:tcMar>
          </w:tcPr>
          <w:p>
            <w:pPr>
              <w:pStyle w:val="Compact"/>
              <w:spacing w:before="0" w:after="0" w:line="240" w:lineRule="auto"/>
            </w:pPr>
            <w:r>
              <w:t>654.45</w:t>
            </w:r>
          </w:p>
        </w:tc>
        <w:tc>
          <w:tcPr>
            <w:tcW w:type="dxa" w:w="1050"/>
            <w:vAlign w:val="center"/>
            <w:tcMar>
              <w:top w:w="70" w:type="dxa"/>
              <w:start w:w="90" w:type="dxa"/>
              <w:bottom w:w="70" w:type="dxa"/>
              <w:end w:w="90" w:type="dxa"/>
            </w:tcMar>
          </w:tcPr>
          <w:p>
            <w:pPr>
              <w:pStyle w:val="Compact"/>
              <w:spacing w:before="0" w:after="0" w:line="240" w:lineRule="auto"/>
            </w:pPr>
            <w:r>
              <w:t>5.60</w:t>
            </w:r>
          </w:p>
        </w:tc>
        <w:tc>
          <w:tcPr>
            <w:tcW w:type="dxa" w:w="1020"/>
            <w:vAlign w:val="center"/>
            <w:tcMar>
              <w:top w:w="70" w:type="dxa"/>
              <w:start w:w="90" w:type="dxa"/>
              <w:bottom w:w="70" w:type="dxa"/>
              <w:end w:w="90" w:type="dxa"/>
            </w:tcMar>
          </w:tcPr>
          <w:p>
            <w:pPr>
              <w:pStyle w:val="Compact"/>
              <w:spacing w:before="0" w:after="0" w:line="240" w:lineRule="auto"/>
            </w:pPr>
            <w:r>
              <w:t>0.05</w:t>
            </w:r>
          </w:p>
        </w:tc>
      </w:tr>
      <w:tr>
        <w:tc>
          <w:tcPr>
            <w:tcW w:type="dxa" w:w="700"/>
            <w:vAlign w:val="center"/>
            <w:tcMar>
              <w:top w:w="70" w:type="dxa"/>
              <w:start w:w="90" w:type="dxa"/>
              <w:bottom w:w="70" w:type="dxa"/>
              <w:end w:w="90" w:type="dxa"/>
            </w:tcMar>
          </w:tcPr>
          <w:p>
            <w:pPr>
              <w:pStyle w:val="Compact"/>
              <w:spacing w:before="0" w:after="0" w:line="240" w:lineRule="auto"/>
            </w:pPr>
            <w:r>
              <w:t>M20</w:t>
            </w:r>
          </w:p>
        </w:tc>
        <w:tc>
          <w:tcPr>
            <w:tcW w:type="dxa" w:w="4150"/>
            <w:vAlign w:val="center"/>
            <w:tcMar>
              <w:top w:w="70" w:type="dxa"/>
              <w:start w:w="90" w:type="dxa"/>
              <w:bottom w:w="70" w:type="dxa"/>
              <w:end w:w="90" w:type="dxa"/>
            </w:tcMar>
          </w:tcPr>
          <w:p>
            <w:pPr>
              <w:pStyle w:val="Compact"/>
              <w:spacing w:before="0" w:after="0" w:line="240" w:lineRule="auto"/>
            </w:pPr>
            <w:r>
              <w:t>ti(minimum temperature, cumulative butterflies in direct sun)</w:t>
            </w:r>
          </w:p>
        </w:tc>
        <w:tc>
          <w:tcPr>
            <w:tcW w:type="dxa" w:w="650"/>
            <w:vAlign w:val="center"/>
            <w:tcMar>
              <w:top w:w="70" w:type="dxa"/>
              <w:start w:w="90" w:type="dxa"/>
              <w:bottom w:w="70" w:type="dxa"/>
              <w:end w:w="90" w:type="dxa"/>
            </w:tcMar>
          </w:tcPr>
          <w:p>
            <w:pPr>
              <w:pStyle w:val="Compact"/>
              <w:spacing w:before="0" w:after="0" w:line="240" w:lineRule="auto"/>
            </w:pPr>
            <w:r>
              <w:t>9</w:t>
            </w:r>
          </w:p>
        </w:tc>
        <w:tc>
          <w:tcPr>
            <w:tcW w:type="dxa" w:w="850"/>
            <w:vAlign w:val="center"/>
            <w:tcMar>
              <w:top w:w="70" w:type="dxa"/>
              <w:start w:w="90" w:type="dxa"/>
              <w:bottom w:w="70" w:type="dxa"/>
              <w:end w:w="90" w:type="dxa"/>
            </w:tcMar>
          </w:tcPr>
          <w:p>
            <w:pPr>
              <w:pStyle w:val="Compact"/>
              <w:spacing w:before="0" w:after="0" w:line="240" w:lineRule="auto"/>
            </w:pPr>
            <w:r>
              <w:t>−318.34</w:t>
            </w:r>
          </w:p>
        </w:tc>
        <w:tc>
          <w:tcPr>
            <w:tcW w:type="dxa" w:w="850"/>
            <w:vAlign w:val="center"/>
            <w:tcMar>
              <w:top w:w="70" w:type="dxa"/>
              <w:start w:w="90" w:type="dxa"/>
              <w:bottom w:w="70" w:type="dxa"/>
              <w:end w:w="90" w:type="dxa"/>
            </w:tcMar>
          </w:tcPr>
          <w:p>
            <w:pPr>
              <w:pStyle w:val="Compact"/>
              <w:spacing w:before="0" w:after="0" w:line="240" w:lineRule="auto"/>
            </w:pPr>
            <w:r>
              <w:t>656.77</w:t>
            </w:r>
          </w:p>
        </w:tc>
        <w:tc>
          <w:tcPr>
            <w:tcW w:type="dxa" w:w="1050"/>
            <w:vAlign w:val="center"/>
            <w:tcMar>
              <w:top w:w="70" w:type="dxa"/>
              <w:start w:w="90" w:type="dxa"/>
              <w:bottom w:w="70" w:type="dxa"/>
              <w:end w:w="90" w:type="dxa"/>
            </w:tcMar>
          </w:tcPr>
          <w:p>
            <w:pPr>
              <w:pStyle w:val="Compact"/>
              <w:spacing w:before="0" w:after="0" w:line="240" w:lineRule="auto"/>
            </w:pPr>
            <w:r>
              <w:t>7.92</w:t>
            </w:r>
          </w:p>
        </w:tc>
        <w:tc>
          <w:tcPr>
            <w:tcW w:type="dxa" w:w="1020"/>
            <w:vAlign w:val="center"/>
            <w:tcMar>
              <w:top w:w="70" w:type="dxa"/>
              <w:start w:w="90" w:type="dxa"/>
              <w:bottom w:w="70" w:type="dxa"/>
              <w:end w:w="90" w:type="dxa"/>
            </w:tcMar>
          </w:tcPr>
          <w:p>
            <w:pPr>
              <w:pStyle w:val="Compact"/>
              <w:spacing w:before="0" w:after="0" w:line="240" w:lineRule="auto"/>
            </w:pPr>
            <w:r>
              <w:t>0.02</w:t>
            </w:r>
          </w:p>
        </w:tc>
      </w:tr>
      <w:tr>
        <w:tc>
          <w:tcPr>
            <w:tcW w:type="dxa" w:w="700"/>
            <w:vAlign w:val="center"/>
            <w:tcMar>
              <w:top w:w="70" w:type="dxa"/>
              <w:start w:w="90" w:type="dxa"/>
              <w:bottom w:w="70" w:type="dxa"/>
              <w:end w:w="90" w:type="dxa"/>
            </w:tcMar>
          </w:tcPr>
          <w:p>
            <w:pPr>
              <w:pStyle w:val="Compact"/>
              <w:spacing w:before="0" w:after="0" w:line="240" w:lineRule="auto"/>
            </w:pPr>
            <w:r>
              <w:t>M46</w:t>
            </w:r>
          </w:p>
        </w:tc>
        <w:tc>
          <w:tcPr>
            <w:tcW w:type="dxa" w:w="4150"/>
            <w:vAlign w:val="center"/>
            <w:tcMar>
              <w:top w:w="70" w:type="dxa"/>
              <w:start w:w="90" w:type="dxa"/>
              <w:bottom w:w="70" w:type="dxa"/>
              <w:end w:w="90" w:type="dxa"/>
            </w:tcMar>
          </w:tcPr>
          <w:p>
            <w:pPr>
              <w:pStyle w:val="Compact"/>
              <w:spacing w:before="0" w:after="0" w:line="240" w:lineRule="auto"/>
            </w:pPr>
            <w:r>
              <w:t>Maximum temperature, cumulative butterflies in direct sun, ti(maximum temperature, cumulative butterflies in direct sun)</w:t>
            </w:r>
          </w:p>
        </w:tc>
        <w:tc>
          <w:tcPr>
            <w:tcW w:type="dxa" w:w="650"/>
            <w:vAlign w:val="center"/>
            <w:tcMar>
              <w:top w:w="70" w:type="dxa"/>
              <w:start w:w="90" w:type="dxa"/>
              <w:bottom w:w="70" w:type="dxa"/>
              <w:end w:w="90" w:type="dxa"/>
            </w:tcMar>
          </w:tcPr>
          <w:p>
            <w:pPr>
              <w:pStyle w:val="Compact"/>
              <w:spacing w:before="0" w:after="0" w:line="240" w:lineRule="auto"/>
            </w:pPr>
            <w:r>
              <w:t>13</w:t>
            </w:r>
          </w:p>
        </w:tc>
        <w:tc>
          <w:tcPr>
            <w:tcW w:type="dxa" w:w="850"/>
            <w:vAlign w:val="center"/>
            <w:tcMar>
              <w:top w:w="70" w:type="dxa"/>
              <w:start w:w="90" w:type="dxa"/>
              <w:bottom w:w="70" w:type="dxa"/>
              <w:end w:w="90" w:type="dxa"/>
            </w:tcMar>
          </w:tcPr>
          <w:p>
            <w:pPr>
              <w:pStyle w:val="Compact"/>
              <w:spacing w:before="0" w:after="0" w:line="240" w:lineRule="auto"/>
            </w:pPr>
            <w:r>
              <w:t>−313.63</w:t>
            </w:r>
          </w:p>
        </w:tc>
        <w:tc>
          <w:tcPr>
            <w:tcW w:type="dxa" w:w="850"/>
            <w:vAlign w:val="center"/>
            <w:tcMar>
              <w:top w:w="70" w:type="dxa"/>
              <w:start w:w="90" w:type="dxa"/>
              <w:bottom w:w="70" w:type="dxa"/>
              <w:end w:w="90" w:type="dxa"/>
            </w:tcMar>
          </w:tcPr>
          <w:p>
            <w:pPr>
              <w:pStyle w:val="Compact"/>
              <w:spacing w:before="0" w:after="0" w:line="240" w:lineRule="auto"/>
            </w:pPr>
            <w:r>
              <w:t>657.70</w:t>
            </w:r>
          </w:p>
        </w:tc>
        <w:tc>
          <w:tcPr>
            <w:tcW w:type="dxa" w:w="1050"/>
            <w:vAlign w:val="center"/>
            <w:tcMar>
              <w:top w:w="70" w:type="dxa"/>
              <w:start w:w="90" w:type="dxa"/>
              <w:bottom w:w="70" w:type="dxa"/>
              <w:end w:w="90" w:type="dxa"/>
            </w:tcMar>
          </w:tcPr>
          <w:p>
            <w:pPr>
              <w:pStyle w:val="Compact"/>
              <w:spacing w:before="0" w:after="0" w:line="240" w:lineRule="auto"/>
            </w:pPr>
            <w:r>
              <w:t>8.85</w:t>
            </w:r>
          </w:p>
        </w:tc>
        <w:tc>
          <w:tcPr>
            <w:tcW w:type="dxa" w:w="1020"/>
            <w:vAlign w:val="center"/>
            <w:tcMar>
              <w:top w:w="70" w:type="dxa"/>
              <w:start w:w="90" w:type="dxa"/>
              <w:bottom w:w="70" w:type="dxa"/>
              <w:end w:w="90" w:type="dxa"/>
            </w:tcMar>
          </w:tcPr>
          <w:p>
            <w:pPr>
              <w:pStyle w:val="Compact"/>
              <w:spacing w:before="0" w:after="0" w:line="240" w:lineRule="auto"/>
            </w:pPr>
            <w:r>
              <w:t>0.01</w:t>
            </w:r>
          </w:p>
        </w:tc>
      </w:tr>
      <w:tr>
        <w:tc>
          <w:tcPr>
            <w:tcW w:type="dxa" w:w="700"/>
            <w:vAlign w:val="center"/>
            <w:tcMar>
              <w:top w:w="70" w:type="dxa"/>
              <w:start w:w="90" w:type="dxa"/>
              <w:bottom w:w="70" w:type="dxa"/>
              <w:end w:w="90" w:type="dxa"/>
            </w:tcMar>
          </w:tcPr>
          <w:p>
            <w:pPr>
              <w:pStyle w:val="Compact"/>
              <w:spacing w:before="0" w:after="0" w:line="240" w:lineRule="auto"/>
            </w:pPr>
            <w:r>
              <w:t>M30</w:t>
            </w:r>
          </w:p>
        </w:tc>
        <w:tc>
          <w:tcPr>
            <w:tcW w:type="dxa" w:w="4150"/>
            <w:vAlign w:val="center"/>
            <w:tcMar>
              <w:top w:w="70" w:type="dxa"/>
              <w:start w:w="90" w:type="dxa"/>
              <w:bottom w:w="70" w:type="dxa"/>
              <w:end w:w="90" w:type="dxa"/>
            </w:tcMar>
          </w:tcPr>
          <w:p>
            <w:pPr>
              <w:pStyle w:val="Compact"/>
              <w:spacing w:before="0" w:after="0" w:line="240" w:lineRule="auto"/>
            </w:pPr>
            <w:r>
              <w:t>ti(temperature at previous maximum BI, cumulative butterflies in direct sun)</w:t>
            </w:r>
          </w:p>
        </w:tc>
        <w:tc>
          <w:tcPr>
            <w:tcW w:type="dxa" w:w="650"/>
            <w:vAlign w:val="center"/>
            <w:tcMar>
              <w:top w:w="70" w:type="dxa"/>
              <w:start w:w="90" w:type="dxa"/>
              <w:bottom w:w="70" w:type="dxa"/>
              <w:end w:w="90" w:type="dxa"/>
            </w:tcMar>
          </w:tcPr>
          <w:p>
            <w:pPr>
              <w:pStyle w:val="Compact"/>
              <w:spacing w:before="0" w:after="0" w:line="240" w:lineRule="auto"/>
            </w:pPr>
            <w:r>
              <w:t>9</w:t>
            </w:r>
          </w:p>
        </w:tc>
        <w:tc>
          <w:tcPr>
            <w:tcW w:type="dxa" w:w="850"/>
            <w:vAlign w:val="center"/>
            <w:tcMar>
              <w:top w:w="70" w:type="dxa"/>
              <w:start w:w="90" w:type="dxa"/>
              <w:bottom w:w="70" w:type="dxa"/>
              <w:end w:w="90" w:type="dxa"/>
            </w:tcMar>
          </w:tcPr>
          <w:p>
            <w:pPr>
              <w:pStyle w:val="Compact"/>
              <w:spacing w:before="0" w:after="0" w:line="240" w:lineRule="auto"/>
            </w:pPr>
            <w:r>
              <w:t>−318.91</w:t>
            </w:r>
          </w:p>
        </w:tc>
        <w:tc>
          <w:tcPr>
            <w:tcW w:type="dxa" w:w="850"/>
            <w:vAlign w:val="center"/>
            <w:tcMar>
              <w:top w:w="70" w:type="dxa"/>
              <w:start w:w="90" w:type="dxa"/>
              <w:bottom w:w="70" w:type="dxa"/>
              <w:end w:w="90" w:type="dxa"/>
            </w:tcMar>
          </w:tcPr>
          <w:p>
            <w:pPr>
              <w:pStyle w:val="Compact"/>
              <w:spacing w:before="0" w:after="0" w:line="240" w:lineRule="auto"/>
            </w:pPr>
            <w:r>
              <w:t>657.90</w:t>
            </w:r>
          </w:p>
        </w:tc>
        <w:tc>
          <w:tcPr>
            <w:tcW w:type="dxa" w:w="1050"/>
            <w:vAlign w:val="center"/>
            <w:tcMar>
              <w:top w:w="70" w:type="dxa"/>
              <w:start w:w="90" w:type="dxa"/>
              <w:bottom w:w="70" w:type="dxa"/>
              <w:end w:w="90" w:type="dxa"/>
            </w:tcMar>
          </w:tcPr>
          <w:p>
            <w:pPr>
              <w:pStyle w:val="Compact"/>
              <w:spacing w:before="0" w:after="0" w:line="240" w:lineRule="auto"/>
            </w:pPr>
            <w:r>
              <w:t>9.06</w:t>
            </w:r>
          </w:p>
        </w:tc>
        <w:tc>
          <w:tcPr>
            <w:tcW w:type="dxa" w:w="1020"/>
            <w:vAlign w:val="center"/>
            <w:tcMar>
              <w:top w:w="70" w:type="dxa"/>
              <w:start w:w="90" w:type="dxa"/>
              <w:bottom w:w="70" w:type="dxa"/>
              <w:end w:w="90" w:type="dxa"/>
            </w:tcMar>
          </w:tcPr>
          <w:p>
            <w:pPr>
              <w:pStyle w:val="Compact"/>
              <w:spacing w:before="0" w:after="0" w:line="240" w:lineRule="auto"/>
            </w:pPr>
            <w:r>
              <w:t>0.01</w:t>
            </w:r>
          </w:p>
        </w:tc>
      </w:tr>
    </w:tbl>
    <w:bookmarkEnd w:id="89"/>
    <w:bookmarkStart w:id="98" w:name="analysis-of-best-fit-model-1"/>
    <w:p>
      <w:pPr>
        <w:pStyle w:val="Heading3"/>
      </w:pPr>
      <w:r>
        <w:t xml:space="preserve">Analysis of Best Fit Model</w:t>
      </w:r>
    </w:p>
    <w:p>
      <w:pPr>
        <w:pStyle w:val="FirstParagraph"/>
      </w:pPr>
      <w:r>
        <w:t xml:space="preserve">The Next Day Window/site fidelity model explained 39.7% of the variance in maximum BI changes (adjusted</w:t>
      </w:r>
      <w:r>
        <w:t xml:space="preserve"> </w:t>
      </w:r>
      <m:oMath>
        <m:sSup>
          <m:e>
            <m:r>
              <m:t>R</m:t>
            </m:r>
          </m:e>
          <m:sup>
            <m:r>
              <m:t>2</m:t>
            </m:r>
          </m:sup>
        </m:sSup>
      </m:oMath>
      <w:r>
        <w:t xml:space="preserve"> </w:t>
      </w:r>
      <w:r>
        <w:t xml:space="preserve">= 0.397,</w:t>
      </w:r>
      <w:r>
        <w:t xml:space="preserve"> </w:t>
      </w:r>
      <m:oMath>
        <m:r>
          <m:t>n</m:t>
        </m:r>
      </m:oMath>
      <w:r>
        <w:t xml:space="preserve"> </w:t>
      </w:r>
      <w:r>
        <w:t xml:space="preserve">= 96), representing a more than six-fold improvement in explanatory power compared to the 30-minute continuous (adjusted</w:t>
      </w:r>
      <w:r>
        <w:t xml:space="preserve"> </w:t>
      </w:r>
      <m:oMath>
        <m:sSup>
          <m:e>
            <m:r>
              <m:t>R</m:t>
            </m:r>
          </m:e>
          <m:sup>
            <m:r>
              <m:t>2</m:t>
            </m:r>
          </m:sup>
        </m:sSup>
      </m:oMath>
      <w:r>
        <w:t xml:space="preserve"> </w:t>
      </w:r>
      <w:r>
        <w:t xml:space="preserve">= 0.064) and threshold (adjusted</w:t>
      </w:r>
      <w:r>
        <w:t xml:space="preserve"> </w:t>
      </w:r>
      <m:oMath>
        <m:sSup>
          <m:e>
            <m:r>
              <m:t>R</m:t>
            </m:r>
          </m:e>
          <m:sup>
            <m:r>
              <m:t>2</m:t>
            </m:r>
          </m:sup>
        </m:sSup>
      </m:oMath>
      <w:r>
        <w:t xml:space="preserve"> </w:t>
      </w:r>
      <w:r>
        <w:t xml:space="preserve">= 0.061) analyses. Analysis revealed significant effects on</w:t>
      </w:r>
      <w:r>
        <w:t xml:space="preserve"> </w:t>
      </w:r>
      <m:oMath>
        <m:r>
          <m:rPr>
            <m:sty m:val="p"/>
          </m:rPr>
          <m:t>Δ</m:t>
        </m:r>
      </m:oMath>
      <w:r>
        <w:t xml:space="preserve">BI for the previous day’s maximum BI (</w:t>
      </w:r>
      <m:oMath>
        <m:r>
          <m:t>F</m:t>
        </m:r>
      </m:oMath>
      <w:r>
        <w:t xml:space="preserve"> </w:t>
      </w:r>
      <w:r>
        <w:t xml:space="preserve">= 24.88,</w:t>
      </w:r>
      <w:r>
        <w:t xml:space="preserve"> </w:t>
      </w:r>
      <m:oMath>
        <m:r>
          <m:t>p</m:t>
        </m:r>
        <m:r>
          <m:rPr>
            <m:sty m:val="p"/>
          </m:rPr>
          <m:t>&lt;</m:t>
        </m:r>
        <m:r>
          <m:t>0.001</m:t>
        </m:r>
      </m:oMath>
      <w:r>
        <w:t xml:space="preserve">) and the wind-sunlight interaction (</w:t>
      </w:r>
      <m:oMath>
        <m:r>
          <m:t>F</m:t>
        </m:r>
      </m:oMath>
      <w:r>
        <w:t xml:space="preserve"> </w:t>
      </w:r>
      <w:r>
        <w:t xml:space="preserve">= 4.10,</w:t>
      </w:r>
      <w:r>
        <w:t xml:space="preserve"> </w:t>
      </w:r>
      <m:oMath>
        <m:r>
          <m:t>p</m:t>
        </m:r>
        <m:r>
          <m:rPr>
            <m:sty m:val="p"/>
          </m:rPr>
          <m:t>&lt;</m:t>
        </m:r>
        <m:r>
          <m:t>0.001</m:t>
        </m:r>
      </m:oMath>
      <w:r>
        <w:t xml:space="preserve">). In addition, the partial effects of the previous day’s maximum BI showed a significant negative linear relationship (Table 6). Meaning that larger clusters experienced proportionally greater losses between days (as found in the 30-minute analysis). Window duration showed no significant relationship.</w:t>
      </w:r>
    </w:p>
    <w:p>
      <w:pPr>
        <w:pStyle w:val="TableCaption"/>
        <w:keepNext/>
        <w:spacing w:after="80"/>
      </w:pPr>
      <w:r>
        <w:t>Table 6. Summary of best-fit model for the Next Day Window and fidelity analysis (M32). The response was signed square-root transformed maximum . BI is butterfly index. edf is estimated degrees of freedom.</w:t>
      </w:r>
    </w:p>
    <w:tbl>
      <w:tblPr>
        <w:tblStyle w:val="Table"/>
        <w:tblW w:type="dxa" w:w="9270"/>
        <w:jc w:val="left"/>
        <w:tblLayout w:type="fixed"/>
        <w:tblLook w:firstColumn="1" w:firstRow="1" w:lastColumn="0" w:lastRow="0" w:noHBand="0" w:noVBand="1" w:val="04A0"/>
        <w:tblInd w:w="90" w:type="dxa"/>
      </w:tblPr>
      <w:tblGrid>
        <w:gridCol w:w="5010"/>
        <w:gridCol w:w="1420"/>
        <w:gridCol w:w="1420"/>
        <w:gridCol w:w="1420"/>
      </w:tblGrid>
      <w:tr>
        <w:trPr>
          <w:tblHeader w:val="true"/>
        </w:trPr>
        <w:tc>
          <w:tcPr>
            <w:tcW w:type="dxa" w:w="5010"/>
            <w:vAlign w:val="center"/>
            <w:tcMar>
              <w:top w:w="70" w:type="dxa"/>
              <w:start w:w="90" w:type="dxa"/>
              <w:bottom w:w="70" w:type="dxa"/>
              <w:end w:w="90" w:type="dxa"/>
            </w:tcMar>
          </w:tcPr>
          <w:p>
            <w:pPr>
              <w:pStyle w:val="Compact"/>
              <w:spacing w:before="0" w:after="0" w:line="240" w:lineRule="auto"/>
            </w:pPr>
            <w:r>
              <w:rPr>
                <w:b/>
              </w:rPr>
              <w:t>Smooth Term</w:t>
            </w:r>
          </w:p>
        </w:tc>
        <w:tc>
          <w:tcPr>
            <w:tcW w:type="dxa" w:w="1420"/>
            <w:vAlign w:val="center"/>
            <w:tcMar>
              <w:top w:w="70" w:type="dxa"/>
              <w:start w:w="90" w:type="dxa"/>
              <w:bottom w:w="70" w:type="dxa"/>
              <w:end w:w="90" w:type="dxa"/>
            </w:tcMar>
          </w:tcPr>
          <w:p>
            <w:pPr>
              <w:pStyle w:val="Compact"/>
              <w:spacing w:before="0" w:after="0" w:line="240" w:lineRule="auto"/>
            </w:pPr>
            <w:r>
              <w:rPr>
                <w:b/>
              </w:rPr>
              <w:t>edf</w:t>
            </w:r>
          </w:p>
        </w:tc>
        <w:tc>
          <w:tcPr>
            <w:tcW w:type="dxa" w:w="1420"/>
            <w:vAlign w:val="center"/>
            <w:tcMar>
              <w:top w:w="70" w:type="dxa"/>
              <w:start w:w="90" w:type="dxa"/>
              <w:bottom w:w="70" w:type="dxa"/>
              <w:end w:w="90" w:type="dxa"/>
            </w:tcMar>
          </w:tcPr>
          <w:p>
            <w:pPr>
              <w:pStyle w:val="Compact"/>
              <w:spacing w:before="0" w:after="0" w:line="240" w:lineRule="auto"/>
            </w:pPr>
            <w:r>
              <w:rPr>
                <w:b/>
              </w:rPr>
              <w:t>F</w:t>
            </w:r>
          </w:p>
        </w:tc>
        <w:tc>
          <w:tcPr>
            <w:tcW w:type="dxa" w:w="1420"/>
            <w:vAlign w:val="center"/>
            <w:tcMar>
              <w:top w:w="70" w:type="dxa"/>
              <w:start w:w="90" w:type="dxa"/>
              <w:bottom w:w="70" w:type="dxa"/>
              <w:end w:w="90" w:type="dxa"/>
            </w:tcMar>
          </w:tcPr>
          <w:p>
            <w:pPr>
              <w:pStyle w:val="Compact"/>
              <w:spacing w:before="0" w:after="0" w:line="240" w:lineRule="auto"/>
            </w:pPr>
            <w:r>
              <w:rPr>
                <w:b/>
              </w:rPr>
              <w:t>p-value</w:t>
            </w:r>
          </w:p>
        </w:tc>
      </w:tr>
      <w:tr>
        <w:tc>
          <w:tcPr>
            <w:tcW w:type="dxa" w:w="5010"/>
            <w:vAlign w:val="center"/>
            <w:tcMar>
              <w:top w:w="70" w:type="dxa"/>
              <w:start w:w="90" w:type="dxa"/>
              <w:bottom w:w="70" w:type="dxa"/>
              <w:end w:w="90" w:type="dxa"/>
            </w:tcMar>
          </w:tcPr>
          <w:p>
            <w:pPr>
              <w:pStyle w:val="Compact"/>
              <w:spacing w:before="0" w:after="0" w:line="240" w:lineRule="auto"/>
            </w:pPr>
            <w:r>
              <w:t>Previous day maximum butterfly index</w:t>
            </w:r>
          </w:p>
        </w:tc>
        <w:tc>
          <w:tcPr>
            <w:tcW w:type="dxa" w:w="1420"/>
            <w:vAlign w:val="center"/>
            <w:tcMar>
              <w:top w:w="70" w:type="dxa"/>
              <w:start w:w="90" w:type="dxa"/>
              <w:bottom w:w="70" w:type="dxa"/>
              <w:end w:w="90" w:type="dxa"/>
            </w:tcMar>
          </w:tcPr>
          <w:p>
            <w:pPr>
              <w:pStyle w:val="Compact"/>
              <w:spacing w:before="0" w:after="0" w:line="240" w:lineRule="auto"/>
            </w:pPr>
            <w:r>
              <w:t>1.00</w:t>
            </w:r>
          </w:p>
        </w:tc>
        <w:tc>
          <w:tcPr>
            <w:tcW w:type="dxa" w:w="1420"/>
            <w:vAlign w:val="center"/>
            <w:tcMar>
              <w:top w:w="70" w:type="dxa"/>
              <w:start w:w="90" w:type="dxa"/>
              <w:bottom w:w="70" w:type="dxa"/>
              <w:end w:w="90" w:type="dxa"/>
            </w:tcMar>
          </w:tcPr>
          <w:p>
            <w:pPr>
              <w:pStyle w:val="Compact"/>
              <w:spacing w:before="0" w:after="0" w:line="240" w:lineRule="auto"/>
            </w:pPr>
            <w:r>
              <w:t>24.88</w:t>
            </w:r>
          </w:p>
        </w:tc>
        <w:tc>
          <w:tcPr>
            <w:tcW w:type="dxa" w:w="1420"/>
            <w:vAlign w:val="center"/>
            <w:tcMar>
              <w:top w:w="70" w:type="dxa"/>
              <w:start w:w="90" w:type="dxa"/>
              <w:bottom w:w="70" w:type="dxa"/>
              <w:end w:w="90" w:type="dxa"/>
            </w:tcMar>
          </w:tcPr>
          <w:p>
            <w:pPr>
              <w:pStyle w:val="Compact"/>
              <w:spacing w:before="0" w:after="0" w:line="240" w:lineRule="auto"/>
            </w:pPr>
            <w:r>
              <w:t>&lt; 0.001***</w:t>
            </w:r>
          </w:p>
        </w:tc>
      </w:tr>
      <w:tr>
        <w:tc>
          <w:tcPr>
            <w:tcW w:type="dxa" w:w="5010"/>
            <w:vAlign w:val="center"/>
            <w:tcMar>
              <w:top w:w="70" w:type="dxa"/>
              <w:start w:w="90" w:type="dxa"/>
              <w:bottom w:w="70" w:type="dxa"/>
              <w:end w:w="90" w:type="dxa"/>
            </w:tcMar>
          </w:tcPr>
          <w:p>
            <w:pPr>
              <w:pStyle w:val="Compact"/>
              <w:spacing w:before="0" w:after="0" w:line="240" w:lineRule="auto"/>
            </w:pPr>
            <w:r>
              <w:t>Window duration</w:t>
            </w:r>
          </w:p>
        </w:tc>
        <w:tc>
          <w:tcPr>
            <w:tcW w:type="dxa" w:w="1420"/>
            <w:vAlign w:val="center"/>
            <w:tcMar>
              <w:top w:w="70" w:type="dxa"/>
              <w:start w:w="90" w:type="dxa"/>
              <w:bottom w:w="70" w:type="dxa"/>
              <w:end w:w="90" w:type="dxa"/>
            </w:tcMar>
          </w:tcPr>
          <w:p>
            <w:pPr>
              <w:pStyle w:val="Compact"/>
              <w:spacing w:before="0" w:after="0" w:line="240" w:lineRule="auto"/>
            </w:pPr>
            <w:r>
              <w:t>1.00</w:t>
            </w:r>
          </w:p>
        </w:tc>
        <w:tc>
          <w:tcPr>
            <w:tcW w:type="dxa" w:w="1420"/>
            <w:vAlign w:val="center"/>
            <w:tcMar>
              <w:top w:w="70" w:type="dxa"/>
              <w:start w:w="90" w:type="dxa"/>
              <w:bottom w:w="70" w:type="dxa"/>
              <w:end w:w="90" w:type="dxa"/>
            </w:tcMar>
          </w:tcPr>
          <w:p>
            <w:pPr>
              <w:pStyle w:val="Compact"/>
              <w:spacing w:before="0" w:after="0" w:line="240" w:lineRule="auto"/>
            </w:pPr>
            <w:r>
              <w:t>1.14</w:t>
            </w:r>
          </w:p>
        </w:tc>
        <w:tc>
          <w:tcPr>
            <w:tcW w:type="dxa" w:w="1420"/>
            <w:vAlign w:val="center"/>
            <w:tcMar>
              <w:top w:w="70" w:type="dxa"/>
              <w:start w:w="90" w:type="dxa"/>
              <w:bottom w:w="70" w:type="dxa"/>
              <w:end w:w="90" w:type="dxa"/>
            </w:tcMar>
          </w:tcPr>
          <w:p>
            <w:pPr>
              <w:pStyle w:val="Compact"/>
              <w:spacing w:before="0" w:after="0" w:line="240" w:lineRule="auto"/>
            </w:pPr>
            <w:r>
              <w:t>0.289</w:t>
            </w:r>
          </w:p>
        </w:tc>
      </w:tr>
      <w:tr>
        <w:tc>
          <w:tcPr>
            <w:tcW w:type="dxa" w:w="5010"/>
            <w:vAlign w:val="center"/>
            <w:tcMar>
              <w:top w:w="70" w:type="dxa"/>
              <w:start w:w="90" w:type="dxa"/>
              <w:bottom w:w="70" w:type="dxa"/>
              <w:end w:w="90" w:type="dxa"/>
            </w:tcMar>
          </w:tcPr>
          <w:p>
            <w:pPr>
              <w:pStyle w:val="Compact"/>
              <w:spacing w:before="0" w:after="0" w:line="240" w:lineRule="auto"/>
            </w:pPr>
            <w:r>
              <w:t>Maximum wind gust cumulative butterflies in direct sun</w:t>
            </w:r>
          </w:p>
        </w:tc>
        <w:tc>
          <w:tcPr>
            <w:tcW w:type="dxa" w:w="1420"/>
            <w:vAlign w:val="center"/>
            <w:tcMar>
              <w:top w:w="70" w:type="dxa"/>
              <w:start w:w="90" w:type="dxa"/>
              <w:bottom w:w="70" w:type="dxa"/>
              <w:end w:w="90" w:type="dxa"/>
            </w:tcMar>
          </w:tcPr>
          <w:p>
            <w:pPr>
              <w:pStyle w:val="Compact"/>
              <w:spacing w:before="0" w:after="0" w:line="240" w:lineRule="auto"/>
            </w:pPr>
            <w:r>
              <w:t>6.68</w:t>
            </w:r>
          </w:p>
        </w:tc>
        <w:tc>
          <w:tcPr>
            <w:tcW w:type="dxa" w:w="1420"/>
            <w:vAlign w:val="center"/>
            <w:tcMar>
              <w:top w:w="70" w:type="dxa"/>
              <w:start w:w="90" w:type="dxa"/>
              <w:bottom w:w="70" w:type="dxa"/>
              <w:end w:w="90" w:type="dxa"/>
            </w:tcMar>
          </w:tcPr>
          <w:p>
            <w:pPr>
              <w:pStyle w:val="Compact"/>
              <w:spacing w:before="0" w:after="0" w:line="240" w:lineRule="auto"/>
            </w:pPr>
            <w:r>
              <w:t>4.10</w:t>
            </w:r>
          </w:p>
        </w:tc>
        <w:tc>
          <w:tcPr>
            <w:tcW w:type="dxa" w:w="1420"/>
            <w:vAlign w:val="center"/>
            <w:tcMar>
              <w:top w:w="70" w:type="dxa"/>
              <w:start w:w="90" w:type="dxa"/>
              <w:bottom w:w="70" w:type="dxa"/>
              <w:end w:w="90" w:type="dxa"/>
            </w:tcMar>
          </w:tcPr>
          <w:p>
            <w:pPr>
              <w:pStyle w:val="Compact"/>
              <w:spacing w:before="0" w:after="0" w:line="240" w:lineRule="auto"/>
            </w:pPr>
            <w:r>
              <w:t>&lt; 0.001***</w:t>
            </w:r>
          </w:p>
        </w:tc>
      </w:tr>
      <w:tr>
        <w:tc>
          <w:tcPr>
            <w:tcW w:type="dxa" w:w="1420"/>
            <w:gridSpan w:val="4"/>
            <w:vAlign w:val="center"/>
            <w:tcMar>
              <w:top w:w="70" w:type="dxa"/>
              <w:start w:w="90" w:type="dxa"/>
              <w:bottom w:w="70" w:type="dxa"/>
              <w:end w:w="90" w:type="dxa"/>
            </w:tcMar>
          </w:tcPr>
          <w:p>
            <w:pPr>
              <w:pStyle w:val="Compact"/>
              <w:spacing w:before="36" w:after="36"/>
            </w:pPr>
            <w:r>
              <w:rPr>
                <w:i/>
              </w:rPr>
              <w:t>Model performance: Adj.\ R² = 0.397, Scale est.\ = 41.06, n = 96</w:t>
            </w:r>
          </w:p>
        </w:tc>
      </w:tr>
    </w:tbl>
    <w:bookmarkStart w:id="93" w:name="fig:partial_effects_nextday"/>
    <w:p>
      <w:pPr>
        <w:pStyle w:val="CaptionedFigure"/>
        <w:keepNext/>
        <w:spacing w:before="80" w:after="0"/>
        <w:jc w:val="center"/>
      </w:pPr>
      <w:r>
        <w:drawing>
          <wp:inline>
            <wp:extent cx="5074920" cy="2819400"/>
            <wp:effectExtent b="0" l="0" r="0" t="0"/>
            <wp:docPr descr="" title="" id="91" name="Picture"/>
            <a:graphic>
              <a:graphicData uri="http://schemas.openxmlformats.org/drawingml/2006/picture">
                <pic:pic>
                  <pic:nvPicPr>
                    <pic:cNvPr descr="figures/partial_effects_nextday.png" id="92" name="Picture"/>
                    <pic:cNvPicPr>
                      <a:picLocks noChangeArrowheads="1" noChangeAspect="1"/>
                    </pic:cNvPicPr>
                  </pic:nvPicPr>
                  <pic:blipFill>
                    <a:blip r:embed="rId90"/>
                    <a:stretch>
                      <a:fillRect/>
                    </a:stretch>
                  </pic:blipFill>
                  <pic:spPr bwMode="auto">
                    <a:xfrm>
                      <a:off x="0" y="0"/>
                      <a:ext cx="5074920" cy="2819400"/>
                    </a:xfrm>
                    <a:prstGeom prst="rect">
                      <a:avLst/>
                    </a:prstGeom>
                    <a:noFill/>
                    <a:ln w="9525">
                      <a:noFill/>
                      <a:headEnd/>
                      <a:tailEnd/>
                    </a:ln>
                  </pic:spPr>
                </pic:pic>
              </a:graphicData>
            </a:graphic>
          </wp:inline>
        </w:drawing>
      </w:r>
    </w:p>
    <w:p>
      <w:pPr>
        <w:pStyle w:val="ImageCaption"/>
        <w:jc w:val="left"/>
      </w:pPr>
      <w:r>
        <w:t>Figure 8. Partial effects of control variables in the best fit Next Day Window model. BI is butterfly index. Partial effects of control variables on Next Day Window time interval on monarch butterfly maximum BI from the best-fit GAMM model (M32). Partial effects isolate how each variable influences BI changes while holding other factors constant at their average values. Left panel shows the strong negative effect of previous-day maximum BI. Right panel shows window duration with no significant effect on cluster BI changes. Shaded regions represent 95% confidence intervals.</w:t>
      </w:r>
    </w:p>
    <w:bookmarkEnd w:id="93"/>
    <w:p>
      <w:pPr>
        <w:pStyle w:val="BodyText"/>
      </w:pPr>
      <w:r>
        <w:t xml:space="preserve">In the Next Day Window and site fidelity analysis, the tensor smooth interaction between maximum wind gust and cumulative direct sun exposure (</w:t>
      </w:r>
      <m:oMath>
        <m:r>
          <m:t>p</m:t>
        </m:r>
        <m:r>
          <m:rPr>
            <m:sty m:val="p"/>
          </m:rPr>
          <m:t>&lt;</m:t>
        </m:r>
        <m:r>
          <m:t>0.001</m:t>
        </m:r>
      </m:oMath>
      <w:r>
        <w:t xml:space="preserve">) revealed complex conditional relationships (Figure 9). For example, under low wind gust speeds around 2 m/s and low butterfly counts (</w:t>
      </w:r>
      <m:oMath>
        <m:r>
          <m:rPr>
            <m:sty m:val="p"/>
          </m:rPr>
          <m:t>&lt;</m:t>
        </m:r>
      </m:oMath>
      <w:r>
        <w:t xml:space="preserve">60–70) in direct sun, BI increased the following day. Yet under low wind gust speeds (</w:t>
      </w:r>
      <m:oMath>
        <m:r>
          <m:rPr>
            <m:sty m:val="p"/>
          </m:rPr>
          <m:t>∼</m:t>
        </m:r>
      </m:oMath>
      <w:r>
        <w:t xml:space="preserve">2 m/s), but higher butterfly counts in direct sun (</w:t>
      </w:r>
      <m:oMath>
        <m:r>
          <m:rPr>
            <m:sty m:val="p"/>
          </m:rPr>
          <m:t>&gt;</m:t>
        </m:r>
      </m:oMath>
      <w:r>
        <w:t xml:space="preserve">100) BI decreased the following day. Thus, at the same wind but under different light, the BI pattern reverses. And at intermediate to high values of both wind gust speed and butterfly sun exposure, cluster sizes (BI) increased the next day. Interpretation requires caution at interpolation boundaries and regions with single or low observations.</w:t>
      </w:r>
    </w:p>
    <w:bookmarkStart w:id="97" w:name="fig:interaction_wind_sun_nextday"/>
    <w:p>
      <w:pPr>
        <w:pStyle w:val="CaptionedFigure"/>
        <w:keepNext/>
        <w:spacing w:before="80" w:after="0"/>
        <w:jc w:val="center"/>
      </w:pPr>
      <w:r>
        <w:drawing>
          <wp:inline>
            <wp:extent cx="4160520" cy="3566160"/>
            <wp:effectExtent b="0" l="0" r="0" t="0"/>
            <wp:docPr descr="" title="" id="95" name="Picture"/>
            <a:graphic>
              <a:graphicData uri="http://schemas.openxmlformats.org/drawingml/2006/picture">
                <pic:pic>
                  <pic:nvPicPr>
                    <pic:cNvPr descr="figures/interaction_wind_sun_nextday.png" id="96" name="Picture"/>
                    <pic:cNvPicPr>
                      <a:picLocks noChangeArrowheads="1" noChangeAspect="1"/>
                    </pic:cNvPicPr>
                  </pic:nvPicPr>
                  <pic:blipFill>
                    <a:blip r:embed="rId94"/>
                    <a:stretch>
                      <a:fillRect/>
                    </a:stretch>
                  </pic:blipFill>
                  <pic:spPr bwMode="auto">
                    <a:xfrm>
                      <a:off x="0" y="0"/>
                      <a:ext cx="4160520" cy="3566160"/>
                    </a:xfrm>
                    <a:prstGeom prst="rect">
                      <a:avLst/>
                    </a:prstGeom>
                    <a:noFill/>
                    <a:ln w="9525">
                      <a:noFill/>
                      <a:headEnd/>
                      <a:tailEnd/>
                    </a:ln>
                  </pic:spPr>
                </pic:pic>
              </a:graphicData>
            </a:graphic>
          </wp:inline>
        </w:drawing>
      </w:r>
    </w:p>
    <w:p>
      <w:pPr>
        <w:pStyle w:val="ImageCaption"/>
        <w:jc w:val="left"/>
      </w:pPr>
      <w:r>
        <w:t>Figure 9. BI response to interactions of wind and sun exposure (Next Day Window). BI is butterfly index. Tensor smooth interaction between maximum wind gust (m/s) and cumulative butterflies in direct sun on day-to-day cluster size changes (BI). Color gradient indicates partial effect magnitude on square-root transformed scale (red = positive, blue = negative). Black points show observed data distribution. Gray regions indicate areas beyond reliable interpolation range.</w:t>
      </w:r>
    </w:p>
    <w:bookmarkEnd w:id="97"/>
    <w:bookmarkEnd w:id="98"/>
    <w:bookmarkStart w:id="107" w:name="model-diagnostics-1"/>
    <w:p>
      <w:pPr>
        <w:pStyle w:val="Heading3"/>
      </w:pPr>
      <w:r>
        <w:t xml:space="preserve">Model Diagnostics</w:t>
      </w:r>
    </w:p>
    <w:p>
      <w:pPr>
        <w:pStyle w:val="FirstParagraph"/>
      </w:pPr>
      <w:r>
        <w:t xml:space="preserve">The quantile-quantile plot revealed approximately normal residual distribution with some minor deviations (Figure 10). Residual versus fitted value plots showed no systematic patterns or heteroscedasticity, indicating appropriate model structure. Basis dimension checks confirmed adequate smoothing parameter selection for the tensor smooth interaction term. The wind-sunlight interaction showed a k-index value of 1.06 (</w:t>
      </w:r>
      <m:oMath>
        <m:r>
          <m:t>p</m:t>
        </m:r>
      </m:oMath>
      <w:r>
        <w:t xml:space="preserve"> </w:t>
      </w:r>
      <w:r>
        <w:t xml:space="preserve">= 0.72), indicating sufficient basis dimensions to capture the underlying functional form without evidence of undersmoothing. Temporal autocorrelation analysis revealed minimal residual correlation structure after accounting for the AR(1) correlation within deployment days (Figure 11). The autocorrelation function showed rapid decay with all lags beyond lag 1 falling within the significance bounds.</w:t>
      </w:r>
    </w:p>
    <w:bookmarkStart w:id="102" w:name="fig:diagnostics_nextday"/>
    <w:p>
      <w:pPr>
        <w:pStyle w:val="CaptionedFigure"/>
        <w:keepNext/>
        <w:spacing w:before="80" w:after="0"/>
        <w:jc w:val="center"/>
      </w:pPr>
      <w:r>
        <w:drawing>
          <wp:inline>
            <wp:extent cx="4754880" cy="2641600"/>
            <wp:effectExtent b="0" l="0" r="0" t="0"/>
            <wp:docPr descr="" title="" id="100" name="Picture"/>
            <a:graphic>
              <a:graphicData uri="http://schemas.openxmlformats.org/drawingml/2006/picture">
                <pic:pic>
                  <pic:nvPicPr>
                    <pic:cNvPr descr="figures/diagnostics_nextday.png" id="101" name="Picture"/>
                    <pic:cNvPicPr>
                      <a:picLocks noChangeArrowheads="1" noChangeAspect="1"/>
                    </pic:cNvPicPr>
                  </pic:nvPicPr>
                  <pic:blipFill>
                    <a:blip r:embed="rId99"/>
                    <a:stretch>
                      <a:fillRect/>
                    </a:stretch>
                  </pic:blipFill>
                  <pic:spPr bwMode="auto">
                    <a:xfrm>
                      <a:off x="0" y="0"/>
                      <a:ext cx="4754880" cy="2641600"/>
                    </a:xfrm>
                    <a:prstGeom prst="rect">
                      <a:avLst/>
                    </a:prstGeom>
                    <a:noFill/>
                    <a:ln w="9525">
                      <a:noFill/>
                      <a:headEnd/>
                      <a:tailEnd/>
                    </a:ln>
                  </pic:spPr>
                </pic:pic>
              </a:graphicData>
            </a:graphic>
          </wp:inline>
        </w:drawing>
      </w:r>
    </w:p>
    <w:p>
      <w:pPr>
        <w:pStyle w:val="ImageCaption"/>
        <w:jc w:val="left"/>
      </w:pPr>
      <w:r>
        <w:t>Figure 10. Quantile-quantile and residual diagnostic plot for best fit Next Day Window model. Diagnostic plots for the best-fit GAMM model (M32) of the Next Day Window analysis. Left panel shows quantile-quantile plot comparing model residuals to theoretical normal distribution. Right panel displays residuals versus fitted values to assess homoscedasticity and model adequacy.</w:t>
      </w:r>
    </w:p>
    <w:bookmarkEnd w:id="102"/>
    <w:bookmarkStart w:id="106" w:name="fig:acf_nextday"/>
    <w:p>
      <w:pPr>
        <w:pStyle w:val="CaptionedFigure"/>
        <w:keepNext/>
        <w:spacing w:before="80" w:after="0"/>
        <w:jc w:val="center"/>
      </w:pPr>
      <w:r>
        <w:drawing>
          <wp:inline>
            <wp:extent cx="4160520" cy="2971800"/>
            <wp:effectExtent b="0" l="0" r="0" t="0"/>
            <wp:docPr descr="" title="" id="104" name="Picture"/>
            <a:graphic>
              <a:graphicData uri="http://schemas.openxmlformats.org/drawingml/2006/picture">
                <pic:pic>
                  <pic:nvPicPr>
                    <pic:cNvPr descr="figures/acf_nextday.png" id="105" name="Picture"/>
                    <pic:cNvPicPr>
                      <a:picLocks noChangeArrowheads="1" noChangeAspect="1"/>
                    </pic:cNvPicPr>
                  </pic:nvPicPr>
                  <pic:blipFill>
                    <a:blip r:embed="rId103"/>
                    <a:stretch>
                      <a:fillRect/>
                    </a:stretch>
                  </pic:blipFill>
                  <pic:spPr bwMode="auto">
                    <a:xfrm>
                      <a:off x="0" y="0"/>
                      <a:ext cx="4160520" cy="2971800"/>
                    </a:xfrm>
                    <a:prstGeom prst="rect">
                      <a:avLst/>
                    </a:prstGeom>
                    <a:noFill/>
                    <a:ln w="9525">
                      <a:noFill/>
                      <a:headEnd/>
                      <a:tailEnd/>
                    </a:ln>
                  </pic:spPr>
                </pic:pic>
              </a:graphicData>
            </a:graphic>
          </wp:inline>
        </w:drawing>
      </w:r>
    </w:p>
    <w:p>
      <w:pPr>
        <w:pStyle w:val="ImageCaption"/>
        <w:jc w:val="left"/>
      </w:pPr>
      <w:r>
        <w:t>Figure 11. Autocorrelation function for best fit Next Day Window model. Autocorrelation function of model residuals showing minimal temporal correlation after accounting for AR(1) structure within deployment days. Blue dashed lines indicate 95% confidence bounds for white noise.</w:t>
      </w:r>
    </w:p>
    <w:bookmarkEnd w:id="106"/>
    <w:bookmarkEnd w:id="107"/>
    <w:bookmarkEnd w:id="108"/>
    <w:bookmarkStart w:id="113" w:name="robustness-analysis-24-hour-change-in-bi"/>
    <w:p>
      <w:pPr>
        <w:pStyle w:val="Heading2"/>
      </w:pPr>
      <w:r>
        <w:t xml:space="preserve">Robustness Analysis: 24-Hour Change in BI</w:t>
      </w:r>
    </w:p>
    <w:p>
      <w:pPr>
        <w:pStyle w:val="FirstParagraph"/>
      </w:pPr>
      <w:r>
        <w:t xml:space="preserve">To assess the robustness of our Next Day Window and site fidelity findings, we conducted an analysis examining butterfly cluster changes over 24-hour periods rather than variable Next Day Window intervals. This analysis evaluated the same 76 candidate models using identical GAMM specifications with deployment random intercepts and AR(1) temporal correlation. Notably, model selection converged on the same structural form as the primary Next Day Window/site fidelity analysis. The decisive best-fit model (M31), incorporating a tensor smooth interaction between maximum wind gust and cumulative direct sun exposure, emerged with 51% of the total model weight (Table 7). Alternative models showed substantially weaker support, with the next best model achieving only 8% weight and</w:t>
      </w:r>
      <w:r>
        <w:t xml:space="preserve"> </w:t>
      </w:r>
      <m:oMath>
        <m:r>
          <m:rPr>
            <m:sty m:val="p"/>
          </m:rPr>
          <m:t>Δ</m:t>
        </m:r>
      </m:oMath>
      <w:r>
        <w:t xml:space="preserve">AICc = 3.6.</w:t>
      </w:r>
    </w:p>
    <w:p>
      <w:pPr>
        <w:pStyle w:val="TableCaption"/>
        <w:keepNext/>
        <w:spacing w:after="80"/>
      </w:pPr>
      <w:r>
        <w:t>Table 7. Top models from the 24-hour robustness analysis. Descriptions list candidate weather terms evaluated with the previous-day maximum BI baseline. BI is butterfly index. K is the number of estimated parameters, logLik is the model log-likelihood, is the difference from the best model, Weight is the Akaike weight, and adj.\ R^2</w:t>
      </w:r>
    </w:p>
    <w:tbl>
      <w:tblPr>
        <w:tblStyle w:val="Table"/>
        <w:tblW w:type="dxa" w:w="9270"/>
        <w:jc w:val="left"/>
        <w:tblLayout w:type="fixed"/>
        <w:tblLook w:firstColumn="1" w:firstRow="1" w:lastColumn="0" w:lastRow="0" w:noHBand="0" w:noVBand="1" w:val="04A0"/>
        <w:tblInd w:w="90" w:type="dxa"/>
      </w:tblPr>
      <w:tblGrid>
        <w:gridCol w:w="1158"/>
        <w:gridCol w:w="1158"/>
        <w:gridCol w:w="1158"/>
        <w:gridCol w:w="1158"/>
        <w:gridCol w:w="1158"/>
        <w:gridCol w:w="1158"/>
        <w:gridCol w:w="1158"/>
        <w:gridCol w:w="1164"/>
      </w:tblGrid>
      <w:tr>
        <w:trPr>
          <w:tblHeader w:val="true"/>
        </w:trPr>
        <w:tc>
          <w:tcPr>
            <w:tcW w:type="dxa" w:w="1158"/>
            <w:vAlign w:val="center"/>
            <w:tcMar>
              <w:top w:w="70" w:type="dxa"/>
              <w:start w:w="90" w:type="dxa"/>
              <w:bottom w:w="70" w:type="dxa"/>
              <w:end w:w="90" w:type="dxa"/>
            </w:tcMar>
          </w:tcPr>
          <w:p>
            <w:pPr>
              <w:pStyle w:val="Compact"/>
              <w:spacing w:before="0" w:after="0" w:line="240" w:lineRule="auto"/>
            </w:pPr>
            <w:r>
              <w:rPr>
                <w:b/>
              </w:rPr>
              <w:t>Model</w:t>
            </w:r>
          </w:p>
        </w:tc>
        <w:tc>
          <w:tcPr>
            <w:tcW w:type="dxa" w:w="1158"/>
            <w:vAlign w:val="center"/>
            <w:tcMar>
              <w:top w:w="70" w:type="dxa"/>
              <w:start w:w="90" w:type="dxa"/>
              <w:bottom w:w="70" w:type="dxa"/>
              <w:end w:w="90" w:type="dxa"/>
            </w:tcMar>
          </w:tcPr>
          <w:p>
            <w:pPr>
              <w:pStyle w:val="Compact"/>
              <w:spacing w:before="0" w:after="0" w:line="240" w:lineRule="auto"/>
            </w:pPr>
            <w:r>
              <w:rPr>
                <w:b/>
              </w:rPr>
              <w:t>Description</w:t>
            </w:r>
          </w:p>
        </w:tc>
        <w:tc>
          <w:tcPr>
            <w:tcW w:type="dxa" w:w="1158"/>
            <w:vAlign w:val="center"/>
            <w:tcMar>
              <w:top w:w="70" w:type="dxa"/>
              <w:start w:w="90" w:type="dxa"/>
              <w:bottom w:w="70" w:type="dxa"/>
              <w:end w:w="90" w:type="dxa"/>
            </w:tcMar>
          </w:tcPr>
          <w:p>
            <w:pPr>
              <w:pStyle w:val="Compact"/>
              <w:spacing w:before="0" w:after="0" w:line="240" w:lineRule="auto"/>
            </w:pPr>
            <w:r>
              <w:rPr>
                <w:b/>
              </w:rPr>
              <w:t>K</w:t>
            </w:r>
          </w:p>
        </w:tc>
        <w:tc>
          <w:tcPr>
            <w:tcW w:type="dxa" w:w="1158"/>
            <w:vAlign w:val="center"/>
            <w:tcMar>
              <w:top w:w="70" w:type="dxa"/>
              <w:start w:w="90" w:type="dxa"/>
              <w:bottom w:w="70" w:type="dxa"/>
              <w:end w:w="90" w:type="dxa"/>
            </w:tcMar>
          </w:tcPr>
          <w:p>
            <w:pPr>
              <w:pStyle w:val="Compact"/>
              <w:spacing w:before="0" w:after="0" w:line="240" w:lineRule="auto"/>
            </w:pPr>
            <w:r>
              <w:rPr>
                <w:b/>
              </w:rPr>
              <w:t>logLik</w:t>
            </w:r>
          </w:p>
        </w:tc>
        <w:tc>
          <w:tcPr>
            <w:tcW w:type="dxa" w:w="1158"/>
            <w:vAlign w:val="center"/>
            <w:tcMar>
              <w:top w:w="70" w:type="dxa"/>
              <w:start w:w="90" w:type="dxa"/>
              <w:bottom w:w="70" w:type="dxa"/>
              <w:end w:w="90" w:type="dxa"/>
            </w:tcMar>
          </w:tcPr>
          <w:p>
            <w:pPr>
              <w:pStyle w:val="Compact"/>
              <w:spacing w:before="0" w:after="0" w:line="240" w:lineRule="auto"/>
            </w:pPr>
            <w:r>
              <w:rPr>
                <w:b/>
              </w:rPr>
              <w:t>AICc</w:t>
            </w:r>
          </w:p>
        </w:tc>
        <w:tc>
          <w:tcPr>
            <w:tcW w:type="dxa" w:w="1158"/>
            <w:vAlign w:val="center"/>
            <w:tcMar>
              <w:top w:w="70" w:type="dxa"/>
              <w:start w:w="90" w:type="dxa"/>
              <w:bottom w:w="70" w:type="dxa"/>
              <w:end w:w="90" w:type="dxa"/>
            </w:tcMar>
          </w:tcPr>
          <w:p>
            <w:pPr>
              <w:pStyle w:val="Compact"/>
              <w:spacing w:before="0" w:after="0" w:line="240" w:lineRule="auto"/>
            </w:pPr>
            <w:r>
              <w:rPr>
                <w:b/>
              </w:rPr>
            </w:r>
          </w:p>
        </w:tc>
        <w:tc>
          <w:tcPr>
            <w:tcW w:type="dxa" w:w="1158"/>
            <w:vAlign w:val="center"/>
            <w:tcMar>
              <w:top w:w="70" w:type="dxa"/>
              <w:start w:w="90" w:type="dxa"/>
              <w:bottom w:w="70" w:type="dxa"/>
              <w:end w:w="90" w:type="dxa"/>
            </w:tcMar>
          </w:tcPr>
          <w:p>
            <w:pPr>
              <w:pStyle w:val="Compact"/>
              <w:spacing w:before="0" w:after="0" w:line="240" w:lineRule="auto"/>
            </w:pPr>
            <w:r>
              <w:rPr>
                <w:b/>
              </w:rPr>
              <w:t>Weight</w:t>
            </w:r>
          </w:p>
        </w:tc>
        <w:tc>
          <w:tcPr>
            <w:tcW w:type="dxa" w:w="1164"/>
            <w:vAlign w:val="center"/>
            <w:tcMar>
              <w:top w:w="70" w:type="dxa"/>
              <w:start w:w="90" w:type="dxa"/>
              <w:bottom w:w="70" w:type="dxa"/>
              <w:end w:w="90" w:type="dxa"/>
            </w:tcMar>
          </w:tcPr>
          <w:p>
            <w:pPr>
              <w:pStyle w:val="Compact"/>
              <w:spacing w:before="0" w:after="0" w:line="240" w:lineRule="auto"/>
            </w:pPr>
            <w:r>
              <w:rPr>
                <w:b/>
              </w:rPr>
              <w:t>adj.\ R²</w:t>
            </w:r>
          </w:p>
        </w:tc>
      </w:tr>
      <w:tr>
        <w:tc>
          <w:tcPr>
            <w:tcW w:type="dxa" w:w="1158"/>
            <w:vAlign w:val="center"/>
            <w:tcMar>
              <w:top w:w="70" w:type="dxa"/>
              <w:start w:w="90" w:type="dxa"/>
              <w:bottom w:w="70" w:type="dxa"/>
              <w:end w:w="90" w:type="dxa"/>
            </w:tcMar>
          </w:tcPr>
          <w:p>
            <w:pPr>
              <w:pStyle w:val="Compact"/>
              <w:spacing w:before="0" w:after="0" w:line="240" w:lineRule="auto"/>
            </w:pPr>
            <w:r>
              <w:t>M31</w:t>
            </w:r>
          </w:p>
        </w:tc>
        <w:tc>
          <w:tcPr>
            <w:tcW w:type="dxa" w:w="1158"/>
            <w:vAlign w:val="center"/>
            <w:tcMar>
              <w:top w:w="70" w:type="dxa"/>
              <w:start w:w="90" w:type="dxa"/>
              <w:bottom w:w="70" w:type="dxa"/>
              <w:end w:w="90" w:type="dxa"/>
            </w:tcMar>
          </w:tcPr>
          <w:p>
            <w:pPr>
              <w:pStyle w:val="Compact"/>
              <w:spacing w:before="0" w:after="0" w:line="240" w:lineRule="auto"/>
            </w:pPr>
            <w:r>
              <w:t>Maximum wind gust cumulative butterflies in direct sun (smooth)</w:t>
            </w:r>
          </w:p>
        </w:tc>
        <w:tc>
          <w:tcPr>
            <w:tcW w:type="dxa" w:w="1158"/>
            <w:vAlign w:val="center"/>
            <w:tcMar>
              <w:top w:w="70" w:type="dxa"/>
              <w:start w:w="90" w:type="dxa"/>
              <w:bottom w:w="70" w:type="dxa"/>
              <w:end w:w="90" w:type="dxa"/>
            </w:tcMar>
          </w:tcPr>
          <w:p>
            <w:pPr>
              <w:pStyle w:val="Compact"/>
              <w:spacing w:before="0" w:after="0" w:line="240" w:lineRule="auto"/>
            </w:pPr>
            <w:r>
              <w:t>9</w:t>
            </w:r>
          </w:p>
        </w:tc>
        <w:tc>
          <w:tcPr>
            <w:tcW w:type="dxa" w:w="1158"/>
            <w:vAlign w:val="center"/>
            <w:tcMar>
              <w:top w:w="70" w:type="dxa"/>
              <w:start w:w="90" w:type="dxa"/>
              <w:bottom w:w="70" w:type="dxa"/>
              <w:end w:w="90" w:type="dxa"/>
            </w:tcMar>
          </w:tcPr>
          <w:p>
            <w:pPr>
              <w:pStyle w:val="Compact"/>
              <w:spacing w:before="0" w:after="0" w:line="240" w:lineRule="auto"/>
            </w:pPr>
            <w:r>
              <w:t>−308.09</w:t>
            </w:r>
          </w:p>
        </w:tc>
        <w:tc>
          <w:tcPr>
            <w:tcW w:type="dxa" w:w="1158"/>
            <w:vAlign w:val="center"/>
            <w:tcMar>
              <w:top w:w="70" w:type="dxa"/>
              <w:start w:w="90" w:type="dxa"/>
              <w:bottom w:w="70" w:type="dxa"/>
              <w:end w:w="90" w:type="dxa"/>
            </w:tcMar>
          </w:tcPr>
          <w:p>
            <w:pPr>
              <w:pStyle w:val="Compact"/>
              <w:spacing w:before="0" w:after="0" w:line="240" w:lineRule="auto"/>
            </w:pPr>
            <w:r>
              <w:t>636.3</w:t>
            </w:r>
          </w:p>
        </w:tc>
        <w:tc>
          <w:tcPr>
            <w:tcW w:type="dxa" w:w="1158"/>
            <w:vAlign w:val="center"/>
            <w:tcMar>
              <w:top w:w="70" w:type="dxa"/>
              <w:start w:w="90" w:type="dxa"/>
              <w:bottom w:w="70" w:type="dxa"/>
              <w:end w:w="90" w:type="dxa"/>
            </w:tcMar>
          </w:tcPr>
          <w:p>
            <w:pPr>
              <w:pStyle w:val="Compact"/>
              <w:spacing w:before="0" w:after="0" w:line="240" w:lineRule="auto"/>
            </w:pPr>
            <w:r>
              <w:t>0.0</w:t>
            </w:r>
          </w:p>
        </w:tc>
        <w:tc>
          <w:tcPr>
            <w:tcW w:type="dxa" w:w="1158"/>
            <w:vAlign w:val="center"/>
            <w:tcMar>
              <w:top w:w="70" w:type="dxa"/>
              <w:start w:w="90" w:type="dxa"/>
              <w:bottom w:w="70" w:type="dxa"/>
              <w:end w:w="90" w:type="dxa"/>
            </w:tcMar>
          </w:tcPr>
          <w:p>
            <w:pPr>
              <w:pStyle w:val="Compact"/>
              <w:spacing w:before="0" w:after="0" w:line="240" w:lineRule="auto"/>
            </w:pPr>
            <w:r>
              <w:t>0.51</w:t>
            </w:r>
          </w:p>
        </w:tc>
        <w:tc>
          <w:tcPr>
            <w:tcW w:type="dxa" w:w="1164"/>
            <w:vAlign w:val="center"/>
            <w:tcMar>
              <w:top w:w="70" w:type="dxa"/>
              <w:start w:w="90" w:type="dxa"/>
              <w:bottom w:w="70" w:type="dxa"/>
              <w:end w:w="90" w:type="dxa"/>
            </w:tcMar>
          </w:tcPr>
          <w:p>
            <w:pPr>
              <w:pStyle w:val="Compact"/>
              <w:spacing w:before="0" w:after="0" w:line="240" w:lineRule="auto"/>
            </w:pPr>
            <w:r>
              <w:t>0.232</w:t>
            </w:r>
          </w:p>
        </w:tc>
      </w:tr>
      <w:tr>
        <w:tc>
          <w:tcPr>
            <w:tcW w:type="dxa" w:w="1158"/>
            <w:vAlign w:val="center"/>
            <w:tcMar>
              <w:top w:w="70" w:type="dxa"/>
              <w:start w:w="90" w:type="dxa"/>
              <w:bottom w:w="70" w:type="dxa"/>
              <w:end w:w="90" w:type="dxa"/>
            </w:tcMar>
          </w:tcPr>
          <w:p>
            <w:pPr>
              <w:pStyle w:val="Compact"/>
              <w:spacing w:before="0" w:after="0" w:line="240" w:lineRule="auto"/>
            </w:pPr>
            <w:r>
              <w:t>M23</w:t>
            </w:r>
          </w:p>
        </w:tc>
        <w:tc>
          <w:tcPr>
            <w:tcW w:type="dxa" w:w="1158"/>
            <w:vAlign w:val="center"/>
            <w:tcMar>
              <w:top w:w="70" w:type="dxa"/>
              <w:start w:w="90" w:type="dxa"/>
              <w:bottom w:w="70" w:type="dxa"/>
              <w:end w:w="90" w:type="dxa"/>
            </w:tcMar>
          </w:tcPr>
          <w:p>
            <w:pPr>
              <w:pStyle w:val="Compact"/>
              <w:spacing w:before="0" w:after="0" w:line="240" w:lineRule="auto"/>
            </w:pPr>
            <w:r>
              <w:t>Maximum temperature maximum wind gust (smooth)</w:t>
            </w:r>
          </w:p>
        </w:tc>
        <w:tc>
          <w:tcPr>
            <w:tcW w:type="dxa" w:w="1158"/>
            <w:vAlign w:val="center"/>
            <w:tcMar>
              <w:top w:w="70" w:type="dxa"/>
              <w:start w:w="90" w:type="dxa"/>
              <w:bottom w:w="70" w:type="dxa"/>
              <w:end w:w="90" w:type="dxa"/>
            </w:tcMar>
          </w:tcPr>
          <w:p>
            <w:pPr>
              <w:pStyle w:val="Compact"/>
              <w:spacing w:before="0" w:after="0" w:line="240" w:lineRule="auto"/>
            </w:pPr>
            <w:r>
              <w:t>9</w:t>
            </w:r>
          </w:p>
        </w:tc>
        <w:tc>
          <w:tcPr>
            <w:tcW w:type="dxa" w:w="1158"/>
            <w:vAlign w:val="center"/>
            <w:tcMar>
              <w:top w:w="70" w:type="dxa"/>
              <w:start w:w="90" w:type="dxa"/>
              <w:bottom w:w="70" w:type="dxa"/>
              <w:end w:w="90" w:type="dxa"/>
            </w:tcMar>
          </w:tcPr>
          <w:p>
            <w:pPr>
              <w:pStyle w:val="Compact"/>
              <w:spacing w:before="0" w:after="0" w:line="240" w:lineRule="auto"/>
            </w:pPr>
            <w:r>
              <w:t>−309.89</w:t>
            </w:r>
          </w:p>
        </w:tc>
        <w:tc>
          <w:tcPr>
            <w:tcW w:type="dxa" w:w="1158"/>
            <w:vAlign w:val="center"/>
            <w:tcMar>
              <w:top w:w="70" w:type="dxa"/>
              <w:start w:w="90" w:type="dxa"/>
              <w:bottom w:w="70" w:type="dxa"/>
              <w:end w:w="90" w:type="dxa"/>
            </w:tcMar>
          </w:tcPr>
          <w:p>
            <w:pPr>
              <w:pStyle w:val="Compact"/>
              <w:spacing w:before="0" w:after="0" w:line="240" w:lineRule="auto"/>
            </w:pPr>
            <w:r>
              <w:t>639.9</w:t>
            </w:r>
          </w:p>
        </w:tc>
        <w:tc>
          <w:tcPr>
            <w:tcW w:type="dxa" w:w="1158"/>
            <w:vAlign w:val="center"/>
            <w:tcMar>
              <w:top w:w="70" w:type="dxa"/>
              <w:start w:w="90" w:type="dxa"/>
              <w:bottom w:w="70" w:type="dxa"/>
              <w:end w:w="90" w:type="dxa"/>
            </w:tcMar>
          </w:tcPr>
          <w:p>
            <w:pPr>
              <w:pStyle w:val="Compact"/>
              <w:spacing w:before="0" w:after="0" w:line="240" w:lineRule="auto"/>
            </w:pPr>
            <w:r>
              <w:t>3.6</w:t>
            </w:r>
          </w:p>
        </w:tc>
        <w:tc>
          <w:tcPr>
            <w:tcW w:type="dxa" w:w="1158"/>
            <w:vAlign w:val="center"/>
            <w:tcMar>
              <w:top w:w="70" w:type="dxa"/>
              <w:start w:w="90" w:type="dxa"/>
              <w:bottom w:w="70" w:type="dxa"/>
              <w:end w:w="90" w:type="dxa"/>
            </w:tcMar>
          </w:tcPr>
          <w:p>
            <w:pPr>
              <w:pStyle w:val="Compact"/>
              <w:spacing w:before="0" w:after="0" w:line="240" w:lineRule="auto"/>
            </w:pPr>
            <w:r>
              <w:t>0.08</w:t>
            </w:r>
          </w:p>
        </w:tc>
        <w:tc>
          <w:tcPr>
            <w:tcW w:type="dxa" w:w="1164"/>
            <w:vAlign w:val="center"/>
            <w:tcMar>
              <w:top w:w="70" w:type="dxa"/>
              <w:start w:w="90" w:type="dxa"/>
              <w:bottom w:w="70" w:type="dxa"/>
              <w:end w:w="90" w:type="dxa"/>
            </w:tcMar>
          </w:tcPr>
          <w:p>
            <w:pPr>
              <w:pStyle w:val="Compact"/>
              <w:spacing w:before="0" w:after="0" w:line="240" w:lineRule="auto"/>
            </w:pPr>
            <w:r>
              <w:t>-</w:t>
            </w:r>
          </w:p>
        </w:tc>
      </w:tr>
      <w:tr>
        <w:tc>
          <w:tcPr>
            <w:tcW w:type="dxa" w:w="1158"/>
            <w:vAlign w:val="center"/>
            <w:tcMar>
              <w:top w:w="70" w:type="dxa"/>
              <w:start w:w="90" w:type="dxa"/>
              <w:bottom w:w="70" w:type="dxa"/>
              <w:end w:w="90" w:type="dxa"/>
            </w:tcMar>
          </w:tcPr>
          <w:p>
            <w:pPr>
              <w:pStyle w:val="Compact"/>
              <w:spacing w:before="0" w:after="0" w:line="240" w:lineRule="auto"/>
            </w:pPr>
            <w:r>
              <w:t>M29</w:t>
            </w:r>
          </w:p>
        </w:tc>
        <w:tc>
          <w:tcPr>
            <w:tcW w:type="dxa" w:w="1158"/>
            <w:vAlign w:val="center"/>
            <w:tcMar>
              <w:top w:w="70" w:type="dxa"/>
              <w:start w:w="90" w:type="dxa"/>
              <w:bottom w:w="70" w:type="dxa"/>
              <w:end w:w="90" w:type="dxa"/>
            </w:tcMar>
          </w:tcPr>
          <w:p>
            <w:pPr>
              <w:pStyle w:val="Compact"/>
              <w:spacing w:before="0" w:after="0" w:line="240" w:lineRule="auto"/>
            </w:pPr>
            <w:r>
              <w:t>Temperature at previous maximum BI cumulative butterflies in direct sun (smooth)</w:t>
            </w:r>
          </w:p>
        </w:tc>
        <w:tc>
          <w:tcPr>
            <w:tcW w:type="dxa" w:w="1158"/>
            <w:vAlign w:val="center"/>
            <w:tcMar>
              <w:top w:w="70" w:type="dxa"/>
              <w:start w:w="90" w:type="dxa"/>
              <w:bottom w:w="70" w:type="dxa"/>
              <w:end w:w="90" w:type="dxa"/>
            </w:tcMar>
          </w:tcPr>
          <w:p>
            <w:pPr>
              <w:pStyle w:val="Compact"/>
              <w:spacing w:before="0" w:after="0" w:line="240" w:lineRule="auto"/>
            </w:pPr>
            <w:r>
              <w:t>9</w:t>
            </w:r>
          </w:p>
        </w:tc>
        <w:tc>
          <w:tcPr>
            <w:tcW w:type="dxa" w:w="1158"/>
            <w:vAlign w:val="center"/>
            <w:tcMar>
              <w:top w:w="70" w:type="dxa"/>
              <w:start w:w="90" w:type="dxa"/>
              <w:bottom w:w="70" w:type="dxa"/>
              <w:end w:w="90" w:type="dxa"/>
            </w:tcMar>
          </w:tcPr>
          <w:p>
            <w:pPr>
              <w:pStyle w:val="Compact"/>
              <w:spacing w:before="0" w:after="0" w:line="240" w:lineRule="auto"/>
            </w:pPr>
            <w:r>
              <w:t>−310.31</w:t>
            </w:r>
          </w:p>
        </w:tc>
        <w:tc>
          <w:tcPr>
            <w:tcW w:type="dxa" w:w="1158"/>
            <w:vAlign w:val="center"/>
            <w:tcMar>
              <w:top w:w="70" w:type="dxa"/>
              <w:start w:w="90" w:type="dxa"/>
              <w:bottom w:w="70" w:type="dxa"/>
              <w:end w:w="90" w:type="dxa"/>
            </w:tcMar>
          </w:tcPr>
          <w:p>
            <w:pPr>
              <w:pStyle w:val="Compact"/>
              <w:spacing w:before="0" w:after="0" w:line="240" w:lineRule="auto"/>
            </w:pPr>
            <w:r>
              <w:t>640.8</w:t>
            </w:r>
          </w:p>
        </w:tc>
        <w:tc>
          <w:tcPr>
            <w:tcW w:type="dxa" w:w="1158"/>
            <w:vAlign w:val="center"/>
            <w:tcMar>
              <w:top w:w="70" w:type="dxa"/>
              <w:start w:w="90" w:type="dxa"/>
              <w:bottom w:w="70" w:type="dxa"/>
              <w:end w:w="90" w:type="dxa"/>
            </w:tcMar>
          </w:tcPr>
          <w:p>
            <w:pPr>
              <w:pStyle w:val="Compact"/>
              <w:spacing w:before="0" w:after="0" w:line="240" w:lineRule="auto"/>
            </w:pPr>
            <w:r>
              <w:t>4.4</w:t>
            </w:r>
          </w:p>
        </w:tc>
        <w:tc>
          <w:tcPr>
            <w:tcW w:type="dxa" w:w="1158"/>
            <w:vAlign w:val="center"/>
            <w:tcMar>
              <w:top w:w="70" w:type="dxa"/>
              <w:start w:w="90" w:type="dxa"/>
              <w:bottom w:w="70" w:type="dxa"/>
              <w:end w:w="90" w:type="dxa"/>
            </w:tcMar>
          </w:tcPr>
          <w:p>
            <w:pPr>
              <w:pStyle w:val="Compact"/>
              <w:spacing w:before="0" w:after="0" w:line="240" w:lineRule="auto"/>
            </w:pPr>
            <w:r>
              <w:t>0.06</w:t>
            </w:r>
          </w:p>
        </w:tc>
        <w:tc>
          <w:tcPr>
            <w:tcW w:type="dxa" w:w="1164"/>
            <w:vAlign w:val="center"/>
            <w:tcMar>
              <w:top w:w="70" w:type="dxa"/>
              <w:start w:w="90" w:type="dxa"/>
              <w:bottom w:w="70" w:type="dxa"/>
              <w:end w:w="90" w:type="dxa"/>
            </w:tcMar>
          </w:tcPr>
          <w:p>
            <w:pPr>
              <w:pStyle w:val="Compact"/>
              <w:spacing w:before="0" w:after="0" w:line="240" w:lineRule="auto"/>
            </w:pPr>
            <w:r>
              <w:t>-</w:t>
            </w:r>
          </w:p>
        </w:tc>
      </w:tr>
      <w:tr>
        <w:tc>
          <w:tcPr>
            <w:tcW w:type="dxa" w:w="1158"/>
            <w:vAlign w:val="center"/>
            <w:tcMar>
              <w:top w:w="70" w:type="dxa"/>
              <w:start w:w="90" w:type="dxa"/>
              <w:bottom w:w="70" w:type="dxa"/>
              <w:end w:w="90" w:type="dxa"/>
            </w:tcMar>
          </w:tcPr>
          <w:p>
            <w:pPr>
              <w:pStyle w:val="Compact"/>
              <w:spacing w:before="0" w:after="0" w:line="240" w:lineRule="auto"/>
            </w:pPr>
            <w:r>
              <w:t>M19</w:t>
            </w:r>
          </w:p>
        </w:tc>
        <w:tc>
          <w:tcPr>
            <w:tcW w:type="dxa" w:w="1158"/>
            <w:vAlign w:val="center"/>
            <w:tcMar>
              <w:top w:w="70" w:type="dxa"/>
              <w:start w:w="90" w:type="dxa"/>
              <w:bottom w:w="70" w:type="dxa"/>
              <w:end w:w="90" w:type="dxa"/>
            </w:tcMar>
          </w:tcPr>
          <w:p>
            <w:pPr>
              <w:pStyle w:val="Compact"/>
              <w:spacing w:before="0" w:after="0" w:line="240" w:lineRule="auto"/>
            </w:pPr>
            <w:r>
              <w:t>Minimum temperature cumulative butterflies in direct sun (smooth)</w:t>
            </w:r>
          </w:p>
        </w:tc>
        <w:tc>
          <w:tcPr>
            <w:tcW w:type="dxa" w:w="1158"/>
            <w:vAlign w:val="center"/>
            <w:tcMar>
              <w:top w:w="70" w:type="dxa"/>
              <w:start w:w="90" w:type="dxa"/>
              <w:bottom w:w="70" w:type="dxa"/>
              <w:end w:w="90" w:type="dxa"/>
            </w:tcMar>
          </w:tcPr>
          <w:p>
            <w:pPr>
              <w:pStyle w:val="Compact"/>
              <w:spacing w:before="0" w:after="0" w:line="240" w:lineRule="auto"/>
            </w:pPr>
            <w:r>
              <w:t>9</w:t>
            </w:r>
          </w:p>
        </w:tc>
        <w:tc>
          <w:tcPr>
            <w:tcW w:type="dxa" w:w="1158"/>
            <w:vAlign w:val="center"/>
            <w:tcMar>
              <w:top w:w="70" w:type="dxa"/>
              <w:start w:w="90" w:type="dxa"/>
              <w:bottom w:w="70" w:type="dxa"/>
              <w:end w:w="90" w:type="dxa"/>
            </w:tcMar>
          </w:tcPr>
          <w:p>
            <w:pPr>
              <w:pStyle w:val="Compact"/>
              <w:spacing w:before="0" w:after="0" w:line="240" w:lineRule="auto"/>
            </w:pPr>
            <w:r>
              <w:t>−310.48</w:t>
            </w:r>
          </w:p>
        </w:tc>
        <w:tc>
          <w:tcPr>
            <w:tcW w:type="dxa" w:w="1158"/>
            <w:vAlign w:val="center"/>
            <w:tcMar>
              <w:top w:w="70" w:type="dxa"/>
              <w:start w:w="90" w:type="dxa"/>
              <w:bottom w:w="70" w:type="dxa"/>
              <w:end w:w="90" w:type="dxa"/>
            </w:tcMar>
          </w:tcPr>
          <w:p>
            <w:pPr>
              <w:pStyle w:val="Compact"/>
              <w:spacing w:before="0" w:after="0" w:line="240" w:lineRule="auto"/>
            </w:pPr>
            <w:r>
              <w:t>641.1</w:t>
            </w:r>
          </w:p>
        </w:tc>
        <w:tc>
          <w:tcPr>
            <w:tcW w:type="dxa" w:w="1158"/>
            <w:vAlign w:val="center"/>
            <w:tcMar>
              <w:top w:w="70" w:type="dxa"/>
              <w:start w:w="90" w:type="dxa"/>
              <w:bottom w:w="70" w:type="dxa"/>
              <w:end w:w="90" w:type="dxa"/>
            </w:tcMar>
          </w:tcPr>
          <w:p>
            <w:pPr>
              <w:pStyle w:val="Compact"/>
              <w:spacing w:before="0" w:after="0" w:line="240" w:lineRule="auto"/>
            </w:pPr>
            <w:r>
              <w:t>4.8</w:t>
            </w:r>
          </w:p>
        </w:tc>
        <w:tc>
          <w:tcPr>
            <w:tcW w:type="dxa" w:w="1158"/>
            <w:vAlign w:val="center"/>
            <w:tcMar>
              <w:top w:w="70" w:type="dxa"/>
              <w:start w:w="90" w:type="dxa"/>
              <w:bottom w:w="70" w:type="dxa"/>
              <w:end w:w="90" w:type="dxa"/>
            </w:tcMar>
          </w:tcPr>
          <w:p>
            <w:pPr>
              <w:pStyle w:val="Compact"/>
              <w:spacing w:before="0" w:after="0" w:line="240" w:lineRule="auto"/>
            </w:pPr>
            <w:r>
              <w:t>0.05</w:t>
            </w:r>
          </w:p>
        </w:tc>
        <w:tc>
          <w:tcPr>
            <w:tcW w:type="dxa" w:w="1164"/>
            <w:vAlign w:val="center"/>
            <w:tcMar>
              <w:top w:w="70" w:type="dxa"/>
              <w:start w:w="90" w:type="dxa"/>
              <w:bottom w:w="70" w:type="dxa"/>
              <w:end w:w="90" w:type="dxa"/>
            </w:tcMar>
          </w:tcPr>
          <w:p>
            <w:pPr>
              <w:pStyle w:val="Compact"/>
              <w:spacing w:before="0" w:after="0" w:line="240" w:lineRule="auto"/>
            </w:pPr>
            <w:r>
              <w:t>-</w:t>
            </w:r>
          </w:p>
        </w:tc>
      </w:tr>
      <w:tr>
        <w:tc>
          <w:tcPr>
            <w:tcW w:type="dxa" w:w="1158"/>
            <w:vAlign w:val="center"/>
            <w:tcMar>
              <w:top w:w="70" w:type="dxa"/>
              <w:start w:w="90" w:type="dxa"/>
              <w:bottom w:w="70" w:type="dxa"/>
              <w:end w:w="90" w:type="dxa"/>
            </w:tcMar>
          </w:tcPr>
          <w:p>
            <w:pPr>
              <w:pStyle w:val="Compact"/>
              <w:spacing w:before="0" w:after="0" w:line="240" w:lineRule="auto"/>
            </w:pPr>
            <w:r>
              <w:t>M51</w:t>
            </w:r>
          </w:p>
        </w:tc>
        <w:tc>
          <w:tcPr>
            <w:tcW w:type="dxa" w:w="1158"/>
            <w:vAlign w:val="center"/>
            <w:tcMar>
              <w:top w:w="70" w:type="dxa"/>
              <w:start w:w="90" w:type="dxa"/>
              <w:bottom w:w="70" w:type="dxa"/>
              <w:end w:w="90" w:type="dxa"/>
            </w:tcMar>
          </w:tcPr>
          <w:p>
            <w:pPr>
              <w:pStyle w:val="Compact"/>
              <w:spacing w:before="0" w:after="0" w:line="240" w:lineRule="auto"/>
            </w:pPr>
            <w:r>
              <w:t>Maximum wind gust, cumulative butterflies in direct sun, maximum wind gust cumulative butterflies in direct sun (smooth)</w:t>
            </w:r>
          </w:p>
        </w:tc>
        <w:tc>
          <w:tcPr>
            <w:tcW w:type="dxa" w:w="1158"/>
            <w:vAlign w:val="center"/>
            <w:tcMar>
              <w:top w:w="70" w:type="dxa"/>
              <w:start w:w="90" w:type="dxa"/>
              <w:bottom w:w="70" w:type="dxa"/>
              <w:end w:w="90" w:type="dxa"/>
            </w:tcMar>
          </w:tcPr>
          <w:p>
            <w:pPr>
              <w:pStyle w:val="Compact"/>
              <w:spacing w:before="0" w:after="0" w:line="240" w:lineRule="auto"/>
            </w:pPr>
            <w:r>
              <w:t>13</w:t>
            </w:r>
          </w:p>
        </w:tc>
        <w:tc>
          <w:tcPr>
            <w:tcW w:type="dxa" w:w="1158"/>
            <w:vAlign w:val="center"/>
            <w:tcMar>
              <w:top w:w="70" w:type="dxa"/>
              <w:start w:w="90" w:type="dxa"/>
              <w:bottom w:w="70" w:type="dxa"/>
              <w:end w:w="90" w:type="dxa"/>
            </w:tcMar>
          </w:tcPr>
          <w:p>
            <w:pPr>
              <w:pStyle w:val="Compact"/>
              <w:spacing w:before="0" w:after="0" w:line="240" w:lineRule="auto"/>
            </w:pPr>
            <w:r>
              <w:t>−305.59</w:t>
            </w:r>
          </w:p>
        </w:tc>
        <w:tc>
          <w:tcPr>
            <w:tcW w:type="dxa" w:w="1158"/>
            <w:vAlign w:val="center"/>
            <w:tcMar>
              <w:top w:w="70" w:type="dxa"/>
              <w:start w:w="90" w:type="dxa"/>
              <w:bottom w:w="70" w:type="dxa"/>
              <w:end w:w="90" w:type="dxa"/>
            </w:tcMar>
          </w:tcPr>
          <w:p>
            <w:pPr>
              <w:pStyle w:val="Compact"/>
              <w:spacing w:before="0" w:after="0" w:line="240" w:lineRule="auto"/>
            </w:pPr>
            <w:r>
              <w:t>641.7</w:t>
            </w:r>
          </w:p>
        </w:tc>
        <w:tc>
          <w:tcPr>
            <w:tcW w:type="dxa" w:w="1158"/>
            <w:vAlign w:val="center"/>
            <w:tcMar>
              <w:top w:w="70" w:type="dxa"/>
              <w:start w:w="90" w:type="dxa"/>
              <w:bottom w:w="70" w:type="dxa"/>
              <w:end w:w="90" w:type="dxa"/>
            </w:tcMar>
          </w:tcPr>
          <w:p>
            <w:pPr>
              <w:pStyle w:val="Compact"/>
              <w:spacing w:before="0" w:after="0" w:line="240" w:lineRule="auto"/>
            </w:pPr>
            <w:r>
              <w:t>5.4</w:t>
            </w:r>
          </w:p>
        </w:tc>
        <w:tc>
          <w:tcPr>
            <w:tcW w:type="dxa" w:w="1158"/>
            <w:vAlign w:val="center"/>
            <w:tcMar>
              <w:top w:w="70" w:type="dxa"/>
              <w:start w:w="90" w:type="dxa"/>
              <w:bottom w:w="70" w:type="dxa"/>
              <w:end w:w="90" w:type="dxa"/>
            </w:tcMar>
          </w:tcPr>
          <w:p>
            <w:pPr>
              <w:pStyle w:val="Compact"/>
              <w:spacing w:before="0" w:after="0" w:line="240" w:lineRule="auto"/>
            </w:pPr>
            <w:r>
              <w:t>0.03</w:t>
            </w:r>
          </w:p>
        </w:tc>
        <w:tc>
          <w:tcPr>
            <w:tcW w:type="dxa" w:w="1164"/>
            <w:vAlign w:val="center"/>
            <w:tcMar>
              <w:top w:w="70" w:type="dxa"/>
              <w:start w:w="90" w:type="dxa"/>
              <w:bottom w:w="70" w:type="dxa"/>
              <w:end w:w="90" w:type="dxa"/>
            </w:tcMar>
          </w:tcPr>
          <w:p>
            <w:pPr>
              <w:pStyle w:val="Compact"/>
              <w:spacing w:before="0" w:after="0" w:line="240" w:lineRule="auto"/>
            </w:pPr>
            <w:r>
              <w:t>-</w:t>
            </w:r>
          </w:p>
        </w:tc>
      </w:tr>
    </w:tbl>
    <w:p>
      <w:pPr>
        <w:pStyle w:val="BodyText"/>
      </w:pPr>
      <w:r>
        <w:t xml:space="preserve">The 24-hour robustness analysis revealed qualitatively similar interaction patterns to the Next Day Window/site fidelity analysis (though with attenuated effect magnitudes) (Figure 12). For example, under low wind gust speeds around 2 m/s and low butterfly counts (</w:t>
      </w:r>
      <m:oMath>
        <m:r>
          <m:rPr>
            <m:sty m:val="p"/>
          </m:rPr>
          <m:t>&lt;</m:t>
        </m:r>
      </m:oMath>
      <w:r>
        <w:t xml:space="preserve">60–70) in direct sun, BI increased the following day. And under low wind gust speeds (</w:t>
      </w:r>
      <m:oMath>
        <m:r>
          <m:rPr>
            <m:sty m:val="p"/>
          </m:rPr>
          <m:t>∼</m:t>
        </m:r>
      </m:oMath>
      <w:r>
        <w:t xml:space="preserve">2 m/s), and higher butterfly counts in sun (</w:t>
      </w:r>
      <m:oMath>
        <m:r>
          <m:rPr>
            <m:sty m:val="p"/>
          </m:rPr>
          <m:t>&gt;</m:t>
        </m:r>
      </m:oMath>
      <w:r>
        <w:t xml:space="preserve">100) BI decreased the following day (a reversal of pattern). And at intermediate to high values of both wind gust speed and butterfly sun exposure, cluster sizes (BI) increased the next day. The convergent model selection and consistent interaction patterns across standardized (24hr) and variable scales strengthen confidence in the tested environmental interrelationships. This is also consistent with window duration showing no significant relationship with maximum</w:t>
      </w:r>
      <w:r>
        <w:t xml:space="preserve"> </w:t>
      </w:r>
      <m:oMath>
        <m:r>
          <m:rPr>
            <m:sty m:val="p"/>
          </m:rPr>
          <m:t>Δ</m:t>
        </m:r>
      </m:oMath>
      <w:r>
        <w:t xml:space="preserve">BI (Figure 8) in the Next Day Window analysis. Pattern interpretation requires similar caution near data boundaries and regions with sparse observations.</w:t>
      </w:r>
    </w:p>
    <w:bookmarkStart w:id="112" w:name="fig:interaction_wind_sun_24hr"/>
    <w:p>
      <w:pPr>
        <w:pStyle w:val="CaptionedFigure"/>
        <w:keepNext/>
        <w:spacing w:before="80" w:after="0"/>
        <w:jc w:val="center"/>
      </w:pPr>
      <w:r>
        <w:drawing>
          <wp:inline>
            <wp:extent cx="4160520" cy="3566160"/>
            <wp:effectExtent b="0" l="0" r="0" t="0"/>
            <wp:docPr descr="" title="" id="110" name="Picture"/>
            <a:graphic>
              <a:graphicData uri="http://schemas.openxmlformats.org/drawingml/2006/picture">
                <pic:pic>
                  <pic:nvPicPr>
                    <pic:cNvPr descr="figures/interaction_wind_sun_24hr.png" id="111" name="Picture"/>
                    <pic:cNvPicPr>
                      <a:picLocks noChangeArrowheads="1" noChangeAspect="1"/>
                    </pic:cNvPicPr>
                  </pic:nvPicPr>
                  <pic:blipFill>
                    <a:blip r:embed="rId109"/>
                    <a:stretch>
                      <a:fillRect/>
                    </a:stretch>
                  </pic:blipFill>
                  <pic:spPr bwMode="auto">
                    <a:xfrm>
                      <a:off x="0" y="0"/>
                      <a:ext cx="4160520" cy="3566160"/>
                    </a:xfrm>
                    <a:prstGeom prst="rect">
                      <a:avLst/>
                    </a:prstGeom>
                    <a:noFill/>
                    <a:ln w="9525">
                      <a:noFill/>
                      <a:headEnd/>
                      <a:tailEnd/>
                    </a:ln>
                  </pic:spPr>
                </pic:pic>
              </a:graphicData>
            </a:graphic>
          </wp:inline>
        </w:drawing>
      </w:r>
    </w:p>
    <w:p>
      <w:pPr>
        <w:pStyle w:val="ImageCaption"/>
        <w:jc w:val="left"/>
      </w:pPr>
      <w:r>
        <w:t>Figure 12. BI response to interactions of wind and sun exposure over 24-hours. BI is butterfly index. Tensor smooth interaction between maximum wind gust (m/s) and cumulative butterflies in direct sun on 24-hour cluster size changes (BI). Color gradient indicates partial effect magnitude on square-root transformed scale (red = positive, blue = negative). Black points show observed data distribution. Gray regions indicate areas beyond reliable interpolation range. The interaction pattern mirrors that observed in the Next Day Window analysis, supporting the robustness of identified environmental relationships.</w:t>
      </w:r>
    </w:p>
    <w:bookmarkEnd w:id="112"/>
    <w:bookmarkEnd w:id="113"/>
    <w:bookmarkEnd w:id="114"/>
    <w:bookmarkStart w:id="128" w:name="discussion"/>
    <w:p>
      <w:pPr>
        <w:pStyle w:val="Heading1"/>
      </w:pPr>
      <w:r>
        <w:t xml:space="preserve">Discussion</w:t>
      </w:r>
    </w:p>
    <w:p>
      <w:pPr>
        <w:pStyle w:val="FirstParagraph"/>
      </w:pPr>
      <w:r>
        <w:t xml:space="preserve">For over three decades, conservation practice has operated under the assumption that wind speeds exceeding 2 m/s force butterflies to abandon their roosts, either by physically dislodging them or triggering behavioral avoidance</w:t>
      </w:r>
      <w:r>
        <w:t xml:space="preserve"> </w:t>
      </w:r>
      <w:r>
        <w:t xml:space="preserve">[35–41]</w:t>
      </w:r>
      <w:r>
        <w:t xml:space="preserve">. Our empirical assessment of the Wind Disruption Hypothesis tested predictions made under this hypothesis: a) that wind would emerge as a significant predictor of change in overwintering cluster size, b) that cluster size would decline at roosts experiencing winds exceeding 2 m/s, c) that cluster size decline would be proportional to wind speeds increases over 2 m/s, d) and that disruptive winds decrease cluster site fidelity manifested as cluster size reductions over consecutive days. Our findings reject the predictions of the Wind Disruption Hypothesis. Though there does appear to be a</w:t>
      </w:r>
      <w:r>
        <w:t xml:space="preserve"> </w:t>
      </w:r>
      <w:r>
        <w:t xml:space="preserve">“wind effect,”</w:t>
      </w:r>
      <w:r>
        <w:t xml:space="preserve"> </w:t>
      </w:r>
      <w:r>
        <w:t xml:space="preserve">it is not at 2 m/s; it is not a threshold; it is not a sole effect; it exists only in combination with direct sunlight. Therefore, we find that maximum wind speed and exposure to direct sunlight interact and scale in complex ways, with other factors, including time of day, previous overwintering cluster size, and potentially temperature also having predictive power</w:t>
      </w:r>
      <w:r>
        <w:t xml:space="preserve"> </w:t>
      </w:r>
      <w:r>
        <w:t xml:space="preserve">[45]</w:t>
      </w:r>
      <w:r>
        <w:t xml:space="preserve">.</w:t>
      </w:r>
    </w:p>
    <w:bookmarkStart w:id="119" w:name="evidence-against-wind-disruption"/>
    <w:p>
      <w:pPr>
        <w:pStyle w:val="Heading2"/>
      </w:pPr>
      <w:r>
        <w:t xml:space="preserve">Evidence Against Wind Disruption</w:t>
      </w:r>
    </w:p>
    <w:p>
      <w:pPr>
        <w:pStyle w:val="FirstParagraph"/>
      </w:pPr>
      <w:r>
        <w:t xml:space="preserve">We tested the most basic prediction of the Wind Disruption Hypothesis, that increasing wind speed should produce decreasing cluster sizes. We found essentially no correlation at either temporal scale (30-minute</w:t>
      </w:r>
      <w:r>
        <w:t xml:space="preserve"> </w:t>
      </w:r>
      <m:oMath>
        <m:sSup>
          <m:e>
            <m:r>
              <m:t>R</m:t>
            </m:r>
          </m:e>
          <m:sup>
            <m:r>
              <m:t>2</m:t>
            </m:r>
          </m:sup>
        </m:sSup>
      </m:oMath>
      <w:r>
        <w:t xml:space="preserve"> </w:t>
      </w:r>
      <w:r>
        <w:t xml:space="preserve">= 0.002,</w:t>
      </w:r>
      <w:r>
        <w:t xml:space="preserve"> </w:t>
      </w:r>
      <m:oMath>
        <m:r>
          <m:t>n</m:t>
        </m:r>
      </m:oMath>
      <w:r>
        <w:t xml:space="preserve"> </w:t>
      </w:r>
      <w:r>
        <w:t xml:space="preserve">= 1,894; Next Day Window</w:t>
      </w:r>
      <w:r>
        <w:t xml:space="preserve"> </w:t>
      </w:r>
      <m:oMath>
        <m:sSup>
          <m:e>
            <m:r>
              <m:t>R</m:t>
            </m:r>
          </m:e>
          <m:sup>
            <m:r>
              <m:t>2</m:t>
            </m:r>
          </m:sup>
        </m:sSup>
      </m:oMath>
      <w:r>
        <w:t xml:space="preserve"> </w:t>
      </w:r>
      <w:r>
        <w:t xml:space="preserve">= 0.017,</w:t>
      </w:r>
      <w:r>
        <w:t xml:space="preserve"> </w:t>
      </w:r>
      <m:oMath>
        <m:r>
          <m:t>n</m:t>
        </m:r>
      </m:oMath>
      <w:r>
        <w:t xml:space="preserve"> </w:t>
      </w:r>
      <w:r>
        <w:t xml:space="preserve">= 101) across wind speeds ranging from calm to six times the proposed threshold.</w:t>
      </w:r>
    </w:p>
    <w:p>
      <w:pPr>
        <w:pStyle w:val="BodyText"/>
      </w:pPr>
      <w:r>
        <w:t xml:space="preserve">Modeling revealed that wind alone showed no disruptive effect. Instead, monarch responses were a complex interaction of wind and solar exposure. This interaction showed significance at</w:t>
      </w:r>
      <w:r>
        <w:t xml:space="preserve"> </w:t>
      </w:r>
      <m:oMath>
        <m:r>
          <m:t>p</m:t>
        </m:r>
        <m:r>
          <m:rPr>
            <m:sty m:val="p"/>
          </m:rPr>
          <m:t>&lt;</m:t>
        </m:r>
        <m:r>
          <m:t>0.001</m:t>
        </m:r>
      </m:oMath>
      <w:r>
        <w:t xml:space="preserve"> </w:t>
      </w:r>
      <w:r>
        <w:t xml:space="preserve">in both the 30-minute and Next Day Window analyses. Indeed, wind effects depended entirely on light conditions. For butterflies in shade, wind speed (0 to 12.4 m/s) had no effect on cluster dynamics. Yet once butterflies occurred in sunlit positions, relationships became complex and conditional. These patterns may reflect redistribution within the grove, including movement among monitored and unmonitored areas or into and out of the site as wind and light conditions change.</w:t>
      </w:r>
    </w:p>
    <w:p>
      <w:pPr>
        <w:pStyle w:val="BodyText"/>
      </w:pPr>
      <w:r>
        <w:t xml:space="preserve">Strikingly, every observation period in the Next Day Window analysis experienced maximum wind speeds that exceeded 2 m/s (range: 2.0–12.8 m/s), yet monarch clusters persisted throughout the 80-day study period. If the Wind Disruption Hypothesis were correct, we should have observed either mass departures when temperatures permitted flight or butterflies physically dislodged and littering the ground when too cold to fly</w:t>
      </w:r>
      <w:r>
        <w:t xml:space="preserve"> </w:t>
      </w:r>
      <w:r>
        <w:t xml:space="preserve">[35]</w:t>
      </w:r>
      <w:r>
        <w:t xml:space="preserve">. We observed neither.</w:t>
      </w:r>
    </w:p>
    <w:p>
      <w:pPr>
        <w:pStyle w:val="BodyText"/>
      </w:pPr>
      <w:r>
        <w:t xml:space="preserve">Among paired 30-minute observations with butterflies present at the current image time point, maximum gust speeds commonly exceeded the proposed 2 m/s threshold, with 1,074 of 1,856 paired observations (57.9%) at or above 2 m/s (Figure 13).</w:t>
      </w:r>
    </w:p>
    <w:bookmarkStart w:id="118" w:name="fig:wind_at_clusters"/>
    <w:p>
      <w:pPr>
        <w:pStyle w:val="CaptionedFigure"/>
        <w:keepNext/>
        <w:spacing w:before="80" w:after="0"/>
        <w:jc w:val="center"/>
      </w:pPr>
      <w:r>
        <w:drawing>
          <wp:inline>
            <wp:extent cx="4457700" cy="2743200"/>
            <wp:effectExtent b="0" l="0" r="0" t="0"/>
            <wp:docPr descr="" title="" id="116" name="Picture"/>
            <a:graphic>
              <a:graphicData uri="http://schemas.openxmlformats.org/drawingml/2006/picture">
                <pic:pic>
                  <pic:nvPicPr>
                    <pic:cNvPr descr="figures/wind_at_clusters_histogram.png" id="117" name="Picture"/>
                    <pic:cNvPicPr>
                      <a:picLocks noChangeArrowheads="1" noChangeAspect="1"/>
                    </pic:cNvPicPr>
                  </pic:nvPicPr>
                  <pic:blipFill>
                    <a:blip r:embed="rId115"/>
                    <a:stretch>
                      <a:fillRect/>
                    </a:stretch>
                  </pic:blipFill>
                  <pic:spPr bwMode="auto">
                    <a:xfrm>
                      <a:off x="0" y="0"/>
                      <a:ext cx="4457700" cy="2743200"/>
                    </a:xfrm>
                    <a:prstGeom prst="rect">
                      <a:avLst/>
                    </a:prstGeom>
                    <a:noFill/>
                    <a:ln w="9525">
                      <a:noFill/>
                      <a:headEnd/>
                      <a:tailEnd/>
                    </a:ln>
                  </pic:spPr>
                </pic:pic>
              </a:graphicData>
            </a:graphic>
          </wp:inline>
        </w:drawing>
      </w:r>
    </w:p>
    <w:p>
      <w:pPr>
        <w:pStyle w:val="ImageCaption"/>
        <w:jc w:val="left"/>
      </w:pPr>
      <w:r>
        <w:t>Figure 13. Maximum wind gust speeds during 30-minute paired observations with butterflies present ( = 1,856). Bins are 0.25 m/s. The red dashed line marks the proposed 2 m/s Wind Disruption Hypothesis threshold.</w:t>
      </w:r>
    </w:p>
    <w:bookmarkEnd w:id="118"/>
    <w:bookmarkEnd w:id="119"/>
    <w:bookmarkStart w:id="120" w:name="X5e474d4f5f2269e0b3db1229fb789e6c77fbc2d"/>
    <w:p>
      <w:pPr>
        <w:pStyle w:val="Heading2"/>
      </w:pPr>
      <w:r>
        <w:t xml:space="preserve">Thermoregulation as an Alternative Explanation</w:t>
      </w:r>
    </w:p>
    <w:p>
      <w:pPr>
        <w:pStyle w:val="FirstParagraph"/>
      </w:pPr>
      <w:r>
        <w:t xml:space="preserve">Empirical testing has gradually rejected the Microclimate Hypothesis’ prediction that overwintering western monarch butterflies have a uniform set of microclimate requirements</w:t>
      </w:r>
      <w:r>
        <w:t xml:space="preserve"> </w:t>
      </w:r>
      <w:r>
        <w:t xml:space="preserve">[43]</w:t>
      </w:r>
      <w:r>
        <w:t xml:space="preserve"> </w:t>
      </w:r>
      <w:r>
        <w:t xml:space="preserve">[42, 45]</w:t>
      </w:r>
      <w:r>
        <w:t xml:space="preserve"> </w:t>
      </w:r>
      <w:r>
        <w:t xml:space="preserve">. Rejection of the Microclimate Hypothesis has pointed to the alternative hypothesis that monarch overwintering habitat utilization is driven by physiological and energetic constraints interacting with local conditions</w:t>
      </w:r>
      <w:r>
        <w:t xml:space="preserve"> </w:t>
      </w:r>
      <w:r>
        <w:t xml:space="preserve">[43]</w:t>
      </w:r>
      <w:r>
        <w:t xml:space="preserve"> </w:t>
      </w:r>
      <w:r>
        <w:t xml:space="preserve">[42]</w:t>
      </w:r>
      <w:r>
        <w:t xml:space="preserve">. None of this work has specifically tested physiological and energetic constraints or the thermic and convective environment. But all of it points to the physiological and energetic constraint hypothesis proposed by Chaplin and Wells</w:t>
      </w:r>
      <w:r>
        <w:t xml:space="preserve"> </w:t>
      </w:r>
      <w:r>
        <w:t xml:space="preserve">[25]</w:t>
      </w:r>
      <w:r>
        <w:t xml:space="preserve"> </w:t>
      </w:r>
      <w:r>
        <w:t xml:space="preserve">and Masters et al. </w:t>
      </w:r>
      <w:r>
        <w:t xml:space="preserve">[28]</w:t>
      </w:r>
      <w:r>
        <w:t xml:space="preserve">. Here we briefly summarize salient features of the physiological and energetic constraint hypothesis, while acknowledging that we did not attempt to explore this parameter space either.</w:t>
      </w:r>
    </w:p>
    <w:p>
      <w:pPr>
        <w:pStyle w:val="BodyText"/>
      </w:pPr>
      <w:r>
        <w:t xml:space="preserve">Masters et al. </w:t>
      </w:r>
      <w:r>
        <w:t xml:space="preserve">[28]</w:t>
      </w:r>
      <w:r>
        <w:t xml:space="preserve"> </w:t>
      </w:r>
      <w:r>
        <w:t xml:space="preserve">demonstrated that cold monarchs actively seek sun. The seeking allows warming from below flight threshold (12.7</w:t>
      </w:r>
      <m:oMath>
        <m:sSup>
          <m:e>
            <m:r>
              <m:t>​</m:t>
            </m:r>
          </m:e>
          <m:sup>
            <m:r>
              <m:rPr>
                <m:sty m:val="p"/>
              </m:rPr>
              <m:t>∘</m:t>
            </m:r>
          </m:sup>
        </m:sSup>
      </m:oMath>
      <w:r>
        <w:t xml:space="preserve">C) to well above it within one minute. Solar basking is effective from ambient temperatures as low as 9</w:t>
      </w:r>
      <m:oMath>
        <m:sSup>
          <m:e>
            <m:r>
              <m:t>​</m:t>
            </m:r>
          </m:e>
          <m:sup>
            <m:r>
              <m:rPr>
                <m:sty m:val="p"/>
              </m:rPr>
              <m:t>∘</m:t>
            </m:r>
          </m:sup>
        </m:sSup>
      </m:oMath>
      <w:r>
        <w:t xml:space="preserve">C. This is inferred to provide an energetic advantage over the alternative warming mechanism, as Kammer</w:t>
      </w:r>
      <w:r>
        <w:t xml:space="preserve"> </w:t>
      </w:r>
      <w:r>
        <w:t xml:space="preserve">[29]</w:t>
      </w:r>
      <w:r>
        <w:t xml:space="preserve"> </w:t>
      </w:r>
      <w:r>
        <w:t xml:space="preserve">showed that shivering requires 25 to 31 times more energy than resting. However, Masters et al. </w:t>
      </w:r>
      <w:r>
        <w:t xml:space="preserve">[28]</w:t>
      </w:r>
      <w:r>
        <w:t xml:space="preserve"> </w:t>
      </w:r>
      <w:r>
        <w:t xml:space="preserve">also found that monarchs avoid sun when thoracic temperatures approach 30</w:t>
      </w:r>
      <m:oMath>
        <m:sSup>
          <m:e>
            <m:r>
              <m:t>​</m:t>
            </m:r>
          </m:e>
          <m:sup>
            <m:r>
              <m:rPr>
                <m:sty m:val="p"/>
              </m:rPr>
              <m:t>∘</m:t>
            </m:r>
          </m:sup>
        </m:sSup>
      </m:oMath>
      <w:r>
        <w:t xml:space="preserve">C. They conclude that monarchs depart sunny cluster sites to avoid overheating and excessive lipid depletion. These patterns, and the inferences that result from them, are what we refer to as the physiological and energetic constraint hypothesis. Here, we outline how the present work also points to the physiological and energetic constraint hypothesis, or possibly a physiological and energetic facilitation hypothesis.</w:t>
      </w:r>
    </w:p>
    <w:p>
      <w:pPr>
        <w:pStyle w:val="BodyText"/>
      </w:pPr>
      <w:r>
        <w:t xml:space="preserve">Through modeling we find that time since sunrise (</w:t>
      </w:r>
      <m:oMath>
        <m:r>
          <m:t>F</m:t>
        </m:r>
      </m:oMath>
      <w:r>
        <w:t xml:space="preserve"> </w:t>
      </w:r>
      <w:r>
        <w:t xml:space="preserve">= 9.85,</w:t>
      </w:r>
      <w:r>
        <w:t xml:space="preserve"> </w:t>
      </w:r>
      <m:oMath>
        <m:r>
          <m:t>p</m:t>
        </m:r>
        <m:r>
          <m:rPr>
            <m:sty m:val="p"/>
          </m:rPr>
          <m:t>&lt;</m:t>
        </m:r>
        <m:r>
          <m:t>0.001</m:t>
        </m:r>
      </m:oMath>
      <w:r>
        <w:t xml:space="preserve">) and a diurnal pattern with morning departures (reductions in BI) and afternoon returns (increases in BI) (Figure 4) are significant explanatory variables. This captures a diurnal pattern that has been consistently documented at California overwintering sites</w:t>
      </w:r>
      <w:r>
        <w:t xml:space="preserve"> </w:t>
      </w:r>
      <w:r>
        <w:t xml:space="preserve">[24, 25]</w:t>
      </w:r>
      <w:r>
        <w:t xml:space="preserve">. Temperature showed a marginally non-significant effect herein (</w:t>
      </w:r>
      <m:oMath>
        <m:r>
          <m:t>p</m:t>
        </m:r>
      </m:oMath>
      <w:r>
        <w:t xml:space="preserve"> </w:t>
      </w:r>
      <w:r>
        <w:t xml:space="preserve">= 0.057) (Figure 4), but a significant one in Saniee and Villablanca</w:t>
      </w:r>
      <w:r>
        <w:t xml:space="preserve"> </w:t>
      </w:r>
      <w:r>
        <w:t xml:space="preserve">[42]</w:t>
      </w:r>
      <w:r>
        <w:t xml:space="preserve">. So, if we allow ourselves to interpret the pattern between BI and temperature, we see departures (reductions in BI) are associated with a short time since sunrise and a rise from the lowest temperatures sampled (Figure 4).</w:t>
      </w:r>
    </w:p>
    <w:p>
      <w:pPr>
        <w:pStyle w:val="BodyText"/>
      </w:pPr>
      <w:r>
        <w:t xml:space="preserve">Physiologically, what would we predict from a combination of air temperature and sun exposure? We imagine an exclusive effect of heat transfer from air (that avoids shivering) when direct sun exposure is not an option (shade or cloudy). Conversely, we imagine that when clusters are exposed to the morning sun and a clear sky, for a sufficient duration (i.e., one minute), the effect of low air temperatures would be irrelevant. Potentially, the duration of sun exposure required to reach flight temperature could be a function of ambient air temperature. But, overall, we would predict direct sun exposure to be a more significant term than air temperature. Direct sunlight changes thermal status much faster</w:t>
      </w:r>
      <w:r>
        <w:t xml:space="preserve"> </w:t>
      </w:r>
      <w:r>
        <w:t xml:space="preserve">[28]</w:t>
      </w:r>
      <w:r>
        <w:t xml:space="preserve">, could cause a larger absolute change in thermal state</w:t>
      </w:r>
      <w:r>
        <w:t xml:space="preserve"> </w:t>
      </w:r>
      <w:r>
        <w:t xml:space="preserve">[22]</w:t>
      </w:r>
      <w:r>
        <w:t xml:space="preserve">, and could even cause thoracic temperature to exceed ambient temperature</w:t>
      </w:r>
      <w:r>
        <w:t xml:space="preserve"> </w:t>
      </w:r>
      <w:r>
        <w:t xml:space="preserve">[28]</w:t>
      </w:r>
      <w:r>
        <w:t xml:space="preserve">. In summary, air temperature alone could define thoracic temperature (under shady conditions), could be preempted by direct sun (especially under cold sunny conditions), or could interact with sun exposure to define behavioral responses under intermediate conditions.</w:t>
      </w:r>
    </w:p>
    <w:p>
      <w:pPr>
        <w:pStyle w:val="BodyText"/>
      </w:pPr>
      <w:r>
        <w:t xml:space="preserve">On the cooling side of the equation, there seems to be an obvious potential for a wind effect. The observed increase in cluster size at intermediate wind and sun levels (Figure 5) could reflect a thermoregulatory balance where wind moderates the heating effects of sun exposure. Masters et al. </w:t>
      </w:r>
      <w:r>
        <w:t xml:space="preserve">[28]</w:t>
      </w:r>
      <w:r>
        <w:t xml:space="preserve"> </w:t>
      </w:r>
      <w:r>
        <w:t xml:space="preserve">observed that monarchs dissipate heat while gliding via airflow across their bodies. Similarly, wind could provide passive convective cooling to stationary butterflies. Riddell and Porter</w:t>
      </w:r>
      <w:r>
        <w:t xml:space="preserve"> </w:t>
      </w:r>
      <w:r>
        <w:t xml:space="preserve">[15]</w:t>
      </w:r>
      <w:r>
        <w:t xml:space="preserve"> </w:t>
      </w:r>
      <w:r>
        <w:t xml:space="preserve">found that wind-driven convective cooling interacts strongly with solar radiation effects in terrestrial organisms. These hypothetical wind, sun, and temperature interactions are consistent with the literature</w:t>
      </w:r>
      <w:r>
        <w:t xml:space="preserve"> </w:t>
      </w:r>
      <w:r>
        <w:t xml:space="preserve">[16–18]</w:t>
      </w:r>
      <w:r>
        <w:t xml:space="preserve"> </w:t>
      </w:r>
      <w:r>
        <w:t xml:space="preserve">and with a physiological and energetic constraint hypothesis. This hypothesis then leads to a number of interesting predictions.</w:t>
      </w:r>
    </w:p>
    <w:p>
      <w:pPr>
        <w:pStyle w:val="BodyText"/>
      </w:pPr>
      <w:r>
        <w:t xml:space="preserve">This potential three-way interaction leads to one prediction that is counterintuitive under a Wind Disruption Hypothesis. Butterflies may seek windier roosts. By not avoiding wind but instead seeking it they would be able to dissipate heat. This cooling mechanism might allow butterflies to utilize warmer locations in a grove, or to persist at a cluster site longer than they otherwise could. Wind could effectively offset solar heat gain or ambient heat load, cancelling the need for departure. Interestingly, the absence of solar heat gain or ambient heat load would lead to another prediction that is counterintuitive under a Wind Disruption Hypothesis. Monarchs may not avoid winds. Shaded butterflies would experience no solar heat gain, making wind-driven cooling unnecessary and potentially explain the absence of wind effects in shade (Figure 5). Finally, if our interpretation is correct, then we predict that under the warmest ambient conditions overwintering butterflies should be observed occupying shadier and windier sites in order to dissipate heat and conserve lipids.</w:t>
      </w:r>
      <w:r>
        <w:t xml:space="preserve"> </w:t>
      </w:r>
      <w:r>
        <w:t xml:space="preserve">If we combine convective wind dynamics, air temperature, direct sun exposure, shading and cloudiness, to the determination of thoracic temperature and lipid thermodynamics, then we begin to consider the parameters of a physiological and energetic constraint model that should better explain cluster dynamics than a Wind Disruption model. We suggest this as a promising line of inquiry for understanding the dynamics of overwinter clustering relative to local environmental factors.</w:t>
      </w:r>
    </w:p>
    <w:bookmarkEnd w:id="120"/>
    <w:bookmarkStart w:id="121" w:name="limitations-and-context"/>
    <w:p>
      <w:pPr>
        <w:pStyle w:val="Heading2"/>
      </w:pPr>
      <w:r>
        <w:t xml:space="preserve">Limitations and Context</w:t>
      </w:r>
    </w:p>
    <w:p>
      <w:pPr>
        <w:pStyle w:val="FirstParagraph"/>
      </w:pPr>
      <w:r>
        <w:t xml:space="preserve">Several factors shape the interpretation of our findings. First, our data come from a single overwintering season (2023–2024) when the monarch population was low</w:t>
      </w:r>
      <w:r>
        <w:t xml:space="preserve"> </w:t>
      </w:r>
      <w:r>
        <w:t xml:space="preserve">[45, 51]</w:t>
      </w:r>
      <w:r>
        <w:t xml:space="preserve"> </w:t>
      </w:r>
      <w:r>
        <w:t xml:space="preserve">. The 2024–2025 season saw near-complete absence of monarchs at our study sites, coinciding with the second-lowest overwintering population on record</w:t>
      </w:r>
      <w:r>
        <w:t xml:space="preserve"> </w:t>
      </w:r>
      <w:r>
        <w:t xml:space="preserve">[57]</w:t>
      </w:r>
      <w:r>
        <w:t xml:space="preserve">. This absence prevented temporal replication but underscored the urgency of understanding overwintering ecology with the data we have.</w:t>
      </w:r>
    </w:p>
    <w:p>
      <w:pPr>
        <w:pStyle w:val="BodyText"/>
      </w:pPr>
      <w:r>
        <w:t xml:space="preserve">Second, though we did not observe it, we do not dispute that wind can dislodge butterflies from a cluster. We see at least two conditions under which disruption could be possible or even likely. The Wind Disruption Hypothesis was developed during an era of massive aggregations containing hundreds of thousands of individuals, where many butterflies attached only to other butterflies in multi-layered formations</w:t>
      </w:r>
      <w:r>
        <w:t xml:space="preserve"> </w:t>
      </w:r>
      <w:r>
        <w:t xml:space="preserve">[33, 61]</w:t>
      </w:r>
      <w:r>
        <w:t xml:space="preserve">. In contrast, our study observed relatively small clusters where a larger proportion of clustering butterflies could maintain direct contact with eucalyptus substrates. Thus, if substrate attachment provides greater wind resistance than butterfly-to-butterfly attachment, then wind might affect these different clustering configurations differently. It is thus possible that the Wind Disruption Hypothesis may be more accurate under extreme densities as reported by Alonso-Mejia et al. </w:t>
      </w:r>
      <w:r>
        <w:t xml:space="preserve">[30]</w:t>
      </w:r>
      <w:r>
        <w:t xml:space="preserve">. Those authors report that monarchs can be dislodged by the wind. They also report that monarchs can be dislodged by rain. Freezing conditions can be survived by monarch butterflies, to temperatures as low as</w:t>
      </w:r>
      <w:r>
        <w:t xml:space="preserve"> </w:t>
      </w:r>
      <m:oMath>
        <m:r>
          <m:rPr>
            <m:sty m:val="p"/>
          </m:rPr>
          <m:t>−</m:t>
        </m:r>
      </m:oMath>
      <w:r>
        <w:t xml:space="preserve">7 or</w:t>
      </w:r>
      <w:r>
        <w:t xml:space="preserve"> </w:t>
      </w:r>
      <m:oMath>
        <m:r>
          <m:rPr>
            <m:sty m:val="p"/>
          </m:rPr>
          <m:t>−</m:t>
        </m:r>
      </m:oMath>
      <w:r>
        <w:t xml:space="preserve">8</w:t>
      </w:r>
      <m:oMath>
        <m:sSup>
          <m:e>
            <m:r>
              <m:t>​</m:t>
            </m:r>
          </m:e>
          <m:sup>
            <m:r>
              <m:rPr>
                <m:sty m:val="p"/>
              </m:rPr>
              <m:t>∘</m:t>
            </m:r>
          </m:sup>
        </m:sSup>
      </m:oMath>
      <w:r>
        <w:t xml:space="preserve">C</w:t>
      </w:r>
      <w:r>
        <w:t xml:space="preserve"> </w:t>
      </w:r>
      <w:r>
        <w:t xml:space="preserve">[30, 32]</w:t>
      </w:r>
      <w:r>
        <w:t xml:space="preserve">, respectively. Though if conditions are wet instead of dry, survival at this temperature is reduced by 50 percent</w:t>
      </w:r>
      <w:r>
        <w:t xml:space="preserve"> </w:t>
      </w:r>
      <w:r>
        <w:t xml:space="preserve">[30]</w:t>
      </w:r>
      <w:r>
        <w:t xml:space="preserve">. Also at these temperatures, shivering and then crawling up vegetation will significantly increase survival</w:t>
      </w:r>
      <w:r>
        <w:t xml:space="preserve"> </w:t>
      </w:r>
      <w:r>
        <w:t xml:space="preserve">[28, 32]</w:t>
      </w:r>
      <w:r>
        <w:t xml:space="preserve"> </w:t>
      </w:r>
      <w:r>
        <w:t xml:space="preserve">as monarchs avoid the lowest temperatures (at substrate level). Like crawling, if monarchs are under dense foliage their body temperature approximates ambient, but with exposure to the night sky body temperature falls in proportion to exposure</w:t>
      </w:r>
      <w:r>
        <w:t xml:space="preserve"> </w:t>
      </w:r>
      <w:r>
        <w:t xml:space="preserve">[32]</w:t>
      </w:r>
      <w:r>
        <w:t xml:space="preserve">. This exposure reduces survival and even more so if wet instead of dry</w:t>
      </w:r>
      <w:r>
        <w:t xml:space="preserve"> </w:t>
      </w:r>
      <w:r>
        <w:t xml:space="preserve">[32]</w:t>
      </w:r>
      <w:r>
        <w:t xml:space="preserve">. Similarly, wind driven convective cooling can reduce survival and even at slow wind speeds</w:t>
      </w:r>
      <w:r>
        <w:t xml:space="preserve"> </w:t>
      </w:r>
      <w:r>
        <w:t xml:space="preserve">[62]</w:t>
      </w:r>
      <w:r>
        <w:t xml:space="preserve">.</w:t>
      </w:r>
      <w:r>
        <w:t xml:space="preserve"> </w:t>
      </w:r>
      <w:r>
        <w:t xml:space="preserve">Finally, our models explained relatively little variance overall (30-minute 6.4%; Next Day Window 39.7%), reflecting both the complexity of butterfly behavior and our focus on testing specific hypotheses rather than comprehensively explaining movement patterns. Regardless, the Wind Disruption Hypothesis predicts substantial observable impacts, not subtle ones. Our analyses achieved 87.5% power to detect moderate effects and 98.5% power for large effects. Our failure to detect effects, despite adequate power, validated methodology, and successful identification of other environmental predictors and interaction terms, provides strong evidence against the hypothesis rather than merely absence of evidence.</w:t>
      </w:r>
    </w:p>
    <w:bookmarkEnd w:id="121"/>
    <w:bookmarkStart w:id="122" w:name="Xf47be904ec4c950f2ae86d5c89b689be1b50c08"/>
    <w:p>
      <w:pPr>
        <w:pStyle w:val="Heading2"/>
      </w:pPr>
      <w:r>
        <w:t xml:space="preserve">Unexplained Factors of Variation, Resolution and Replication</w:t>
      </w:r>
    </w:p>
    <w:p>
      <w:pPr>
        <w:pStyle w:val="FirstParagraph"/>
      </w:pPr>
      <w:r>
        <w:t xml:space="preserve">Our best models explained 39.7% of variance and suggested the existence of unaccounted sources of variance. Here we identify possible sources of variation that we did not address. One is additional time intervals for predicting changes in the response variable (</w:t>
      </w:r>
      <m:oMath>
        <m:r>
          <m:rPr>
            <m:sty m:val="p"/>
          </m:rPr>
          <m:t>Δ</m:t>
        </m:r>
      </m:oMath>
      <w:r>
        <w:t xml:space="preserve">BI). Given a sixfold increase in variance explained between the shorter and longer time frames, we suspect that further increases in time frame would allow for an explanation of more variance. Environmental factors that did explain variance were predominantly thermal in nature. Thermal factors seem to clearly play an important role in organizing clustering behavior. This, and the marginal lack of significance for temperature attributes, suggests that sampling over a greater range of temperatures would provide more information.</w:t>
      </w:r>
    </w:p>
    <w:p>
      <w:pPr>
        <w:pStyle w:val="BodyText"/>
      </w:pPr>
      <w:r>
        <w:t xml:space="preserve">Beyond environmental factors, social dynamics may explain additional variance. The strong effect of previous butterfly index on</w:t>
      </w:r>
      <w:r>
        <w:t xml:space="preserve"> </w:t>
      </w:r>
      <m:oMath>
        <m:r>
          <m:rPr>
            <m:sty m:val="p"/>
          </m:rPr>
          <m:t>Δ</m:t>
        </m:r>
      </m:oMath>
      <w:r>
        <w:t xml:space="preserve">BI (Figure 4) suggests that monarchs exhibit statistically clumped spatial distributions. In spatial statistics, clumped or aggregated distributions are characterized by a higher variance relative to the mean. This pattern is overdispersion, or a contagious distribution, and is common in aposematic overwintering species including monarch butterflies</w:t>
      </w:r>
      <w:r>
        <w:t xml:space="preserve"> </w:t>
      </w:r>
      <w:r>
        <w:t xml:space="preserve">[63, 64]</w:t>
      </w:r>
      <w:r>
        <w:t xml:space="preserve">. A positive feedback mechanism, where initial settlement increases the probability of others joining, creates self-reinforcing (contagious) aggregation patterns independent of immediate environmental conditions</w:t>
      </w:r>
      <w:r>
        <w:t xml:space="preserve"> </w:t>
      </w:r>
      <w:r>
        <w:t xml:space="preserve">[64, 65]</w:t>
      </w:r>
      <w:r>
        <w:t xml:space="preserve">. That monarchs form clusters thus suggests that modeling could incorporate clustering itself to help explain variance.</w:t>
      </w:r>
    </w:p>
    <w:p>
      <w:pPr>
        <w:pStyle w:val="BodyText"/>
      </w:pPr>
      <w:r>
        <w:t xml:space="preserve">Finally, testing these patterns across the broader overwintering range would establish their generality while allowing the capture of both temporal and spatial variance. Sites with different tree species, latitudes, and especially population densities could reveal whether wind responses vary with clustering configuration or if our findings represent fundamental aspects of western monarch overwintering behavior.</w:t>
      </w:r>
    </w:p>
    <w:bookmarkEnd w:id="122"/>
    <w:bookmarkStart w:id="127" w:name="implications-for-conservation"/>
    <w:p>
      <w:pPr>
        <w:pStyle w:val="Heading2"/>
      </w:pPr>
      <w:r>
        <w:t xml:space="preserve">Implications for Conservation</w:t>
      </w:r>
    </w:p>
    <w:p>
      <w:pPr>
        <w:pStyle w:val="FirstParagraph"/>
      </w:pPr>
      <w:r>
        <w:t xml:space="preserve">Our findings suggest that wind protection, long considered an essential environmental factor in overwintering monarch conservation, may constrain habitat suitability far less than previously believed. This realization carries important implications for how we understand, manage, and restore overwintering sites. Specifically, we contend that light and wind cannot interact in a positive manner if butterflies are not exposed to both. While butterflies exposed to negative interactions of light and wind would be expected to respond with compensatory avoidance reducing cluster size or cluster site fidelity.</w:t>
      </w:r>
    </w:p>
    <w:bookmarkStart w:id="123" w:name="X779991813e6d29fd4b23ab6962c819f64e77611"/>
    <w:p>
      <w:pPr>
        <w:pStyle w:val="Heading3"/>
      </w:pPr>
      <w:r>
        <w:t xml:space="preserve">Expanded Habitat Availability and Population Limitations</w:t>
      </w:r>
    </w:p>
    <w:p>
      <w:pPr>
        <w:pStyle w:val="FirstParagraph"/>
      </w:pPr>
      <w:r>
        <w:t xml:space="preserve">Are we observing limited suitable habitat for overwintering western monarchs? Or, with western monarch populations at historically low levels, are there too few butterflies to occupy all suitable spaces? The absence of wind disruption despite frequent threshold exceedances indicates that suitable habitat within existing groves may be more extensive, and less wind limited, than currently recognized, at least at the modern temperatures and population sizes experienced by Western monarchs. Therefore, groves previously dismissed due to wind exposure might support clusters under larger population conditions, simply because there would be butterflies to occupy them.</w:t>
      </w:r>
    </w:p>
    <w:bookmarkEnd w:id="123"/>
    <w:bookmarkStart w:id="124" w:name="simplified-management-requirements"/>
    <w:p>
      <w:pPr>
        <w:pStyle w:val="Heading3"/>
      </w:pPr>
      <w:r>
        <w:t xml:space="preserve">Simplified Management Requirements</w:t>
      </w:r>
    </w:p>
    <w:p>
      <w:pPr>
        <w:pStyle w:val="FirstParagraph"/>
      </w:pPr>
      <w:r>
        <w:t xml:space="preserve">Current management frameworks recommend protecting buffer zones around clustering sites (e.g.: up to six tree-heights away from cluster trees, Althouse &amp; Meade, Inc. and Creekside Science</w:t>
      </w:r>
      <w:r>
        <w:t xml:space="preserve"> </w:t>
      </w:r>
      <w:r>
        <w:t xml:space="preserve">[41]</w:t>
      </w:r>
      <w:r>
        <w:t xml:space="preserve">) to ensure adequate wind protection. This would equal 240-meter buffers for 40 meter tall cluster trees. Such buffers would derive substantial complexity, and potential management hurdles, in coastal California where overwintering sites often involve diverse stakeholders. For example, in Pacific Grove, California, cluster trees are within meters of a neighborhood fenceline, and a cluster tree extends over a hotel parking lot (F.X.V. pers. obs.), such that more than half of the buffer zone would be on residential and commercial property. Yet, trees adjacent to groves, now considered essential for wind breaks, may contribute far less than currently thought. Thus, simplifying buffers would allow focusing conservation efforts on grove structure rather than on controlling wind in surrounding areas. More importantly, if light and wind (and maybe temperature) are all inter-related through butterfly thermal physiology, then a focus just on wind would be myopic.</w:t>
      </w:r>
      <w:r>
        <w:t xml:space="preserve"> </w:t>
      </w:r>
      <w:r>
        <w:t xml:space="preserve">Just as we suggest that researchers view overwintering monarch butterfly biology through the Physiological and Energetic Constraint Hypothesis, we suggest that land managers view overwintering habitat through the Physiological and Energetic Facilitation Hypothesis. This later hypothesis encourages viewing the overwintering grove as providing thermal resources. These resources would be locations within the overwintering grove where heating and cooling mechanics can interact. These locations would be where monarchs could find: shelter from rain and dew, deep shade, convective cooling, wind assisted cooling, patchy solar exposure, solar basking, and combinations thereof. The configuration of these resources is known to be important, as Sears et al. </w:t>
      </w:r>
      <w:r>
        <w:t xml:space="preserve">[66]</w:t>
      </w:r>
      <w:r>
        <w:t xml:space="preserve"> </w:t>
      </w:r>
      <w:r>
        <w:t xml:space="preserve">find that ectotherms can regulate more accurately, and at a lower energetic cost, when thermal resources are dispersed in the habitat rather than when they are clumped. Meaning that spatial heterogeneity of shade, wind and sun would be the management target and not wind abatement.</w:t>
      </w:r>
    </w:p>
    <w:p>
      <w:pPr>
        <w:pStyle w:val="BodyText"/>
      </w:pPr>
      <w:r>
        <w:t xml:space="preserve">Nonetheless, buffer trees and surrounding forested areas should be preserved, not because of their wind abatement capacity, but because buffer areas represent potential raw material for future habitat creation. There is a fundamental asymmetry because large mature trees can be readily removed, but they cannot simply be replaced as such. They require many decades of growth to reach the heights and canopy structure that characterize successful overwintering groves. Losing or prematurely removing these trees is especially consequential because no amount of funding can accelerate growth’s timeline. Prudent conservation therefore favors preserving existing large trees, which can potentially be converted to functional overwintering habitat in the future through informed canopy management.</w:t>
      </w:r>
    </w:p>
    <w:bookmarkEnd w:id="124"/>
    <w:bookmarkStart w:id="125" w:name="X01928d3ee782e4efd9074380e21e7e191f9fcdf"/>
    <w:p>
      <w:pPr>
        <w:pStyle w:val="Heading3"/>
      </w:pPr>
      <w:r>
        <w:t xml:space="preserve">Proactive Habitat Creation Through Canopy Management</w:t>
      </w:r>
    </w:p>
    <w:p>
      <w:pPr>
        <w:pStyle w:val="FirstParagraph"/>
      </w:pPr>
      <w:r>
        <w:t xml:space="preserve">The current practice of wind protection employs planting trees and waiting decades for maturation, as well as the maintenance of healthy, mature specimens. If monarchs respond primarily to temperature, light and wind, and thermal patterns rather than strict wind thresholds, strategic canopy modification for light-based management might enable shorter-timeframe interventions.</w:t>
      </w:r>
    </w:p>
    <w:p>
      <w:pPr>
        <w:pStyle w:val="BodyText"/>
      </w:pPr>
      <w:r>
        <w:t xml:space="preserve">Real-world examples support this possibility and suggest that we return to some of the early light-based work of Weiss and Leong, which has somehow been disregarded for wind-based inferences of the same work. For example, Weiss et al. </w:t>
      </w:r>
      <w:r>
        <w:t xml:space="preserve">[44]</w:t>
      </w:r>
      <w:r>
        <w:t xml:space="preserve"> </w:t>
      </w:r>
      <w:r>
        <w:t xml:space="preserve">found that successful overwintering sites maintain consistent canopy openness around 20%, while unsuccessful sites show greater variability. At Monarch Lane in Los Osos, California, strategic canopy opening resulted in monarchs reoccupying an overwintering site</w:t>
      </w:r>
      <w:r>
        <w:t xml:space="preserve"> </w:t>
      </w:r>
      <w:r>
        <w:t xml:space="preserve">[35, 51]</w:t>
      </w:r>
      <w:r>
        <w:t xml:space="preserve">. At Andrew Molera State Park in Big Sur, California, clearing an overgrown grove increased butterfly counts from zero to over one thousand (E. Pelton, pers. comm.). Conversely, tree planting at Pacific Grove required approximately 15 years of canopy maturation before monarchs returned (S. Weiss, pers. comm.). These patterns suggest that appropriate canopy structure, including carefully designed openings creating dappled light, is known to be successful, and can attract butterflies far more quickly than waiting for tree growth alone.</w:t>
      </w:r>
    </w:p>
    <w:p>
      <w:pPr>
        <w:pStyle w:val="BodyText"/>
      </w:pPr>
      <w:r>
        <w:t xml:space="preserve">Unoccupied eucalyptus stands or overly dense groves might thus be converted to functional habitat through selective thinning. However, additional research is needed before implementing large-scale canopy modifications, particularly at established overwintering sites. But in the end, managers might proactively create suitable conditions by strategically opening existing canopies at appropriate locations (for example previously occupied but currently unused sites), representing a significant departure from previous approaches that focused almost entirely on wind protection and tree growth. This proactive and strategic approach is one of site restoration and could increase resilience for overwintering monarch butterflies.</w:t>
      </w:r>
    </w:p>
    <w:bookmarkEnd w:id="125"/>
    <w:bookmarkStart w:id="126" w:name="X6f5880cae6620efb75cfe0ff90375409810e607"/>
    <w:p>
      <w:pPr>
        <w:pStyle w:val="Heading3"/>
      </w:pPr>
      <w:r>
        <w:t xml:space="preserve">Long-term Optimism Despite Current Uncertainty</w:t>
      </w:r>
    </w:p>
    <w:p>
      <w:pPr>
        <w:pStyle w:val="FirstParagraph"/>
      </w:pPr>
      <w:r>
        <w:t xml:space="preserve">While this study reduces certainty regarding some aspects of overwintering ecology, the long-term trajectory points toward management practices that may be simpler to implement, are grounded in empirical evidence, and potentially are outright effective instead of simply somewhat effective. The long-term trajectory suggests managers could be offering more to overwintering monarchs than just wind abatement. Our suggestion, like those of others, is that adding access to light and wind should provide significant thermoregulatory and energetic benefits. But if we can use the Wind Disruption Hypothesis and the last 30 years as a cautionary tale, then clearly predictions from the physiological and energetic constraint hypothesis (</w:t>
      </w:r>
      <w:r>
        <w:rPr>
          <w:i/>
          <w:iCs/>
        </w:rPr>
        <w:t xml:space="preserve">sensu</w:t>
      </w:r>
      <w:r>
        <w:t xml:space="preserve"> </w:t>
      </w:r>
      <w:r>
        <w:t xml:space="preserve">Chaplin and Wells</w:t>
      </w:r>
      <w:r>
        <w:t xml:space="preserve"> </w:t>
      </w:r>
      <w:r>
        <w:t xml:space="preserve">[25]</w:t>
      </w:r>
      <w:r>
        <w:t xml:space="preserve"> </w:t>
      </w:r>
      <w:r>
        <w:t xml:space="preserve">and Masters et al. </w:t>
      </w:r>
      <w:r>
        <w:t xml:space="preserve">[28]</w:t>
      </w:r>
      <w:r>
        <w:t xml:space="preserve">) should be rigorously tested.</w:t>
      </w:r>
    </w:p>
    <w:bookmarkEnd w:id="126"/>
    <w:bookmarkEnd w:id="127"/>
    <w:bookmarkEnd w:id="128"/>
    <w:bookmarkStart w:id="129" w:name="conclusions"/>
    <w:p>
      <w:pPr>
        <w:pStyle w:val="Heading1"/>
      </w:pPr>
      <w:r>
        <w:t xml:space="preserve">Conclusions</w:t>
      </w:r>
    </w:p>
    <w:p>
      <w:pPr>
        <w:pStyle w:val="FirstParagraph"/>
      </w:pPr>
      <w:r>
        <w:t xml:space="preserve">Our direct test of the wind disruption hypothesis found no evidence that wind speeds above 2 m/s force overwintering monarchs to abandon their clusters. Every observation in our two sunset cycle analysis exceeded this threshold, yet clusters persisted. Linear regression analyses showed no relationship between wind and cluster changes. Model selection consistently identified other factors as more important. These multiple lines of evidence converge on a clear conclusion. Wind alone, at the speeds we measured, did not disrupt overwintering monarch butterfly clusters as has been assumed for over three decades.</w:t>
      </w:r>
    </w:p>
    <w:p>
      <w:pPr>
        <w:pStyle w:val="BodyText"/>
      </w:pPr>
      <w:r>
        <w:t xml:space="preserve">Instead, our results suggest that thermal factors may play a more important role in clustering dynamics than currently recognized. Monarchs responded strongly to direct sunlight, which is known to directly influence thoracic, wing, and flight muscle temperature. The wind-light interaction, where moderate wind combined with sun exposure sometimes increased cluster sizes, suggests that environmental conditions interact in complex ways that simple threshold-based management metrics cannot capture.</w:t>
      </w:r>
    </w:p>
    <w:p>
      <w:pPr>
        <w:pStyle w:val="BodyText"/>
      </w:pPr>
      <w:r>
        <w:t xml:space="preserve">These findings arrive at a critical moment for monarch conservation. With western populations at historic lows, every assumption about habitat requirements deserves scrutiny. While questions remain about the precise mechanisms, our findings suggest that exploring a physiological and energetic constraint or facilitation model will be useful and demonstrate that current management guidelines based on wind speed thresholds are not supported by empirical evidence. Moving forward, conservation efforts may benefit from maintaining existing overwintering groves and restoring unoccupied sites or creating new sites. As we face the challenge of preserving overwintering habitat for a declining population, evidence-based understanding of monarch ecology becomes not just scientifically important, but essential for preserving the remarkable phenomenon of monarch migration in western North America.</w:t>
      </w:r>
    </w:p>
    <w:bookmarkEnd w:id="129"/>
    <w:bookmarkStart w:id="130" w:name="author-contributions"/>
    <w:p>
      <w:pPr>
        <w:pStyle w:val="Heading1"/>
      </w:pPr>
      <w:r>
        <w:t xml:space="preserve">Author Contributions</w:t>
      </w:r>
    </w:p>
    <w:p>
      <w:pPr>
        <w:pStyle w:val="FirstParagraph"/>
      </w:pPr>
      <w:r>
        <w:t xml:space="preserve">Conceptualization, K.N., P.C.I., J.D. and F.X.V.; methodology, K.N., P.C.I., J.D. and F.X.V.; software, K.N.; validation, K.N.; formal analysis, K.N.; investigation, K.N.; resources, P.C.I. and F.X.V.; data curation, K.N.; writing—original draft preparation, K.N. and F.X.V.; writing—review and editing, K.N., P.C.I., J.D. and F.X.V.; visualization, K.N.; supervision, F.X.V.; project administration, K.N. and F.X.V.; funding acquisition, P.C.I., J.D. and F.X.V. All authors have read and agreed to the published version of the manuscript.</w:t>
      </w:r>
    </w:p>
    <w:bookmarkEnd w:id="130"/>
    <w:bookmarkStart w:id="131" w:name="funding"/>
    <w:p>
      <w:pPr>
        <w:pStyle w:val="Heading1"/>
      </w:pPr>
      <w:r>
        <w:t xml:space="preserve">Funding</w:t>
      </w:r>
    </w:p>
    <w:p>
      <w:pPr>
        <w:pStyle w:val="FirstParagraph"/>
      </w:pPr>
      <w:r>
        <w:t xml:space="preserve">This research was primarily funded by the U.S. Geological Survey (USGS) Geosciences and Environmental Change Science Center (Contract No. 140G0224P0194). Additional funding support was provided by The Xerces Society for Invertebrate Conservation, US Forest Service International Programs, Department of Defense Legacy Resource Management Program, and the College of Science and Mathematics at California State University, San Luis Obispo.</w:t>
      </w:r>
    </w:p>
    <w:bookmarkEnd w:id="131"/>
    <w:bookmarkStart w:id="132" w:name="data-availability"/>
    <w:p>
      <w:pPr>
        <w:pStyle w:val="Heading1"/>
      </w:pPr>
      <w:r>
        <w:t xml:space="preserve">Data Availability</w:t>
      </w:r>
    </w:p>
    <w:p>
      <w:pPr>
        <w:pStyle w:val="FirstParagraph"/>
      </w:pPr>
      <w:r>
        <w:t xml:space="preserve">The data presented in this study are available on request from the corresponding author.</w:t>
      </w:r>
    </w:p>
    <w:bookmarkEnd w:id="132"/>
    <w:bookmarkStart w:id="133" w:name="conflicts-of-interest"/>
    <w:p>
      <w:pPr>
        <w:pStyle w:val="Heading1"/>
      </w:pPr>
      <w:r>
        <w:t xml:space="preserve">Conflicts of Interest</w:t>
      </w:r>
    </w:p>
    <w:p>
      <w:pPr>
        <w:pStyle w:val="FirstParagraph"/>
      </w:pPr>
      <w:r>
        <w:t xml:space="preserve">The authors declare no conflict of interest. The funders had no role in the design of the study; in the collection, analyses, or interpretation of data; in the writing of the manuscript; or in the decision to publish the results.</w:t>
      </w:r>
    </w:p>
    <w:bookmarkEnd w:id="133"/>
    <w:bookmarkStart w:id="134" w:name="acknowledgments"/>
    <w:p>
      <w:pPr>
        <w:pStyle w:val="Heading1"/>
      </w:pPr>
      <w:r>
        <w:t xml:space="preserve">Acknowledgments</w:t>
      </w:r>
    </w:p>
    <w:p>
      <w:pPr>
        <w:pStyle w:val="FirstParagraph"/>
      </w:pPr>
      <w:r>
        <w:t xml:space="preserve">The authors wish to thank Emma Pelton of The Xerces Society for her role in organizing collaborative efforts and advancing study ideas. We also thank Jessica Griffiths of Vandenberg Space Force Base for facilitating site access and selection, Ashley Fisher of The Xerces Society for insights into monarch ecology, and Jenn Yost of California Polytechnic State University for her help with the review process. We thank undergraduate research assistants Skyler Meinholz, Vincent Rios, Emery Doornbos, and Kevin Untalan for photo labeling and field assistance. Finally, we thank Charis van der Heide of Althouse and Meade, Inc., Sara Cuadra-Vargas of The Xerces Society, and Stephanie Little of California State Parks for their contributions to the monthly collaborative working group on western monarch overwintering dynamics.</w:t>
      </w:r>
    </w:p>
    <w:bookmarkEnd w:id="134"/>
    <w:bookmarkStart w:id="135" w:name="X183c5329ea427b31ddb8fec8266dcb7781d9f88"/>
    <w:p>
      <w:pPr>
        <w:pStyle w:val="Heading1"/>
      </w:pPr>
      <w:r>
        <w:t xml:space="preserve">30-Minute Wind Disruption Analysis: Candidate Models</w:t>
      </w:r>
    </w:p>
    <w:p>
      <w:pPr>
        <w:pStyle w:val="FirstParagraph"/>
      </w:pPr>
      <w:r>
        <w:t xml:space="preserve">This appendix documents all candidate models tested in the 30-minute wind disruption analysis. A total of 52 named models were evaluated to identify the best-fitting model for predicting short-term changes in butterfly cluster presence based on weather conditions and direct sun exposure.</w:t>
      </w:r>
    </w:p>
    <w:p>
      <w:pPr>
        <w:pStyle w:val="BodyText"/>
      </w:pPr>
      <w:r>
        <w:rPr>
          <w:b/>
          <w:bCs/>
        </w:rPr>
        <w:t xml:space="preserve">Model Structure.</w:t>
      </w:r>
      <w:r>
        <w:t xml:space="preserve"> </w:t>
      </w:r>
      <w:r>
        <w:t xml:space="preserve">All models used Generalized Additive Mixed Models (GAMM) with the following structure:</w:t>
      </w:r>
    </w:p>
    <w:p>
      <w:pPr>
        <w:numPr>
          <w:ilvl w:val="0"/>
          <w:numId w:val="1001"/>
        </w:numPr>
      </w:pPr>
      <w:r>
        <w:rPr>
          <w:b/>
          <w:bCs/>
        </w:rPr>
        <w:t xml:space="preserve">Response variable</w:t>
      </w:r>
      <w:r>
        <w:t xml:space="preserve">:</w:t>
      </w:r>
      <w:r>
        <w:t xml:space="preserve"> </w:t>
      </w:r>
      <m:oMath>
        <m:r>
          <m:rPr>
            <m:sty m:val="p"/>
          </m:rPr>
          <m:t>∛</m:t>
        </m:r>
        <m:r>
          <m:rPr>
            <m:sty m:val="p"/>
          </m:rPr>
          <m:t>Δ</m:t>
        </m:r>
        <m:r>
          <m:t>B</m:t>
        </m:r>
        <m:r>
          <m:t>I</m:t>
        </m:r>
      </m:oMath>
      <w:r>
        <w:t xml:space="preserve"> </w:t>
      </w:r>
      <w:r>
        <w:t xml:space="preserve">(cube root of BI change between consecutive 30-minute intervals)</w:t>
      </w:r>
    </w:p>
    <w:p>
      <w:pPr>
        <w:numPr>
          <w:ilvl w:val="0"/>
          <w:numId w:val="1001"/>
        </w:numPr>
      </w:pPr>
      <w:r>
        <w:rPr>
          <w:b/>
          <w:bCs/>
        </w:rPr>
        <w:t xml:space="preserve">Random effects</w:t>
      </w:r>
      <w:r>
        <w:t xml:space="preserve">: Random intercepts for deployment site, observer, and deployment-day</w:t>
      </w:r>
    </w:p>
    <w:p>
      <w:pPr>
        <w:numPr>
          <w:ilvl w:val="0"/>
          <w:numId w:val="1001"/>
        </w:numPr>
      </w:pPr>
      <w:r>
        <w:rPr>
          <w:b/>
          <w:bCs/>
        </w:rPr>
        <w:t xml:space="preserve">Correlation structure</w:t>
      </w:r>
      <w:r>
        <w:t xml:space="preserve">: AR(1) autocorrelation within observation days</w:t>
      </w:r>
    </w:p>
    <w:p>
      <w:pPr>
        <w:numPr>
          <w:ilvl w:val="0"/>
          <w:numId w:val="1001"/>
        </w:numPr>
      </w:pPr>
      <w:r>
        <w:rPr>
          <w:b/>
          <w:bCs/>
        </w:rPr>
        <w:t xml:space="preserve">Estimation method</w:t>
      </w:r>
      <w:r>
        <w:t xml:space="preserve">: Restricted Maximum Likelihood (REML)</w:t>
      </w:r>
    </w:p>
    <w:p>
      <w:pPr>
        <w:pStyle w:val="FirstParagraph"/>
      </w:pPr>
      <w:r>
        <w:rPr>
          <w:b/>
          <w:bCs/>
        </w:rPr>
        <w:t xml:space="preserve">Variable Definitions.</w:t>
      </w:r>
      <w:r>
        <w:t xml:space="preserve"> </w:t>
      </w:r>
      <w:r>
        <w:rPr>
          <w:rStyle w:val="VerbatimChar"/>
        </w:rPr>
        <w:t xml:space="preserve">total_butterflies_t_lag</w:t>
      </w:r>
      <w:r>
        <w:t xml:space="preserve">: Previous butterfly index (lagged);</w:t>
      </w:r>
      <w:r>
        <w:t xml:space="preserve"> </w:t>
      </w:r>
      <w:r>
        <w:rPr>
          <w:rStyle w:val="VerbatimChar"/>
        </w:rPr>
        <w:t xml:space="preserve">max_gust</w:t>
      </w:r>
      <w:r>
        <w:t xml:space="preserve">: Maximum wind gust speed (m/s);</w:t>
      </w:r>
      <w:r>
        <w:t xml:space="preserve"> </w:t>
      </w:r>
      <w:r>
        <w:rPr>
          <w:rStyle w:val="VerbatimChar"/>
        </w:rPr>
        <w:t xml:space="preserve">temperature_avg</w:t>
      </w:r>
      <w:r>
        <w:t xml:space="preserve">: Average temperature (</w:t>
      </w:r>
      <m:oMath>
        <m:sSup>
          <m:e>
            <m:r>
              <m:t>​</m:t>
            </m:r>
          </m:e>
          <m:sup>
            <m:r>
              <m:rPr>
                <m:sty m:val="p"/>
              </m:rPr>
              <m:t>∘</m:t>
            </m:r>
          </m:sup>
        </m:sSup>
      </m:oMath>
      <w:r>
        <w:t xml:space="preserve">C);</w:t>
      </w:r>
      <w:r>
        <w:t xml:space="preserve"> </w:t>
      </w:r>
      <w:r>
        <w:rPr>
          <w:rStyle w:val="VerbatimChar"/>
        </w:rPr>
        <w:t xml:space="preserve">butterflies_direct_sun_t_lag</w:t>
      </w:r>
      <w:r>
        <w:t xml:space="preserve">: Butterflies in direct sun (lagged);</w:t>
      </w:r>
      <w:r>
        <w:t xml:space="preserve"> </w:t>
      </w:r>
      <w:r>
        <w:rPr>
          <w:rStyle w:val="VerbatimChar"/>
        </w:rPr>
        <w:t xml:space="preserve">time_within_day_t</w:t>
      </w:r>
      <w:r>
        <w:t xml:space="preserve">: Time since sunrise (hours);</w:t>
      </w:r>
      <w:r>
        <w:t xml:space="preserve"> </w:t>
      </w:r>
      <m:oMath>
        <m:r>
          <m:t>s</m:t>
        </m:r>
        <m:r>
          <m:rPr>
            <m:sty m:val="p"/>
          </m:rPr>
          <m:t>(</m:t>
        </m:r>
        <m:r>
          <m:rPr>
            <m:sty m:val="p"/>
          </m:rPr>
          <m:t>)</m:t>
        </m:r>
      </m:oMath>
      <w:r>
        <w:t xml:space="preserve">: Thin-plate regression spline smooth term;</w:t>
      </w:r>
      <w:r>
        <w:t xml:space="preserve"> </w:t>
      </w:r>
      <m:oMath>
        <m:r>
          <m:t>t</m:t>
        </m:r>
        <m:r>
          <m:t>i</m:t>
        </m:r>
        <m:r>
          <m:rPr>
            <m:sty m:val="p"/>
          </m:rPr>
          <m:t>(</m:t>
        </m:r>
        <m:r>
          <m:rPr>
            <m:sty m:val="p"/>
          </m:rPr>
          <m:t>)</m:t>
        </m:r>
      </m:oMath>
      <w:r>
        <w:t xml:space="preserve">: Tensor product interaction smooth;</w:t>
      </w:r>
      <w:r>
        <w:t xml:space="preserve"> </w:t>
      </w:r>
      <m:oMath>
        <m:r>
          <m:rPr>
            <m:sty m:val="p"/>
          </m:rPr>
          <m:t>*</m:t>
        </m:r>
      </m:oMath>
      <w:r>
        <w:t xml:space="preserve">: Linear interaction term.</w:t>
      </w:r>
    </w:p>
    <w:p>
      <w:pPr>
        <w:pStyle w:val="TableCaption"/>
        <w:keepNext/>
        <w:spacing w:after="80"/>
      </w:pPr>
      <w:r>
        <w:t>Table 8. Complete list of 52 named candidate models tested in 30-minute wind disruption analysis.</w:t>
      </w:r>
    </w:p>
    <w:tbl>
      <w:tblPr>
        <w:tblStyle w:val="Table"/>
        <w:tblW w:type="dxa" w:w="9270"/>
        <w:jc w:val="left"/>
        <w:tblLayout w:type="fixed"/>
        <w:tblLook w:firstColumn="1" w:firstRow="1" w:lastColumn="0" w:lastRow="0" w:noHBand="0" w:noVBand="1" w:val="04A0"/>
        <w:tblInd w:w="90" w:type="dxa"/>
      </w:tblPr>
      <w:tblGrid>
        <w:gridCol w:w="1150"/>
        <w:gridCol w:w="8120"/>
      </w:tblGrid>
      <w:tr>
        <w:trPr>
          <w:tblHeader w:val="true"/>
        </w:trPr>
        <w:tc>
          <w:tcPr>
            <w:tcW w:type="dxa" w:w="1150"/>
            <w:vAlign w:val="center"/>
            <w:tcMar>
              <w:top w:w="70" w:type="dxa"/>
              <w:start w:w="90" w:type="dxa"/>
              <w:bottom w:w="70" w:type="dxa"/>
              <w:end w:w="90" w:type="dxa"/>
            </w:tcMar>
          </w:tcPr>
          <w:p>
            <w:pPr>
              <w:pStyle w:val="Compact"/>
              <w:spacing w:before="0" w:after="0" w:line="240" w:lineRule="auto"/>
            </w:pPr>
            <w:r>
              <w:rPr>
                <w:b/>
              </w:rPr>
              <w:t>Model</w:t>
            </w:r>
          </w:p>
        </w:tc>
        <w:tc>
          <w:tcPr>
            <w:tcW w:type="dxa" w:w="8120"/>
            <w:vAlign w:val="center"/>
            <w:tcMar>
              <w:top w:w="70" w:type="dxa"/>
              <w:start w:w="90" w:type="dxa"/>
              <w:bottom w:w="70" w:type="dxa"/>
              <w:end w:w="90" w:type="dxa"/>
            </w:tcMar>
          </w:tcPr>
          <w:p>
            <w:pPr>
              <w:pStyle w:val="Compact"/>
              <w:spacing w:before="0" w:after="0" w:line="240" w:lineRule="auto"/>
            </w:pPr>
            <w:r>
              <w:rPr>
                <w:b/>
              </w:rPr>
              <w:t>Formula</w:t>
            </w:r>
          </w:p>
        </w:tc>
      </w:tr>
      <w:tr>
        <w:tc>
          <w:tcPr>
            <w:tcW w:type="dxa" w:w="1150"/>
            <w:vAlign w:val="center"/>
            <w:tcMar>
              <w:top w:w="70" w:type="dxa"/>
              <w:start w:w="90" w:type="dxa"/>
              <w:bottom w:w="70" w:type="dxa"/>
              <w:end w:w="90" w:type="dxa"/>
            </w:tcMar>
          </w:tcPr>
          <w:p>
            <w:pPr>
              <w:pStyle w:val="Compact"/>
              <w:spacing w:before="0" w:after="0" w:line="240" w:lineRule="auto"/>
            </w:pPr>
            <w:r>
              <w:t>Model</w:t>
            </w:r>
          </w:p>
        </w:tc>
        <w:tc>
          <w:tcPr>
            <w:tcW w:type="dxa" w:w="8120"/>
            <w:vAlign w:val="center"/>
            <w:tcMar>
              <w:top w:w="70" w:type="dxa"/>
              <w:start w:w="90" w:type="dxa"/>
              <w:bottom w:w="70" w:type="dxa"/>
              <w:end w:w="90" w:type="dxa"/>
            </w:tcMar>
          </w:tcPr>
          <w:p>
            <w:pPr>
              <w:pStyle w:val="Compact"/>
              <w:spacing w:before="0" w:after="0" w:line="240" w:lineRule="auto"/>
            </w:pPr>
            <w:r>
              <w:t>Formula</w:t>
            </w:r>
          </w:p>
        </w:tc>
      </w:tr>
      <w:tr>
        <w:tc>
          <w:tcPr>
            <w:tcW w:type="dxa" w:w="1150"/>
            <w:vAlign w:val="center"/>
            <w:tcMar>
              <w:top w:w="70" w:type="dxa"/>
              <w:start w:w="90" w:type="dxa"/>
              <w:bottom w:w="70" w:type="dxa"/>
              <w:end w:w="90" w:type="dxa"/>
            </w:tcMar>
          </w:tcPr>
          <w:p>
            <w:pPr>
              <w:pStyle w:val="Compact"/>
              <w:spacing w:before="0" w:after="0" w:line="240" w:lineRule="auto"/>
            </w:pPr>
            <w:r>
              <w:t>M1</w:t>
            </w:r>
          </w:p>
        </w:tc>
        <w:tc>
          <w:tcPr>
            <w:tcW w:type="dxa" w:w="8120"/>
            <w:vAlign w:val="center"/>
            <w:tcMar>
              <w:top w:w="70" w:type="dxa"/>
              <w:start w:w="90" w:type="dxa"/>
              <w:bottom w:w="70" w:type="dxa"/>
              <w:end w:w="90" w:type="dxa"/>
            </w:tcMar>
          </w:tcPr>
          <w:p>
            <w:pPr>
              <w:pStyle w:val="Compact"/>
              <w:spacing w:before="0" w:after="0" w:line="240" w:lineRule="auto"/>
            </w:pPr>
            <w:r>
              <w:t>total\_butterflies\_t\_lag</w:t>
            </w:r>
          </w:p>
        </w:tc>
      </w:tr>
      <w:tr>
        <w:tc>
          <w:tcPr>
            <w:tcW w:type="dxa" w:w="1150"/>
            <w:vAlign w:val="center"/>
            <w:tcMar>
              <w:top w:w="70" w:type="dxa"/>
              <w:start w:w="90" w:type="dxa"/>
              <w:bottom w:w="70" w:type="dxa"/>
              <w:end w:w="90" w:type="dxa"/>
            </w:tcMar>
          </w:tcPr>
          <w:p>
            <w:pPr>
              <w:pStyle w:val="Compact"/>
              <w:spacing w:before="0" w:after="0" w:line="240" w:lineRule="auto"/>
            </w:pPr>
            <w:r>
              <w:t>M2</w:t>
            </w:r>
          </w:p>
        </w:tc>
        <w:tc>
          <w:tcPr>
            <w:tcW w:type="dxa" w:w="8120"/>
            <w:vAlign w:val="center"/>
            <w:tcMar>
              <w:top w:w="70" w:type="dxa"/>
              <w:start w:w="90" w:type="dxa"/>
              <w:bottom w:w="70" w:type="dxa"/>
              <w:end w:w="90" w:type="dxa"/>
            </w:tcMar>
          </w:tcPr>
          <w:p>
            <w:pPr>
              <w:pStyle w:val="Compact"/>
              <w:spacing w:before="0" w:after="0" w:line="240" w:lineRule="auto"/>
            </w:pPr>
            <w:r>
              <w:t>total\_butterflies\_t\_lag + max\_gust</w:t>
            </w:r>
          </w:p>
        </w:tc>
      </w:tr>
      <w:tr>
        <w:tc>
          <w:tcPr>
            <w:tcW w:type="dxa" w:w="1150"/>
            <w:vAlign w:val="center"/>
            <w:tcMar>
              <w:top w:w="70" w:type="dxa"/>
              <w:start w:w="90" w:type="dxa"/>
              <w:bottom w:w="70" w:type="dxa"/>
              <w:end w:w="90" w:type="dxa"/>
            </w:tcMar>
          </w:tcPr>
          <w:p>
            <w:pPr>
              <w:pStyle w:val="Compact"/>
              <w:spacing w:before="0" w:after="0" w:line="240" w:lineRule="auto"/>
            </w:pPr>
            <w:r>
              <w:t>M3</w:t>
            </w:r>
          </w:p>
        </w:tc>
        <w:tc>
          <w:tcPr>
            <w:tcW w:type="dxa" w:w="8120"/>
            <w:vAlign w:val="center"/>
            <w:tcMar>
              <w:top w:w="70" w:type="dxa"/>
              <w:start w:w="90" w:type="dxa"/>
              <w:bottom w:w="70" w:type="dxa"/>
              <w:end w:w="90" w:type="dxa"/>
            </w:tcMar>
          </w:tcPr>
          <w:p>
            <w:pPr>
              <w:pStyle w:val="Compact"/>
              <w:spacing w:before="0" w:after="0" w:line="240" w:lineRule="auto"/>
            </w:pPr>
            <w:r>
              <w:t>total\_butterflies\_t\_lag + temperature\_avg</w:t>
            </w:r>
          </w:p>
        </w:tc>
      </w:tr>
      <w:tr>
        <w:tc>
          <w:tcPr>
            <w:tcW w:type="dxa" w:w="1150"/>
            <w:vAlign w:val="center"/>
            <w:tcMar>
              <w:top w:w="70" w:type="dxa"/>
              <w:start w:w="90" w:type="dxa"/>
              <w:bottom w:w="70" w:type="dxa"/>
              <w:end w:w="90" w:type="dxa"/>
            </w:tcMar>
          </w:tcPr>
          <w:p>
            <w:pPr>
              <w:pStyle w:val="Compact"/>
              <w:spacing w:before="0" w:after="0" w:line="240" w:lineRule="auto"/>
            </w:pPr>
            <w:r>
              <w:t>M4</w:t>
            </w:r>
          </w:p>
        </w:tc>
        <w:tc>
          <w:tcPr>
            <w:tcW w:type="dxa" w:w="8120"/>
            <w:vAlign w:val="center"/>
            <w:tcMar>
              <w:top w:w="70" w:type="dxa"/>
              <w:start w:w="90" w:type="dxa"/>
              <w:bottom w:w="70" w:type="dxa"/>
              <w:end w:w="90" w:type="dxa"/>
            </w:tcMar>
          </w:tcPr>
          <w:p>
            <w:pPr>
              <w:pStyle w:val="Compact"/>
              <w:spacing w:before="0" w:after="0" w:line="240" w:lineRule="auto"/>
            </w:pPr>
            <w:r>
              <w:t>total\_butterflies\_t\_lag +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M5</w:t>
            </w:r>
          </w:p>
        </w:tc>
        <w:tc>
          <w:tcPr>
            <w:tcW w:type="dxa" w:w="8120"/>
            <w:vAlign w:val="center"/>
            <w:tcMar>
              <w:top w:w="70" w:type="dxa"/>
              <w:start w:w="90" w:type="dxa"/>
              <w:bottom w:w="70" w:type="dxa"/>
              <w:end w:w="90" w:type="dxa"/>
            </w:tcMar>
          </w:tcPr>
          <w:p>
            <w:pPr>
              <w:pStyle w:val="Compact"/>
              <w:spacing w:before="0" w:after="0" w:line="240" w:lineRule="auto"/>
            </w:pPr>
            <w:r>
              <w:t>total\_butterflies\_t\_lag + max\_gust + temperature\_avg</w:t>
            </w:r>
          </w:p>
        </w:tc>
      </w:tr>
      <w:tr>
        <w:tc>
          <w:tcPr>
            <w:tcW w:type="dxa" w:w="1150"/>
            <w:vAlign w:val="center"/>
            <w:tcMar>
              <w:top w:w="70" w:type="dxa"/>
              <w:start w:w="90" w:type="dxa"/>
              <w:bottom w:w="70" w:type="dxa"/>
              <w:end w:w="90" w:type="dxa"/>
            </w:tcMar>
          </w:tcPr>
          <w:p>
            <w:pPr>
              <w:pStyle w:val="Compact"/>
              <w:spacing w:before="0" w:after="0" w:line="240" w:lineRule="auto"/>
            </w:pPr>
            <w:r>
              <w:t>M6</w:t>
            </w:r>
          </w:p>
        </w:tc>
        <w:tc>
          <w:tcPr>
            <w:tcW w:type="dxa" w:w="8120"/>
            <w:vAlign w:val="center"/>
            <w:tcMar>
              <w:top w:w="70" w:type="dxa"/>
              <w:start w:w="90" w:type="dxa"/>
              <w:bottom w:w="70" w:type="dxa"/>
              <w:end w:w="90" w:type="dxa"/>
            </w:tcMar>
          </w:tcPr>
          <w:p>
            <w:pPr>
              <w:pStyle w:val="Compact"/>
              <w:spacing w:before="0" w:after="0" w:line="240" w:lineRule="auto"/>
            </w:pPr>
            <w:r>
              <w:t>total\_butterflies\_t\_lag + max\_gust +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M7</w:t>
            </w:r>
          </w:p>
        </w:tc>
        <w:tc>
          <w:tcPr>
            <w:tcW w:type="dxa" w:w="8120"/>
            <w:vAlign w:val="center"/>
            <w:tcMar>
              <w:top w:w="70" w:type="dxa"/>
              <w:start w:w="90" w:type="dxa"/>
              <w:bottom w:w="70" w:type="dxa"/>
              <w:end w:w="90" w:type="dxa"/>
            </w:tcMar>
          </w:tcPr>
          <w:p>
            <w:pPr>
              <w:pStyle w:val="Compact"/>
              <w:spacing w:before="0" w:after="0" w:line="240" w:lineRule="auto"/>
            </w:pPr>
            <w:r>
              <w:t>total\_butterflies\_t\_lag + temperature\_avg +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M8</w:t>
            </w:r>
          </w:p>
        </w:tc>
        <w:tc>
          <w:tcPr>
            <w:tcW w:type="dxa" w:w="8120"/>
            <w:vAlign w:val="center"/>
            <w:tcMar>
              <w:top w:w="70" w:type="dxa"/>
              <w:start w:w="90" w:type="dxa"/>
              <w:bottom w:w="70" w:type="dxa"/>
              <w:end w:w="90" w:type="dxa"/>
            </w:tcMar>
          </w:tcPr>
          <w:p>
            <w:pPr>
              <w:pStyle w:val="Compact"/>
              <w:spacing w:before="0" w:after="0" w:line="240" w:lineRule="auto"/>
            </w:pPr>
            <w:r>
              <w:t>total\_butterflies\_t\_lag + max\_gust + temperature\_avg +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M9</w:t>
            </w:r>
          </w:p>
        </w:tc>
        <w:tc>
          <w:tcPr>
            <w:tcW w:type="dxa" w:w="8120"/>
            <w:vAlign w:val="center"/>
            <w:tcMar>
              <w:top w:w="70" w:type="dxa"/>
              <w:start w:w="90" w:type="dxa"/>
              <w:bottom w:w="70" w:type="dxa"/>
              <w:end w:w="90" w:type="dxa"/>
            </w:tcMar>
          </w:tcPr>
          <w:p>
            <w:pPr>
              <w:pStyle w:val="Compact"/>
              <w:spacing w:before="0" w:after="0" w:line="240" w:lineRule="auto"/>
            </w:pPr>
            <w:r>
              <w:t>total\_butterflies\_t\_lag + max\_gust * temperature\_avg</w:t>
            </w:r>
          </w:p>
        </w:tc>
      </w:tr>
      <w:tr>
        <w:tc>
          <w:tcPr>
            <w:tcW w:type="dxa" w:w="1150"/>
            <w:vAlign w:val="center"/>
            <w:tcMar>
              <w:top w:w="70" w:type="dxa"/>
              <w:start w:w="90" w:type="dxa"/>
              <w:bottom w:w="70" w:type="dxa"/>
              <w:end w:w="90" w:type="dxa"/>
            </w:tcMar>
          </w:tcPr>
          <w:p>
            <w:pPr>
              <w:pStyle w:val="Compact"/>
              <w:spacing w:before="0" w:after="0" w:line="240" w:lineRule="auto"/>
            </w:pPr>
            <w:r>
              <w:t>M10</w:t>
            </w:r>
          </w:p>
        </w:tc>
        <w:tc>
          <w:tcPr>
            <w:tcW w:type="dxa" w:w="8120"/>
            <w:vAlign w:val="center"/>
            <w:tcMar>
              <w:top w:w="70" w:type="dxa"/>
              <w:start w:w="90" w:type="dxa"/>
              <w:bottom w:w="70" w:type="dxa"/>
              <w:end w:w="90" w:type="dxa"/>
            </w:tcMar>
          </w:tcPr>
          <w:p>
            <w:pPr>
              <w:pStyle w:val="Compact"/>
              <w:spacing w:before="0" w:after="0" w:line="240" w:lineRule="auto"/>
            </w:pPr>
            <w:r>
              <w:t>total\_butterflies\_t\_lag + max\_gust *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M11</w:t>
            </w:r>
          </w:p>
        </w:tc>
        <w:tc>
          <w:tcPr>
            <w:tcW w:type="dxa" w:w="8120"/>
            <w:vAlign w:val="center"/>
            <w:tcMar>
              <w:top w:w="70" w:type="dxa"/>
              <w:start w:w="90" w:type="dxa"/>
              <w:bottom w:w="70" w:type="dxa"/>
              <w:end w:w="90" w:type="dxa"/>
            </w:tcMar>
          </w:tcPr>
          <w:p>
            <w:pPr>
              <w:pStyle w:val="Compact"/>
              <w:spacing w:before="0" w:after="0" w:line="240" w:lineRule="auto"/>
            </w:pPr>
            <w:r>
              <w:t>total\_butterflies\_t\_lag + temperature\_avg *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M12</w:t>
            </w:r>
          </w:p>
        </w:tc>
        <w:tc>
          <w:tcPr>
            <w:tcW w:type="dxa" w:w="8120"/>
            <w:vAlign w:val="center"/>
            <w:tcMar>
              <w:top w:w="70" w:type="dxa"/>
              <w:start w:w="90" w:type="dxa"/>
              <w:bottom w:w="70" w:type="dxa"/>
              <w:end w:w="90" w:type="dxa"/>
            </w:tcMar>
          </w:tcPr>
          <w:p>
            <w:pPr>
              <w:pStyle w:val="Compact"/>
              <w:spacing w:before="0" w:after="0" w:line="240" w:lineRule="auto"/>
            </w:pPr>
            <w:r>
              <w:t>total\_butterflies\_t\_lag + max\_gust * temperature\_avg +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M13</w:t>
            </w:r>
          </w:p>
        </w:tc>
        <w:tc>
          <w:tcPr>
            <w:tcW w:type="dxa" w:w="8120"/>
            <w:vAlign w:val="center"/>
            <w:tcMar>
              <w:top w:w="70" w:type="dxa"/>
              <w:start w:w="90" w:type="dxa"/>
              <w:bottom w:w="70" w:type="dxa"/>
              <w:end w:w="90" w:type="dxa"/>
            </w:tcMar>
          </w:tcPr>
          <w:p>
            <w:pPr>
              <w:pStyle w:val="Compact"/>
              <w:spacing w:before="0" w:after="0" w:line="240" w:lineRule="auto"/>
            </w:pPr>
            <w:r>
              <w:t>total\_butterflies\_t\_lag + max\_gust * butterflies\_direct\_sun\_t\_lag + temperature\_avg</w:t>
            </w:r>
          </w:p>
        </w:tc>
      </w:tr>
      <w:tr>
        <w:tc>
          <w:tcPr>
            <w:tcW w:type="dxa" w:w="1150"/>
            <w:vAlign w:val="center"/>
            <w:tcMar>
              <w:top w:w="70" w:type="dxa"/>
              <w:start w:w="90" w:type="dxa"/>
              <w:bottom w:w="70" w:type="dxa"/>
              <w:end w:w="90" w:type="dxa"/>
            </w:tcMar>
          </w:tcPr>
          <w:p>
            <w:pPr>
              <w:pStyle w:val="Compact"/>
              <w:spacing w:before="0" w:after="0" w:line="240" w:lineRule="auto"/>
            </w:pPr>
            <w:r>
              <w:t>M14</w:t>
            </w:r>
          </w:p>
        </w:tc>
        <w:tc>
          <w:tcPr>
            <w:tcW w:type="dxa" w:w="8120"/>
            <w:vAlign w:val="center"/>
            <w:tcMar>
              <w:top w:w="70" w:type="dxa"/>
              <w:start w:w="90" w:type="dxa"/>
              <w:bottom w:w="70" w:type="dxa"/>
              <w:end w:w="90" w:type="dxa"/>
            </w:tcMar>
          </w:tcPr>
          <w:p>
            <w:pPr>
              <w:pStyle w:val="Compact"/>
              <w:spacing w:before="0" w:after="0" w:line="240" w:lineRule="auto"/>
            </w:pPr>
            <w:r>
              <w:t>total\_butterflies\_t\_lag + temperature\_avg * butterflies\_direct\_sun\_t\_lag + max\_gust</w:t>
            </w:r>
          </w:p>
        </w:tc>
      </w:tr>
      <w:tr>
        <w:tc>
          <w:tcPr>
            <w:tcW w:type="dxa" w:w="1150"/>
            <w:vAlign w:val="center"/>
            <w:tcMar>
              <w:top w:w="70" w:type="dxa"/>
              <w:start w:w="90" w:type="dxa"/>
              <w:bottom w:w="70" w:type="dxa"/>
              <w:end w:w="90" w:type="dxa"/>
            </w:tcMar>
          </w:tcPr>
          <w:p>
            <w:pPr>
              <w:pStyle w:val="Compact"/>
              <w:spacing w:before="0" w:after="0" w:line="240" w:lineRule="auto"/>
            </w:pPr>
            <w:r>
              <w:t>M15</w:t>
            </w:r>
          </w:p>
        </w:tc>
        <w:tc>
          <w:tcPr>
            <w:tcW w:type="dxa" w:w="8120"/>
            <w:vAlign w:val="center"/>
            <w:tcMar>
              <w:top w:w="70" w:type="dxa"/>
              <w:start w:w="90" w:type="dxa"/>
              <w:bottom w:w="70" w:type="dxa"/>
              <w:end w:w="90" w:type="dxa"/>
            </w:tcMar>
          </w:tcPr>
          <w:p>
            <w:pPr>
              <w:pStyle w:val="Compact"/>
              <w:spacing w:before="0" w:after="0" w:line="240" w:lineRule="auto"/>
            </w:pPr>
            <w:r>
              <w:t>total\_butterflies\_t\_lag + all two-way interactions</w:t>
            </w:r>
          </w:p>
        </w:tc>
      </w:tr>
      <w:tr>
        <w:tc>
          <w:tcPr>
            <w:tcW w:type="dxa" w:w="1150"/>
            <w:vAlign w:val="center"/>
            <w:tcMar>
              <w:top w:w="70" w:type="dxa"/>
              <w:start w:w="90" w:type="dxa"/>
              <w:bottom w:w="70" w:type="dxa"/>
              <w:end w:w="90" w:type="dxa"/>
            </w:tcMar>
          </w:tcPr>
          <w:p>
            <w:pPr>
              <w:pStyle w:val="Compact"/>
              <w:spacing w:before="0" w:after="0" w:line="240" w:lineRule="auto"/>
            </w:pPr>
            <w:r>
              <w:t>M16</w:t>
            </w:r>
          </w:p>
        </w:tc>
        <w:tc>
          <w:tcPr>
            <w:tcW w:type="dxa" w:w="8120"/>
            <w:vAlign w:val="center"/>
            <w:tcMar>
              <w:top w:w="70" w:type="dxa"/>
              <w:start w:w="90" w:type="dxa"/>
              <w:bottom w:w="70" w:type="dxa"/>
              <w:end w:w="90" w:type="dxa"/>
            </w:tcMar>
          </w:tcPr>
          <w:p>
            <w:pPr>
              <w:pStyle w:val="Compact"/>
              <w:spacing w:before="0" w:after="0" w:line="240" w:lineRule="auto"/>
            </w:pPr>
            <w:r>
              <w:t>total\_butterflies\_t\_lag + max\_gust * temperature\_avg *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M17</w:t>
            </w:r>
          </w:p>
        </w:tc>
        <w:tc>
          <w:tcPr>
            <w:tcW w:type="dxa" w:w="8120"/>
            <w:vAlign w:val="center"/>
            <w:tcMar>
              <w:top w:w="70" w:type="dxa"/>
              <w:start w:w="90" w:type="dxa"/>
              <w:bottom w:w="70" w:type="dxa"/>
              <w:end w:w="90" w:type="dxa"/>
            </w:tcMar>
          </w:tcPr>
          <w:p>
            <w:pPr>
              <w:pStyle w:val="Compact"/>
              <w:spacing w:before="0" w:after="0" w:line="240" w:lineRule="auto"/>
            </w:pPr>
            <w:r>
              <w:t>s(total\_butterflies\_t\_lag) + s(temperature\_avg) + s(butterflies\_direct\_sun\_t\_lag)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M18</w:t>
            </w:r>
          </w:p>
        </w:tc>
        <w:tc>
          <w:tcPr>
            <w:tcW w:type="dxa" w:w="8120"/>
            <w:vAlign w:val="center"/>
            <w:tcMar>
              <w:top w:w="70" w:type="dxa"/>
              <w:start w:w="90" w:type="dxa"/>
              <w:bottom w:w="70" w:type="dxa"/>
              <w:end w:w="90" w:type="dxa"/>
            </w:tcMar>
          </w:tcPr>
          <w:p>
            <w:pPr>
              <w:pStyle w:val="Compact"/>
              <w:spacing w:before="0" w:after="0" w:line="240" w:lineRule="auto"/>
            </w:pPr>
            <w:r>
              <w:t>s(total\_butterflies\_t\_lag) + temperature\_avg + s(butterflies\_direct\_sun\_t\_lag)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M19</w:t>
            </w:r>
          </w:p>
        </w:tc>
        <w:tc>
          <w:tcPr>
            <w:tcW w:type="dxa" w:w="8120"/>
            <w:vAlign w:val="center"/>
            <w:tcMar>
              <w:top w:w="70" w:type="dxa"/>
              <w:start w:w="90" w:type="dxa"/>
              <w:bottom w:w="70" w:type="dxa"/>
              <w:end w:w="90" w:type="dxa"/>
            </w:tcMar>
          </w:tcPr>
          <w:p>
            <w:pPr>
              <w:pStyle w:val="Compact"/>
              <w:spacing w:before="0" w:after="0" w:line="240" w:lineRule="auto"/>
            </w:pPr>
            <w:r>
              <w:t>s(total\_butterflies\_t\_lag) + s(max\_gust) + temperature\_avg + s(butterflies\_direct\_sun\_t\_lag)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M20</w:t>
            </w:r>
          </w:p>
        </w:tc>
        <w:tc>
          <w:tcPr>
            <w:tcW w:type="dxa" w:w="8120"/>
            <w:vAlign w:val="center"/>
            <w:tcMar>
              <w:top w:w="70" w:type="dxa"/>
              <w:start w:w="90" w:type="dxa"/>
              <w:bottom w:w="70" w:type="dxa"/>
              <w:end w:w="90" w:type="dxa"/>
            </w:tcMar>
          </w:tcPr>
          <w:p>
            <w:pPr>
              <w:pStyle w:val="Compact"/>
              <w:spacing w:before="0" w:after="0" w:line="240" w:lineRule="auto"/>
            </w:pPr>
            <w:r>
              <w:t>s(total\_butterflies\_t\_lag) + s(temperature\_avg) + s(butterflies\_direct\_sun\_t\_lag)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M21</w:t>
            </w:r>
          </w:p>
        </w:tc>
        <w:tc>
          <w:tcPr>
            <w:tcW w:type="dxa" w:w="8120"/>
            <w:vAlign w:val="center"/>
            <w:tcMar>
              <w:top w:w="70" w:type="dxa"/>
              <w:start w:w="90" w:type="dxa"/>
              <w:bottom w:w="70" w:type="dxa"/>
              <w:end w:w="90" w:type="dxa"/>
            </w:tcMar>
          </w:tcPr>
          <w:p>
            <w:pPr>
              <w:pStyle w:val="Compact"/>
              <w:spacing w:before="0" w:after="0" w:line="240" w:lineRule="auto"/>
            </w:pPr>
            <w:r>
              <w:t>s(total\_butterflies\_t\_lag) + s(max\_gust) + s(temperature\_avg) + s(butterflies\_direct\_sun\_t\_lag)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M22</w:t>
            </w:r>
          </w:p>
        </w:tc>
        <w:tc>
          <w:tcPr>
            <w:tcW w:type="dxa" w:w="8120"/>
            <w:vAlign w:val="center"/>
            <w:tcMar>
              <w:top w:w="70" w:type="dxa"/>
              <w:start w:w="90" w:type="dxa"/>
              <w:bottom w:w="70" w:type="dxa"/>
              <w:end w:w="90" w:type="dxa"/>
            </w:tcMar>
          </w:tcPr>
          <w:p>
            <w:pPr>
              <w:pStyle w:val="Compact"/>
              <w:spacing w:before="0" w:after="0" w:line="240" w:lineRule="auto"/>
            </w:pPr>
            <w:r>
              <w:t>s(total\_butterflies\_t\_lag) + temperature\_avg + s(butterflies\_direct\_sun\_t\_lag) + s(time\_within\_day\_t)</w:t>
            </w:r>
          </w:p>
        </w:tc>
      </w:tr>
      <w:tr>
        <w:tc>
          <w:tcPr>
            <w:tcW w:type="dxa" w:w="1150"/>
            <w:vAlign w:val="center"/>
            <w:tcMar>
              <w:top w:w="70" w:type="dxa"/>
              <w:start w:w="90" w:type="dxa"/>
              <w:bottom w:w="70" w:type="dxa"/>
              <w:end w:w="90" w:type="dxa"/>
            </w:tcMar>
          </w:tcPr>
          <w:p>
            <w:pPr>
              <w:pStyle w:val="Compact"/>
              <w:spacing w:before="0" w:after="0" w:line="240" w:lineRule="auto"/>
            </w:pPr>
            <w:r>
              <w:t>M23</w:t>
            </w:r>
          </w:p>
        </w:tc>
        <w:tc>
          <w:tcPr>
            <w:tcW w:type="dxa" w:w="8120"/>
            <w:vAlign w:val="center"/>
            <w:tcMar>
              <w:top w:w="70" w:type="dxa"/>
              <w:start w:w="90" w:type="dxa"/>
              <w:bottom w:w="70" w:type="dxa"/>
              <w:end w:w="90" w:type="dxa"/>
            </w:tcMar>
          </w:tcPr>
          <w:p>
            <w:pPr>
              <w:pStyle w:val="Compact"/>
              <w:spacing w:before="0" w:after="0" w:line="240" w:lineRule="auto"/>
            </w:pPr>
            <w:r>
              <w:t>s(total\_butterflies\_t\_lag) + s(temperature\_avg) + s(butterflies\_direct\_sun\_t\_lag) + s(time\_within\_day\_t)</w:t>
            </w:r>
          </w:p>
        </w:tc>
      </w:tr>
      <w:tr>
        <w:tc>
          <w:tcPr>
            <w:tcW w:type="dxa" w:w="1150"/>
            <w:vAlign w:val="center"/>
            <w:tcMar>
              <w:top w:w="70" w:type="dxa"/>
              <w:start w:w="90" w:type="dxa"/>
              <w:bottom w:w="70" w:type="dxa"/>
              <w:end w:w="90" w:type="dxa"/>
            </w:tcMar>
          </w:tcPr>
          <w:p>
            <w:pPr>
              <w:pStyle w:val="Compact"/>
              <w:spacing w:before="0" w:after="0" w:line="240" w:lineRule="auto"/>
            </w:pPr>
            <w:r>
              <w:t>M24</w:t>
            </w:r>
          </w:p>
        </w:tc>
        <w:tc>
          <w:tcPr>
            <w:tcW w:type="dxa" w:w="8120"/>
            <w:vAlign w:val="center"/>
            <w:tcMar>
              <w:top w:w="70" w:type="dxa"/>
              <w:start w:w="90" w:type="dxa"/>
              <w:bottom w:w="70" w:type="dxa"/>
              <w:end w:w="90" w:type="dxa"/>
            </w:tcMar>
          </w:tcPr>
          <w:p>
            <w:pPr>
              <w:pStyle w:val="Compact"/>
              <w:spacing w:before="0" w:after="0" w:line="240" w:lineRule="auto"/>
            </w:pPr>
            <w:r>
              <w:t>s(total\_butterflies\_t\_lag) + s(max\_gust) + s(temperature\_avg) + s(butterflies\_direct\_sun\_t\_lag) + s(time\_within\_day\_t)</w:t>
            </w:r>
          </w:p>
        </w:tc>
      </w:tr>
      <w:tr>
        <w:tc>
          <w:tcPr>
            <w:tcW w:type="dxa" w:w="1150"/>
            <w:vAlign w:val="center"/>
            <w:tcMar>
              <w:top w:w="70" w:type="dxa"/>
              <w:start w:w="90" w:type="dxa"/>
              <w:bottom w:w="70" w:type="dxa"/>
              <w:end w:w="90" w:type="dxa"/>
            </w:tcMar>
          </w:tcPr>
          <w:p>
            <w:pPr>
              <w:pStyle w:val="Compact"/>
              <w:spacing w:before="0" w:after="0" w:line="240" w:lineRule="auto"/>
            </w:pPr>
            <w:r>
              <w:t>M25</w:t>
            </w:r>
          </w:p>
        </w:tc>
        <w:tc>
          <w:tcPr>
            <w:tcW w:type="dxa" w:w="8120"/>
            <w:vAlign w:val="center"/>
            <w:tcMar>
              <w:top w:w="70" w:type="dxa"/>
              <w:start w:w="90" w:type="dxa"/>
              <w:bottom w:w="70" w:type="dxa"/>
              <w:end w:w="90" w:type="dxa"/>
            </w:tcMar>
          </w:tcPr>
          <w:p>
            <w:pPr>
              <w:pStyle w:val="Compact"/>
              <w:spacing w:before="0" w:after="0" w:line="240" w:lineRule="auto"/>
            </w:pPr>
            <w:r>
              <w:t>(intercept only)</w:t>
            </w:r>
          </w:p>
        </w:tc>
      </w:tr>
      <w:tr>
        <w:tc>
          <w:tcPr>
            <w:tcW w:type="dxa" w:w="1150"/>
            <w:vAlign w:val="center"/>
            <w:tcMar>
              <w:top w:w="70" w:type="dxa"/>
              <w:start w:w="90" w:type="dxa"/>
              <w:bottom w:w="70" w:type="dxa"/>
              <w:end w:w="90" w:type="dxa"/>
            </w:tcMar>
          </w:tcPr>
          <w:p>
            <w:pPr>
              <w:pStyle w:val="Compact"/>
              <w:spacing w:before="0" w:after="0" w:line="240" w:lineRule="auto"/>
            </w:pPr>
            <w:r>
              <w:t>M26</w:t>
            </w:r>
          </w:p>
        </w:tc>
        <w:tc>
          <w:tcPr>
            <w:tcW w:type="dxa" w:w="8120"/>
            <w:vAlign w:val="center"/>
            <w:tcMar>
              <w:top w:w="70" w:type="dxa"/>
              <w:start w:w="90" w:type="dxa"/>
              <w:bottom w:w="70" w:type="dxa"/>
              <w:end w:w="90" w:type="dxa"/>
            </w:tcMar>
          </w:tcPr>
          <w:p>
            <w:pPr>
              <w:pStyle w:val="Compact"/>
              <w:spacing w:before="0" w:after="0" w:line="240" w:lineRule="auto"/>
            </w:pPr>
            <w:r>
              <w:t>max\_gust</w:t>
            </w:r>
          </w:p>
        </w:tc>
      </w:tr>
      <w:tr>
        <w:tc>
          <w:tcPr>
            <w:tcW w:type="dxa" w:w="1150"/>
            <w:vAlign w:val="center"/>
            <w:tcMar>
              <w:top w:w="70" w:type="dxa"/>
              <w:start w:w="90" w:type="dxa"/>
              <w:bottom w:w="70" w:type="dxa"/>
              <w:end w:w="90" w:type="dxa"/>
            </w:tcMar>
          </w:tcPr>
          <w:p>
            <w:pPr>
              <w:pStyle w:val="Compact"/>
              <w:spacing w:before="0" w:after="0" w:line="240" w:lineRule="auto"/>
            </w:pPr>
            <w:r>
              <w:t>M27</w:t>
            </w:r>
          </w:p>
        </w:tc>
        <w:tc>
          <w:tcPr>
            <w:tcW w:type="dxa" w:w="8120"/>
            <w:vAlign w:val="center"/>
            <w:tcMar>
              <w:top w:w="70" w:type="dxa"/>
              <w:start w:w="90" w:type="dxa"/>
              <w:bottom w:w="70" w:type="dxa"/>
              <w:end w:w="90" w:type="dxa"/>
            </w:tcMar>
          </w:tcPr>
          <w:p>
            <w:pPr>
              <w:pStyle w:val="Compact"/>
              <w:spacing w:before="0" w:after="0" w:line="240" w:lineRule="auto"/>
            </w:pPr>
            <w:r>
              <w:t>temperature\_avg</w:t>
            </w:r>
          </w:p>
        </w:tc>
      </w:tr>
      <w:tr>
        <w:tc>
          <w:tcPr>
            <w:tcW w:type="dxa" w:w="1150"/>
            <w:vAlign w:val="center"/>
            <w:tcMar>
              <w:top w:w="70" w:type="dxa"/>
              <w:start w:w="90" w:type="dxa"/>
              <w:bottom w:w="70" w:type="dxa"/>
              <w:end w:w="90" w:type="dxa"/>
            </w:tcMar>
          </w:tcPr>
          <w:p>
            <w:pPr>
              <w:pStyle w:val="Compact"/>
              <w:spacing w:before="0" w:after="0" w:line="240" w:lineRule="auto"/>
            </w:pPr>
            <w:r>
              <w:t>M28</w:t>
            </w:r>
          </w:p>
        </w:tc>
        <w:tc>
          <w:tcPr>
            <w:tcW w:type="dxa" w:w="8120"/>
            <w:vAlign w:val="center"/>
            <w:tcMar>
              <w:top w:w="70" w:type="dxa"/>
              <w:start w:w="90" w:type="dxa"/>
              <w:bottom w:w="70" w:type="dxa"/>
              <w:end w:w="90" w:type="dxa"/>
            </w:tcMar>
          </w:tcPr>
          <w:p>
            <w:pPr>
              <w:pStyle w:val="Compact"/>
              <w:spacing w:before="0" w:after="0" w:line="240" w:lineRule="auto"/>
            </w:pPr>
            <w:r>
              <w:t>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M29</w:t>
            </w:r>
          </w:p>
        </w:tc>
        <w:tc>
          <w:tcPr>
            <w:tcW w:type="dxa" w:w="8120"/>
            <w:vAlign w:val="center"/>
            <w:tcMar>
              <w:top w:w="70" w:type="dxa"/>
              <w:start w:w="90" w:type="dxa"/>
              <w:bottom w:w="70" w:type="dxa"/>
              <w:end w:w="90" w:type="dxa"/>
            </w:tcMar>
          </w:tcPr>
          <w:p>
            <w:pPr>
              <w:pStyle w:val="Compact"/>
              <w:spacing w:before="0" w:after="0" w:line="240" w:lineRule="auto"/>
            </w:pPr>
            <w:r>
              <w:t>max\_gust + temperature\_avg</w:t>
            </w:r>
          </w:p>
        </w:tc>
      </w:tr>
      <w:tr>
        <w:tc>
          <w:tcPr>
            <w:tcW w:type="dxa" w:w="1150"/>
            <w:vAlign w:val="center"/>
            <w:tcMar>
              <w:top w:w="70" w:type="dxa"/>
              <w:start w:w="90" w:type="dxa"/>
              <w:bottom w:w="70" w:type="dxa"/>
              <w:end w:w="90" w:type="dxa"/>
            </w:tcMar>
          </w:tcPr>
          <w:p>
            <w:pPr>
              <w:pStyle w:val="Compact"/>
              <w:spacing w:before="0" w:after="0" w:line="240" w:lineRule="auto"/>
            </w:pPr>
            <w:r>
              <w:t>M30</w:t>
            </w:r>
          </w:p>
        </w:tc>
        <w:tc>
          <w:tcPr>
            <w:tcW w:type="dxa" w:w="8120"/>
            <w:vAlign w:val="center"/>
            <w:tcMar>
              <w:top w:w="70" w:type="dxa"/>
              <w:start w:w="90" w:type="dxa"/>
              <w:bottom w:w="70" w:type="dxa"/>
              <w:end w:w="90" w:type="dxa"/>
            </w:tcMar>
          </w:tcPr>
          <w:p>
            <w:pPr>
              <w:pStyle w:val="Compact"/>
              <w:spacing w:before="0" w:after="0" w:line="240" w:lineRule="auto"/>
            </w:pPr>
            <w:r>
              <w:t>max\_gust +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M31</w:t>
            </w:r>
          </w:p>
        </w:tc>
        <w:tc>
          <w:tcPr>
            <w:tcW w:type="dxa" w:w="8120"/>
            <w:vAlign w:val="center"/>
            <w:tcMar>
              <w:top w:w="70" w:type="dxa"/>
              <w:start w:w="90" w:type="dxa"/>
              <w:bottom w:w="70" w:type="dxa"/>
              <w:end w:w="90" w:type="dxa"/>
            </w:tcMar>
          </w:tcPr>
          <w:p>
            <w:pPr>
              <w:pStyle w:val="Compact"/>
              <w:spacing w:before="0" w:after="0" w:line="240" w:lineRule="auto"/>
            </w:pPr>
            <w:r>
              <w:t>temperature\_avg +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M32</w:t>
            </w:r>
          </w:p>
        </w:tc>
        <w:tc>
          <w:tcPr>
            <w:tcW w:type="dxa" w:w="8120"/>
            <w:vAlign w:val="center"/>
            <w:tcMar>
              <w:top w:w="70" w:type="dxa"/>
              <w:start w:w="90" w:type="dxa"/>
              <w:bottom w:w="70" w:type="dxa"/>
              <w:end w:w="90" w:type="dxa"/>
            </w:tcMar>
          </w:tcPr>
          <w:p>
            <w:pPr>
              <w:pStyle w:val="Compact"/>
              <w:spacing w:before="0" w:after="0" w:line="240" w:lineRule="auto"/>
            </w:pPr>
            <w:r>
              <w:t>max\_gust + temperature\_avg +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M33</w:t>
            </w:r>
          </w:p>
        </w:tc>
        <w:tc>
          <w:tcPr>
            <w:tcW w:type="dxa" w:w="8120"/>
            <w:vAlign w:val="center"/>
            <w:tcMar>
              <w:top w:w="70" w:type="dxa"/>
              <w:start w:w="90" w:type="dxa"/>
              <w:bottom w:w="70" w:type="dxa"/>
              <w:end w:w="90" w:type="dxa"/>
            </w:tcMar>
          </w:tcPr>
          <w:p>
            <w:pPr>
              <w:pStyle w:val="Compact"/>
              <w:spacing w:before="0" w:after="0" w:line="240" w:lineRule="auto"/>
            </w:pPr>
            <w:r>
              <w:t>max\_gust * temperature\_avg</w:t>
            </w:r>
          </w:p>
        </w:tc>
      </w:tr>
      <w:tr>
        <w:tc>
          <w:tcPr>
            <w:tcW w:type="dxa" w:w="1150"/>
            <w:vAlign w:val="center"/>
            <w:tcMar>
              <w:top w:w="70" w:type="dxa"/>
              <w:start w:w="90" w:type="dxa"/>
              <w:bottom w:w="70" w:type="dxa"/>
              <w:end w:w="90" w:type="dxa"/>
            </w:tcMar>
          </w:tcPr>
          <w:p>
            <w:pPr>
              <w:pStyle w:val="Compact"/>
              <w:spacing w:before="0" w:after="0" w:line="240" w:lineRule="auto"/>
            </w:pPr>
            <w:r>
              <w:t>M34</w:t>
            </w:r>
          </w:p>
        </w:tc>
        <w:tc>
          <w:tcPr>
            <w:tcW w:type="dxa" w:w="8120"/>
            <w:vAlign w:val="center"/>
            <w:tcMar>
              <w:top w:w="70" w:type="dxa"/>
              <w:start w:w="90" w:type="dxa"/>
              <w:bottom w:w="70" w:type="dxa"/>
              <w:end w:w="90" w:type="dxa"/>
            </w:tcMar>
          </w:tcPr>
          <w:p>
            <w:pPr>
              <w:pStyle w:val="Compact"/>
              <w:spacing w:before="0" w:after="0" w:line="240" w:lineRule="auto"/>
            </w:pPr>
            <w:r>
              <w:t>max\_gust *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M35</w:t>
            </w:r>
          </w:p>
        </w:tc>
        <w:tc>
          <w:tcPr>
            <w:tcW w:type="dxa" w:w="8120"/>
            <w:vAlign w:val="center"/>
            <w:tcMar>
              <w:top w:w="70" w:type="dxa"/>
              <w:start w:w="90" w:type="dxa"/>
              <w:bottom w:w="70" w:type="dxa"/>
              <w:end w:w="90" w:type="dxa"/>
            </w:tcMar>
          </w:tcPr>
          <w:p>
            <w:pPr>
              <w:pStyle w:val="Compact"/>
              <w:spacing w:before="0" w:after="0" w:line="240" w:lineRule="auto"/>
            </w:pPr>
            <w:r>
              <w:t>temperature\_avg *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M36</w:t>
            </w:r>
          </w:p>
        </w:tc>
        <w:tc>
          <w:tcPr>
            <w:tcW w:type="dxa" w:w="8120"/>
            <w:vAlign w:val="center"/>
            <w:tcMar>
              <w:top w:w="70" w:type="dxa"/>
              <w:start w:w="90" w:type="dxa"/>
              <w:bottom w:w="70" w:type="dxa"/>
              <w:end w:w="90" w:type="dxa"/>
            </w:tcMar>
          </w:tcPr>
          <w:p>
            <w:pPr>
              <w:pStyle w:val="Compact"/>
              <w:spacing w:before="0" w:after="0" w:line="240" w:lineRule="auto"/>
            </w:pPr>
            <w:r>
              <w:t>max\_gust * temperature\_avg +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M37</w:t>
            </w:r>
          </w:p>
        </w:tc>
        <w:tc>
          <w:tcPr>
            <w:tcW w:type="dxa" w:w="8120"/>
            <w:vAlign w:val="center"/>
            <w:tcMar>
              <w:top w:w="70" w:type="dxa"/>
              <w:start w:w="90" w:type="dxa"/>
              <w:bottom w:w="70" w:type="dxa"/>
              <w:end w:w="90" w:type="dxa"/>
            </w:tcMar>
          </w:tcPr>
          <w:p>
            <w:pPr>
              <w:pStyle w:val="Compact"/>
              <w:spacing w:before="0" w:after="0" w:line="240" w:lineRule="auto"/>
            </w:pPr>
            <w:r>
              <w:t>max\_gust * butterflies\_direct\_sun\_t\_lag + temperature\_avg</w:t>
            </w:r>
          </w:p>
        </w:tc>
      </w:tr>
      <w:tr>
        <w:tc>
          <w:tcPr>
            <w:tcW w:type="dxa" w:w="1150"/>
            <w:vAlign w:val="center"/>
            <w:tcMar>
              <w:top w:w="70" w:type="dxa"/>
              <w:start w:w="90" w:type="dxa"/>
              <w:bottom w:w="70" w:type="dxa"/>
              <w:end w:w="90" w:type="dxa"/>
            </w:tcMar>
          </w:tcPr>
          <w:p>
            <w:pPr>
              <w:pStyle w:val="Compact"/>
              <w:spacing w:before="0" w:after="0" w:line="240" w:lineRule="auto"/>
            </w:pPr>
            <w:r>
              <w:t>M38</w:t>
            </w:r>
          </w:p>
        </w:tc>
        <w:tc>
          <w:tcPr>
            <w:tcW w:type="dxa" w:w="8120"/>
            <w:vAlign w:val="center"/>
            <w:tcMar>
              <w:top w:w="70" w:type="dxa"/>
              <w:start w:w="90" w:type="dxa"/>
              <w:bottom w:w="70" w:type="dxa"/>
              <w:end w:w="90" w:type="dxa"/>
            </w:tcMar>
          </w:tcPr>
          <w:p>
            <w:pPr>
              <w:pStyle w:val="Compact"/>
              <w:spacing w:before="0" w:after="0" w:line="240" w:lineRule="auto"/>
            </w:pPr>
            <w:r>
              <w:t>temperature\_avg * butterflies\_direct\_sun\_t\_lag + max\_gust</w:t>
            </w:r>
          </w:p>
        </w:tc>
      </w:tr>
      <w:tr>
        <w:tc>
          <w:tcPr>
            <w:tcW w:type="dxa" w:w="1150"/>
            <w:vAlign w:val="center"/>
            <w:tcMar>
              <w:top w:w="70" w:type="dxa"/>
              <w:start w:w="90" w:type="dxa"/>
              <w:bottom w:w="70" w:type="dxa"/>
              <w:end w:w="90" w:type="dxa"/>
            </w:tcMar>
          </w:tcPr>
          <w:p>
            <w:pPr>
              <w:pStyle w:val="Compact"/>
              <w:spacing w:before="0" w:after="0" w:line="240" w:lineRule="auto"/>
            </w:pPr>
            <w:r>
              <w:t>M39</w:t>
            </w:r>
          </w:p>
        </w:tc>
        <w:tc>
          <w:tcPr>
            <w:tcW w:type="dxa" w:w="8120"/>
            <w:vAlign w:val="center"/>
            <w:tcMar>
              <w:top w:w="70" w:type="dxa"/>
              <w:start w:w="90" w:type="dxa"/>
              <w:bottom w:w="70" w:type="dxa"/>
              <w:end w:w="90" w:type="dxa"/>
            </w:tcMar>
          </w:tcPr>
          <w:p>
            <w:pPr>
              <w:pStyle w:val="Compact"/>
              <w:spacing w:before="0" w:after="0" w:line="240" w:lineRule="auto"/>
            </w:pPr>
            <w:r>
              <w:t>all two-way interactions (no lag)</w:t>
            </w:r>
          </w:p>
        </w:tc>
      </w:tr>
      <w:tr>
        <w:tc>
          <w:tcPr>
            <w:tcW w:type="dxa" w:w="1150"/>
            <w:vAlign w:val="center"/>
            <w:tcMar>
              <w:top w:w="70" w:type="dxa"/>
              <w:start w:w="90" w:type="dxa"/>
              <w:bottom w:w="70" w:type="dxa"/>
              <w:end w:w="90" w:type="dxa"/>
            </w:tcMar>
          </w:tcPr>
          <w:p>
            <w:pPr>
              <w:pStyle w:val="Compact"/>
              <w:spacing w:before="0" w:after="0" w:line="240" w:lineRule="auto"/>
            </w:pPr>
            <w:r>
              <w:t>M40</w:t>
            </w:r>
          </w:p>
        </w:tc>
        <w:tc>
          <w:tcPr>
            <w:tcW w:type="dxa" w:w="8120"/>
            <w:vAlign w:val="center"/>
            <w:tcMar>
              <w:top w:w="70" w:type="dxa"/>
              <w:start w:w="90" w:type="dxa"/>
              <w:bottom w:w="70" w:type="dxa"/>
              <w:end w:w="90" w:type="dxa"/>
            </w:tcMar>
          </w:tcPr>
          <w:p>
            <w:pPr>
              <w:pStyle w:val="Compact"/>
              <w:spacing w:before="0" w:after="0" w:line="240" w:lineRule="auto"/>
            </w:pPr>
            <w:r>
              <w:t>max\_gust * temperature\_avg * butterflies\_direct\_sun\_t\_lag (no lag)</w:t>
            </w:r>
          </w:p>
        </w:tc>
      </w:tr>
      <w:tr>
        <w:tc>
          <w:tcPr>
            <w:tcW w:type="dxa" w:w="1150"/>
            <w:vAlign w:val="center"/>
            <w:tcMar>
              <w:top w:w="70" w:type="dxa"/>
              <w:start w:w="90" w:type="dxa"/>
              <w:bottom w:w="70" w:type="dxa"/>
              <w:end w:w="90" w:type="dxa"/>
            </w:tcMar>
          </w:tcPr>
          <w:p>
            <w:pPr>
              <w:pStyle w:val="Compact"/>
              <w:spacing w:before="0" w:after="0" w:line="240" w:lineRule="auto"/>
            </w:pPr>
            <w:r>
              <w:t>M41</w:t>
            </w:r>
          </w:p>
        </w:tc>
        <w:tc>
          <w:tcPr>
            <w:tcW w:type="dxa" w:w="8120"/>
            <w:vAlign w:val="center"/>
            <w:tcMar>
              <w:top w:w="70" w:type="dxa"/>
              <w:start w:w="90" w:type="dxa"/>
              <w:bottom w:w="70" w:type="dxa"/>
              <w:end w:w="90" w:type="dxa"/>
            </w:tcMar>
          </w:tcPr>
          <w:p>
            <w:pPr>
              <w:pStyle w:val="Compact"/>
              <w:spacing w:before="0" w:after="0" w:line="240" w:lineRule="auto"/>
            </w:pPr>
            <w:r>
              <w:t>s(temperature\_avg) + s(butterflies\_direct\_sun\_t\_lag)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M42</w:t>
            </w:r>
          </w:p>
        </w:tc>
        <w:tc>
          <w:tcPr>
            <w:tcW w:type="dxa" w:w="8120"/>
            <w:vAlign w:val="center"/>
            <w:tcMar>
              <w:top w:w="70" w:type="dxa"/>
              <w:start w:w="90" w:type="dxa"/>
              <w:bottom w:w="70" w:type="dxa"/>
              <w:end w:w="90" w:type="dxa"/>
            </w:tcMar>
          </w:tcPr>
          <w:p>
            <w:pPr>
              <w:pStyle w:val="Compact"/>
              <w:spacing w:before="0" w:after="0" w:line="240" w:lineRule="auto"/>
            </w:pPr>
            <w:r>
              <w:t>temperature\_avg + s(butterflies\_direct\_sun\_t\_lag)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M43</w:t>
            </w:r>
          </w:p>
        </w:tc>
        <w:tc>
          <w:tcPr>
            <w:tcW w:type="dxa" w:w="8120"/>
            <w:vAlign w:val="center"/>
            <w:tcMar>
              <w:top w:w="70" w:type="dxa"/>
              <w:start w:w="90" w:type="dxa"/>
              <w:bottom w:w="70" w:type="dxa"/>
              <w:end w:w="90" w:type="dxa"/>
            </w:tcMar>
          </w:tcPr>
          <w:p>
            <w:pPr>
              <w:pStyle w:val="Compact"/>
              <w:spacing w:before="0" w:after="0" w:line="240" w:lineRule="auto"/>
            </w:pPr>
            <w:r>
              <w:t>s(max\_gust) + temperature\_avg + s(butterflies\_direct\_sun\_t\_lag)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M44</w:t>
            </w:r>
          </w:p>
        </w:tc>
        <w:tc>
          <w:tcPr>
            <w:tcW w:type="dxa" w:w="8120"/>
            <w:vAlign w:val="center"/>
            <w:tcMar>
              <w:top w:w="70" w:type="dxa"/>
              <w:start w:w="90" w:type="dxa"/>
              <w:bottom w:w="70" w:type="dxa"/>
              <w:end w:w="90" w:type="dxa"/>
            </w:tcMar>
          </w:tcPr>
          <w:p>
            <w:pPr>
              <w:pStyle w:val="Compact"/>
              <w:spacing w:before="0" w:after="0" w:line="240" w:lineRule="auto"/>
            </w:pPr>
            <w:r>
              <w:t>s(temperature\_avg) + s(butterflies\_direct\_sun\_t\_lag)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M45</w:t>
            </w:r>
          </w:p>
        </w:tc>
        <w:tc>
          <w:tcPr>
            <w:tcW w:type="dxa" w:w="8120"/>
            <w:vAlign w:val="center"/>
            <w:tcMar>
              <w:top w:w="70" w:type="dxa"/>
              <w:start w:w="90" w:type="dxa"/>
              <w:bottom w:w="70" w:type="dxa"/>
              <w:end w:w="90" w:type="dxa"/>
            </w:tcMar>
          </w:tcPr>
          <w:p>
            <w:pPr>
              <w:pStyle w:val="Compact"/>
              <w:spacing w:before="0" w:after="0" w:line="240" w:lineRule="auto"/>
            </w:pPr>
            <w:r>
              <w:t>s(max\_gust) + s(temperature\_avg) + s(butterflies\_direct\_sun\_t\_lag)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M46</w:t>
            </w:r>
          </w:p>
        </w:tc>
        <w:tc>
          <w:tcPr>
            <w:tcW w:type="dxa" w:w="8120"/>
            <w:vAlign w:val="center"/>
            <w:tcMar>
              <w:top w:w="70" w:type="dxa"/>
              <w:start w:w="90" w:type="dxa"/>
              <w:bottom w:w="70" w:type="dxa"/>
              <w:end w:w="90" w:type="dxa"/>
            </w:tcMar>
          </w:tcPr>
          <w:p>
            <w:pPr>
              <w:pStyle w:val="Compact"/>
              <w:spacing w:before="0" w:after="0" w:line="240" w:lineRule="auto"/>
            </w:pPr>
            <w:r>
              <w:t>temperature\_avg + s(butterflies\_direct\_sun\_t\_lag) + s(time\_within\_day\_t)</w:t>
            </w:r>
          </w:p>
        </w:tc>
      </w:tr>
      <w:tr>
        <w:tc>
          <w:tcPr>
            <w:tcW w:type="dxa" w:w="1150"/>
            <w:vAlign w:val="center"/>
            <w:tcMar>
              <w:top w:w="70" w:type="dxa"/>
              <w:start w:w="90" w:type="dxa"/>
              <w:bottom w:w="70" w:type="dxa"/>
              <w:end w:w="90" w:type="dxa"/>
            </w:tcMar>
          </w:tcPr>
          <w:p>
            <w:pPr>
              <w:pStyle w:val="Compact"/>
              <w:spacing w:before="0" w:after="0" w:line="240" w:lineRule="auto"/>
            </w:pPr>
            <w:r>
              <w:t>M47</w:t>
            </w:r>
          </w:p>
        </w:tc>
        <w:tc>
          <w:tcPr>
            <w:tcW w:type="dxa" w:w="8120"/>
            <w:vAlign w:val="center"/>
            <w:tcMar>
              <w:top w:w="70" w:type="dxa"/>
              <w:start w:w="90" w:type="dxa"/>
              <w:bottom w:w="70" w:type="dxa"/>
              <w:end w:w="90" w:type="dxa"/>
            </w:tcMar>
          </w:tcPr>
          <w:p>
            <w:pPr>
              <w:pStyle w:val="Compact"/>
              <w:spacing w:before="0" w:after="0" w:line="240" w:lineRule="auto"/>
            </w:pPr>
            <w:r>
              <w:t>s(temperature\_avg) + s(butterflies\_direct\_sun\_t\_lag) + s(time\_within\_day\_t)</w:t>
            </w:r>
          </w:p>
        </w:tc>
      </w:tr>
      <w:tr>
        <w:tc>
          <w:tcPr>
            <w:tcW w:type="dxa" w:w="1150"/>
            <w:vAlign w:val="center"/>
            <w:tcMar>
              <w:top w:w="70" w:type="dxa"/>
              <w:start w:w="90" w:type="dxa"/>
              <w:bottom w:w="70" w:type="dxa"/>
              <w:end w:w="90" w:type="dxa"/>
            </w:tcMar>
          </w:tcPr>
          <w:p>
            <w:pPr>
              <w:pStyle w:val="Compact"/>
              <w:spacing w:before="0" w:after="0" w:line="240" w:lineRule="auto"/>
            </w:pPr>
            <w:r>
              <w:t>M48</w:t>
            </w:r>
          </w:p>
        </w:tc>
        <w:tc>
          <w:tcPr>
            <w:tcW w:type="dxa" w:w="8120"/>
            <w:vAlign w:val="center"/>
            <w:tcMar>
              <w:top w:w="70" w:type="dxa"/>
              <w:start w:w="90" w:type="dxa"/>
              <w:bottom w:w="70" w:type="dxa"/>
              <w:end w:w="90" w:type="dxa"/>
            </w:tcMar>
          </w:tcPr>
          <w:p>
            <w:pPr>
              <w:pStyle w:val="Compact"/>
              <w:spacing w:before="0" w:after="0" w:line="240" w:lineRule="auto"/>
            </w:pPr>
            <w:r>
              <w:t>s(max\_gust) + s(temperature\_avg) + s(butterflies\_direct\_sun\_t\_lag) + s(time\_within\_day\_t)</w:t>
            </w:r>
          </w:p>
        </w:tc>
      </w:tr>
      <w:tr>
        <w:tc>
          <w:tcPr>
            <w:tcW w:type="dxa" w:w="1150"/>
            <w:vAlign w:val="center"/>
            <w:tcMar>
              <w:top w:w="70" w:type="dxa"/>
              <w:start w:w="90" w:type="dxa"/>
              <w:bottom w:w="70" w:type="dxa"/>
              <w:end w:w="90" w:type="dxa"/>
            </w:tcMar>
          </w:tcPr>
          <w:p>
            <w:pPr>
              <w:pStyle w:val="Compact"/>
              <w:spacing w:before="0" w:after="0" w:line="240" w:lineRule="auto"/>
            </w:pPr>
            <w:r>
              <w:t>M49</w:t>
            </w:r>
          </w:p>
        </w:tc>
        <w:tc>
          <w:tcPr>
            <w:tcW w:type="dxa" w:w="8120"/>
            <w:vAlign w:val="center"/>
            <w:tcMar>
              <w:top w:w="70" w:type="dxa"/>
              <w:start w:w="90" w:type="dxa"/>
              <w:bottom w:w="70" w:type="dxa"/>
              <w:end w:w="90" w:type="dxa"/>
            </w:tcMar>
          </w:tcPr>
          <w:p>
            <w:pPr>
              <w:pStyle w:val="Compact"/>
              <w:spacing w:before="0" w:after="0" w:line="240" w:lineRule="auto"/>
            </w:pPr>
            <w:r>
              <w:t>s(total\_butterflies\_t\_lag) + ti(max\_gust,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M50</w:t>
            </w:r>
          </w:p>
        </w:tc>
        <w:tc>
          <w:tcPr>
            <w:tcW w:type="dxa" w:w="8120"/>
            <w:vAlign w:val="center"/>
            <w:tcMar>
              <w:top w:w="70" w:type="dxa"/>
              <w:start w:w="90" w:type="dxa"/>
              <w:bottom w:w="70" w:type="dxa"/>
              <w:end w:w="90" w:type="dxa"/>
            </w:tcMar>
          </w:tcPr>
          <w:p>
            <w:pPr>
              <w:pStyle w:val="Compact"/>
              <w:spacing w:before="0" w:after="0" w:line="240" w:lineRule="auto"/>
            </w:pPr>
            <w:r>
              <w:t>s(total\_butterflies\_t\_lag) + s(temperature\_avg) + s(time\_within\_day\_t) + ti(max\_gust,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M51</w:t>
            </w:r>
          </w:p>
        </w:tc>
        <w:tc>
          <w:tcPr>
            <w:tcW w:type="dxa" w:w="8120"/>
            <w:vAlign w:val="center"/>
            <w:tcMar>
              <w:top w:w="70" w:type="dxa"/>
              <w:start w:w="90" w:type="dxa"/>
              <w:bottom w:w="70" w:type="dxa"/>
              <w:end w:w="90" w:type="dxa"/>
            </w:tcMar>
          </w:tcPr>
          <w:p>
            <w:pPr>
              <w:pStyle w:val="Compact"/>
              <w:spacing w:before="0" w:after="0" w:line="240" w:lineRule="auto"/>
            </w:pPr>
            <w:r>
              <w:t>ti(max\_gust,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M52</w:t>
            </w:r>
          </w:p>
        </w:tc>
        <w:tc>
          <w:tcPr>
            <w:tcW w:type="dxa" w:w="8120"/>
            <w:vAlign w:val="center"/>
            <w:tcMar>
              <w:top w:w="70" w:type="dxa"/>
              <w:start w:w="90" w:type="dxa"/>
              <w:bottom w:w="70" w:type="dxa"/>
              <w:end w:w="90" w:type="dxa"/>
            </w:tcMar>
          </w:tcPr>
          <w:p>
            <w:pPr>
              <w:pStyle w:val="Compact"/>
              <w:spacing w:before="0" w:after="0" w:line="240" w:lineRule="auto"/>
            </w:pPr>
            <w:r>
              <w:t>s(temperature\_avg) + s(time\_within\_day\_t) + ti(max\_gust, butterflies\_direct\_sun\_t\_lag)</w:t>
            </w:r>
          </w:p>
        </w:tc>
      </w:tr>
    </w:tbl>
    <w:p>
      <w:pPr>
        <w:pStyle w:val="BodyText"/>
      </w:pPr>
      <w:r>
        <w:t xml:space="preserve">Model M50 was identified as the best-fit model based on Akaike Information Criterion (AIC). Complete model selection statistics and parameter estimates for the best-fit model are reported in the main text.</w:t>
      </w:r>
    </w:p>
    <w:bookmarkEnd w:id="135"/>
    <w:bookmarkStart w:id="136" w:name="Xed22a61abee85d7598ffb35dc5e918fe3dd829e"/>
    <w:p>
      <w:pPr>
        <w:pStyle w:val="Heading1"/>
      </w:pPr>
      <w:r>
        <w:t xml:space="preserve">Threshold Wind Disruption Analysis: Candidate Models</w:t>
      </w:r>
    </w:p>
    <w:p>
      <w:pPr>
        <w:pStyle w:val="FirstParagraph"/>
      </w:pPr>
      <w:r>
        <w:t xml:space="preserve">This appendix documents all candidate models tested in the threshold wind disruption sensitivity analysis. A total of 52 named models were evaluated using a threshold-duration wind metric to compare with the continuous maximum gust approach.</w:t>
      </w:r>
    </w:p>
    <w:p>
      <w:pPr>
        <w:pStyle w:val="BodyText"/>
      </w:pPr>
      <w:r>
        <w:rPr>
          <w:b/>
          <w:bCs/>
        </w:rPr>
        <w:t xml:space="preserve">Model Structure.</w:t>
      </w:r>
      <w:r>
        <w:t xml:space="preserve"> </w:t>
      </w:r>
      <w:r>
        <w:t xml:space="preserve">All models used Generalized Additive Mixed Models (GAMM) with the following structure:</w:t>
      </w:r>
    </w:p>
    <w:p>
      <w:pPr>
        <w:numPr>
          <w:ilvl w:val="0"/>
          <w:numId w:val="1002"/>
        </w:numPr>
      </w:pPr>
      <w:r>
        <w:rPr>
          <w:b/>
          <w:bCs/>
        </w:rPr>
        <w:t xml:space="preserve">Response variable</w:t>
      </w:r>
      <w:r>
        <w:t xml:space="preserve">:</w:t>
      </w:r>
      <w:r>
        <w:t xml:space="preserve"> </w:t>
      </w:r>
      <m:oMath>
        <m:r>
          <m:rPr>
            <m:sty m:val="p"/>
          </m:rPr>
          <m:t>∛</m:t>
        </m:r>
        <m:r>
          <m:rPr>
            <m:sty m:val="p"/>
          </m:rPr>
          <m:t>Δ</m:t>
        </m:r>
        <m:r>
          <m:t>B</m:t>
        </m:r>
        <m:r>
          <m:t>I</m:t>
        </m:r>
      </m:oMath>
      <w:r>
        <w:t xml:space="preserve"> </w:t>
      </w:r>
      <w:r>
        <w:t xml:space="preserve">(cube root of BI change between consecutive 30-minute intervals)</w:t>
      </w:r>
    </w:p>
    <w:p>
      <w:pPr>
        <w:numPr>
          <w:ilvl w:val="0"/>
          <w:numId w:val="1002"/>
        </w:numPr>
      </w:pPr>
      <w:r>
        <w:rPr>
          <w:b/>
          <w:bCs/>
        </w:rPr>
        <w:t xml:space="preserve">Random effects</w:t>
      </w:r>
      <w:r>
        <w:t xml:space="preserve">: Random intercepts for deployment site, observer, and deployment-day</w:t>
      </w:r>
    </w:p>
    <w:p>
      <w:pPr>
        <w:numPr>
          <w:ilvl w:val="0"/>
          <w:numId w:val="1002"/>
        </w:numPr>
      </w:pPr>
      <w:r>
        <w:rPr>
          <w:b/>
          <w:bCs/>
        </w:rPr>
        <w:t xml:space="preserve">Correlation structure</w:t>
      </w:r>
      <w:r>
        <w:t xml:space="preserve">: AR(1) autocorrelation within observation days</w:t>
      </w:r>
    </w:p>
    <w:p>
      <w:pPr>
        <w:numPr>
          <w:ilvl w:val="0"/>
          <w:numId w:val="1002"/>
        </w:numPr>
      </w:pPr>
      <w:r>
        <w:rPr>
          <w:b/>
          <w:bCs/>
        </w:rPr>
        <w:t xml:space="preserve">Estimation method</w:t>
      </w:r>
      <w:r>
        <w:t xml:space="preserve">: Restricted Maximum Likelihood (REML)</w:t>
      </w:r>
    </w:p>
    <w:p>
      <w:pPr>
        <w:pStyle w:val="FirstParagraph"/>
      </w:pPr>
      <w:r>
        <w:rPr>
          <w:b/>
          <w:bCs/>
        </w:rPr>
        <w:t xml:space="preserve">Variable Definitions.</w:t>
      </w:r>
      <w:r>
        <w:t xml:space="preserve"> </w:t>
      </w:r>
      <w:r>
        <w:rPr>
          <w:rStyle w:val="VerbatimChar"/>
        </w:rPr>
        <w:t xml:space="preserve">total_butterflies_t_lag</w:t>
      </w:r>
      <w:r>
        <w:t xml:space="preserve">: Previous butterfly index (lagged);</w:t>
      </w:r>
      <w:r>
        <w:t xml:space="preserve"> </w:t>
      </w:r>
      <w:r>
        <w:rPr>
          <w:rStyle w:val="VerbatimChar"/>
        </w:rPr>
        <w:t xml:space="preserve">minutes_above_threshold</w:t>
      </w:r>
      <w:r>
        <w:t xml:space="preserve">: Minutes with wind speed</w:t>
      </w:r>
      <w:r>
        <w:t xml:space="preserve"> </w:t>
      </w:r>
      <m:oMath>
        <m:r>
          <m:rPr>
            <m:sty m:val="p"/>
          </m:rPr>
          <m:t>≥</m:t>
        </m:r>
      </m:oMath>
      <w:r>
        <w:t xml:space="preserve"> </w:t>
      </w:r>
      <w:r>
        <w:t xml:space="preserve">2 m/s;</w:t>
      </w:r>
      <w:r>
        <w:t xml:space="preserve"> </w:t>
      </w:r>
      <w:r>
        <w:rPr>
          <w:rStyle w:val="VerbatimChar"/>
        </w:rPr>
        <w:t xml:space="preserve">temperature_avg</w:t>
      </w:r>
      <w:r>
        <w:t xml:space="preserve">: Average temperature (</w:t>
      </w:r>
      <m:oMath>
        <m:sSup>
          <m:e>
            <m:r>
              <m:t>​</m:t>
            </m:r>
          </m:e>
          <m:sup>
            <m:r>
              <m:rPr>
                <m:sty m:val="p"/>
              </m:rPr>
              <m:t>∘</m:t>
            </m:r>
          </m:sup>
        </m:sSup>
      </m:oMath>
      <w:r>
        <w:t xml:space="preserve">C);</w:t>
      </w:r>
      <w:r>
        <w:t xml:space="preserve"> </w:t>
      </w:r>
      <w:r>
        <w:rPr>
          <w:rStyle w:val="VerbatimChar"/>
        </w:rPr>
        <w:t xml:space="preserve">butterflies_direct_sun_t_lag</w:t>
      </w:r>
      <w:r>
        <w:t xml:space="preserve">: Butterflies in direct sun (lagged);</w:t>
      </w:r>
      <w:r>
        <w:t xml:space="preserve"> </w:t>
      </w:r>
      <w:r>
        <w:rPr>
          <w:rStyle w:val="VerbatimChar"/>
        </w:rPr>
        <w:t xml:space="preserve">time_within_day_t</w:t>
      </w:r>
      <w:r>
        <w:t xml:space="preserve">: Time since sunrise (hours);</w:t>
      </w:r>
      <w:r>
        <w:t xml:space="preserve"> </w:t>
      </w:r>
      <m:oMath>
        <m:r>
          <m:t>s</m:t>
        </m:r>
        <m:r>
          <m:rPr>
            <m:sty m:val="p"/>
          </m:rPr>
          <m:t>(</m:t>
        </m:r>
        <m:r>
          <m:rPr>
            <m:sty m:val="p"/>
          </m:rPr>
          <m:t>)</m:t>
        </m:r>
      </m:oMath>
      <w:r>
        <w:t xml:space="preserve">: Thin-plate regression spline smooth term;</w:t>
      </w:r>
      <w:r>
        <w:t xml:space="preserve"> </w:t>
      </w:r>
      <m:oMath>
        <m:r>
          <m:t>t</m:t>
        </m:r>
        <m:r>
          <m:t>i</m:t>
        </m:r>
        <m:r>
          <m:rPr>
            <m:sty m:val="p"/>
          </m:rPr>
          <m:t>(</m:t>
        </m:r>
        <m:r>
          <m:rPr>
            <m:sty m:val="p"/>
          </m:rPr>
          <m:t>)</m:t>
        </m:r>
      </m:oMath>
      <w:r>
        <w:t xml:space="preserve">: Tensor product interaction smooth;</w:t>
      </w:r>
      <w:r>
        <w:t xml:space="preserve"> </w:t>
      </w:r>
      <m:oMath>
        <m:r>
          <m:rPr>
            <m:sty m:val="p"/>
          </m:rPr>
          <m:t>*</m:t>
        </m:r>
      </m:oMath>
      <w:r>
        <w:t xml:space="preserve">: Linear interaction term.</w:t>
      </w:r>
    </w:p>
    <w:p>
      <w:pPr>
        <w:pStyle w:val="TableCaption"/>
        <w:keepNext/>
        <w:spacing w:after="80"/>
      </w:pPr>
      <w:r>
        <w:t>Table 9. Complete list of 52 named candidate models tested in threshold wind disruption analysis.</w:t>
      </w:r>
    </w:p>
    <w:tbl>
      <w:tblPr>
        <w:tblStyle w:val="Table"/>
        <w:tblW w:type="dxa" w:w="9270"/>
        <w:jc w:val="left"/>
        <w:tblLayout w:type="fixed"/>
        <w:tblLook w:firstColumn="1" w:firstRow="1" w:lastColumn="0" w:lastRow="0" w:noHBand="0" w:noVBand="1" w:val="04A0"/>
        <w:tblInd w:w="90" w:type="dxa"/>
      </w:tblPr>
      <w:tblGrid>
        <w:gridCol w:w="1150"/>
        <w:gridCol w:w="8120"/>
      </w:tblGrid>
      <w:tr>
        <w:trPr>
          <w:tblHeader w:val="true"/>
        </w:trPr>
        <w:tc>
          <w:tcPr>
            <w:tcW w:type="dxa" w:w="1150"/>
            <w:vAlign w:val="center"/>
            <w:tcMar>
              <w:top w:w="70" w:type="dxa"/>
              <w:start w:w="90" w:type="dxa"/>
              <w:bottom w:w="70" w:type="dxa"/>
              <w:end w:w="90" w:type="dxa"/>
            </w:tcMar>
          </w:tcPr>
          <w:p>
            <w:pPr>
              <w:pStyle w:val="Compact"/>
              <w:spacing w:before="0" w:after="0" w:line="240" w:lineRule="auto"/>
            </w:pPr>
            <w:r>
              <w:rPr>
                <w:b/>
              </w:rPr>
              <w:t>Model</w:t>
            </w:r>
          </w:p>
        </w:tc>
        <w:tc>
          <w:tcPr>
            <w:tcW w:type="dxa" w:w="8120"/>
            <w:vAlign w:val="center"/>
            <w:tcMar>
              <w:top w:w="70" w:type="dxa"/>
              <w:start w:w="90" w:type="dxa"/>
              <w:bottom w:w="70" w:type="dxa"/>
              <w:end w:w="90" w:type="dxa"/>
            </w:tcMar>
          </w:tcPr>
          <w:p>
            <w:pPr>
              <w:pStyle w:val="Compact"/>
              <w:spacing w:before="0" w:after="0" w:line="240" w:lineRule="auto"/>
            </w:pPr>
            <w:r>
              <w:rPr>
                <w:b/>
              </w:rPr>
              <w:t>Formula</w:t>
            </w:r>
          </w:p>
        </w:tc>
      </w:tr>
      <w:tr>
        <w:tc>
          <w:tcPr>
            <w:tcW w:type="dxa" w:w="1150"/>
            <w:vAlign w:val="center"/>
            <w:tcMar>
              <w:top w:w="70" w:type="dxa"/>
              <w:start w:w="90" w:type="dxa"/>
              <w:bottom w:w="70" w:type="dxa"/>
              <w:end w:w="90" w:type="dxa"/>
            </w:tcMar>
          </w:tcPr>
          <w:p>
            <w:pPr>
              <w:pStyle w:val="Compact"/>
              <w:spacing w:before="0" w:after="0" w:line="240" w:lineRule="auto"/>
            </w:pPr>
            <w:r>
              <w:t>Model</w:t>
            </w:r>
          </w:p>
        </w:tc>
        <w:tc>
          <w:tcPr>
            <w:tcW w:type="dxa" w:w="8120"/>
            <w:vAlign w:val="center"/>
            <w:tcMar>
              <w:top w:w="70" w:type="dxa"/>
              <w:start w:w="90" w:type="dxa"/>
              <w:bottom w:w="70" w:type="dxa"/>
              <w:end w:w="90" w:type="dxa"/>
            </w:tcMar>
          </w:tcPr>
          <w:p>
            <w:pPr>
              <w:pStyle w:val="Compact"/>
              <w:spacing w:before="0" w:after="0" w:line="240" w:lineRule="auto"/>
            </w:pPr>
            <w:r>
              <w:t>Formula</w:t>
            </w:r>
          </w:p>
        </w:tc>
      </w:tr>
      <w:tr>
        <w:tc>
          <w:tcPr>
            <w:tcW w:type="dxa" w:w="1150"/>
            <w:vAlign w:val="center"/>
            <w:tcMar>
              <w:top w:w="70" w:type="dxa"/>
              <w:start w:w="90" w:type="dxa"/>
              <w:bottom w:w="70" w:type="dxa"/>
              <w:end w:w="90" w:type="dxa"/>
            </w:tcMar>
          </w:tcPr>
          <w:p>
            <w:pPr>
              <w:pStyle w:val="Compact"/>
              <w:spacing w:before="0" w:after="0" w:line="240" w:lineRule="auto"/>
            </w:pPr>
            <w:r>
              <w:t>T1</w:t>
            </w:r>
          </w:p>
        </w:tc>
        <w:tc>
          <w:tcPr>
            <w:tcW w:type="dxa" w:w="8120"/>
            <w:vAlign w:val="center"/>
            <w:tcMar>
              <w:top w:w="70" w:type="dxa"/>
              <w:start w:w="90" w:type="dxa"/>
              <w:bottom w:w="70" w:type="dxa"/>
              <w:end w:w="90" w:type="dxa"/>
            </w:tcMar>
          </w:tcPr>
          <w:p>
            <w:pPr>
              <w:pStyle w:val="Compact"/>
              <w:spacing w:before="0" w:after="0" w:line="240" w:lineRule="auto"/>
            </w:pPr>
            <w:r>
              <w:t>total\_butterflies\_t\_lag</w:t>
            </w:r>
          </w:p>
        </w:tc>
      </w:tr>
      <w:tr>
        <w:tc>
          <w:tcPr>
            <w:tcW w:type="dxa" w:w="1150"/>
            <w:vAlign w:val="center"/>
            <w:tcMar>
              <w:top w:w="70" w:type="dxa"/>
              <w:start w:w="90" w:type="dxa"/>
              <w:bottom w:w="70" w:type="dxa"/>
              <w:end w:w="90" w:type="dxa"/>
            </w:tcMar>
          </w:tcPr>
          <w:p>
            <w:pPr>
              <w:pStyle w:val="Compact"/>
              <w:spacing w:before="0" w:after="0" w:line="240" w:lineRule="auto"/>
            </w:pPr>
            <w:r>
              <w:t>T2</w:t>
            </w:r>
          </w:p>
        </w:tc>
        <w:tc>
          <w:tcPr>
            <w:tcW w:type="dxa" w:w="8120"/>
            <w:vAlign w:val="center"/>
            <w:tcMar>
              <w:top w:w="70" w:type="dxa"/>
              <w:start w:w="90" w:type="dxa"/>
              <w:bottom w:w="70" w:type="dxa"/>
              <w:end w:w="90" w:type="dxa"/>
            </w:tcMar>
          </w:tcPr>
          <w:p>
            <w:pPr>
              <w:pStyle w:val="Compact"/>
              <w:spacing w:before="0" w:after="0" w:line="240" w:lineRule="auto"/>
            </w:pPr>
            <w:r>
              <w:t>total\_butterflies\_t\_lag + minutes\_above\_threshold</w:t>
            </w:r>
          </w:p>
        </w:tc>
      </w:tr>
      <w:tr>
        <w:tc>
          <w:tcPr>
            <w:tcW w:type="dxa" w:w="1150"/>
            <w:vAlign w:val="center"/>
            <w:tcMar>
              <w:top w:w="70" w:type="dxa"/>
              <w:start w:w="90" w:type="dxa"/>
              <w:bottom w:w="70" w:type="dxa"/>
              <w:end w:w="90" w:type="dxa"/>
            </w:tcMar>
          </w:tcPr>
          <w:p>
            <w:pPr>
              <w:pStyle w:val="Compact"/>
              <w:spacing w:before="0" w:after="0" w:line="240" w:lineRule="auto"/>
            </w:pPr>
            <w:r>
              <w:t>T3</w:t>
            </w:r>
          </w:p>
        </w:tc>
        <w:tc>
          <w:tcPr>
            <w:tcW w:type="dxa" w:w="8120"/>
            <w:vAlign w:val="center"/>
            <w:tcMar>
              <w:top w:w="70" w:type="dxa"/>
              <w:start w:w="90" w:type="dxa"/>
              <w:bottom w:w="70" w:type="dxa"/>
              <w:end w:w="90" w:type="dxa"/>
            </w:tcMar>
          </w:tcPr>
          <w:p>
            <w:pPr>
              <w:pStyle w:val="Compact"/>
              <w:spacing w:before="0" w:after="0" w:line="240" w:lineRule="auto"/>
            </w:pPr>
            <w:r>
              <w:t>total\_butterflies\_t\_lag + temperature\_avg</w:t>
            </w:r>
          </w:p>
        </w:tc>
      </w:tr>
      <w:tr>
        <w:tc>
          <w:tcPr>
            <w:tcW w:type="dxa" w:w="1150"/>
            <w:vAlign w:val="center"/>
            <w:tcMar>
              <w:top w:w="70" w:type="dxa"/>
              <w:start w:w="90" w:type="dxa"/>
              <w:bottom w:w="70" w:type="dxa"/>
              <w:end w:w="90" w:type="dxa"/>
            </w:tcMar>
          </w:tcPr>
          <w:p>
            <w:pPr>
              <w:pStyle w:val="Compact"/>
              <w:spacing w:before="0" w:after="0" w:line="240" w:lineRule="auto"/>
            </w:pPr>
            <w:r>
              <w:t>T4</w:t>
            </w:r>
          </w:p>
        </w:tc>
        <w:tc>
          <w:tcPr>
            <w:tcW w:type="dxa" w:w="8120"/>
            <w:vAlign w:val="center"/>
            <w:tcMar>
              <w:top w:w="70" w:type="dxa"/>
              <w:start w:w="90" w:type="dxa"/>
              <w:bottom w:w="70" w:type="dxa"/>
              <w:end w:w="90" w:type="dxa"/>
            </w:tcMar>
          </w:tcPr>
          <w:p>
            <w:pPr>
              <w:pStyle w:val="Compact"/>
              <w:spacing w:before="0" w:after="0" w:line="240" w:lineRule="auto"/>
            </w:pPr>
            <w:r>
              <w:t>total\_butterflies\_t\_lag +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T5</w:t>
            </w:r>
          </w:p>
        </w:tc>
        <w:tc>
          <w:tcPr>
            <w:tcW w:type="dxa" w:w="8120"/>
            <w:vAlign w:val="center"/>
            <w:tcMar>
              <w:top w:w="70" w:type="dxa"/>
              <w:start w:w="90" w:type="dxa"/>
              <w:bottom w:w="70" w:type="dxa"/>
              <w:end w:w="90" w:type="dxa"/>
            </w:tcMar>
          </w:tcPr>
          <w:p>
            <w:pPr>
              <w:pStyle w:val="Compact"/>
              <w:spacing w:before="0" w:after="0" w:line="240" w:lineRule="auto"/>
            </w:pPr>
            <w:r>
              <w:t>total\_butterflies\_t\_lag + minutes\_above\_threshold + temperature\_avg</w:t>
            </w:r>
          </w:p>
        </w:tc>
      </w:tr>
      <w:tr>
        <w:tc>
          <w:tcPr>
            <w:tcW w:type="dxa" w:w="1150"/>
            <w:vAlign w:val="center"/>
            <w:tcMar>
              <w:top w:w="70" w:type="dxa"/>
              <w:start w:w="90" w:type="dxa"/>
              <w:bottom w:w="70" w:type="dxa"/>
              <w:end w:w="90" w:type="dxa"/>
            </w:tcMar>
          </w:tcPr>
          <w:p>
            <w:pPr>
              <w:pStyle w:val="Compact"/>
              <w:spacing w:before="0" w:after="0" w:line="240" w:lineRule="auto"/>
            </w:pPr>
            <w:r>
              <w:t>T6</w:t>
            </w:r>
          </w:p>
        </w:tc>
        <w:tc>
          <w:tcPr>
            <w:tcW w:type="dxa" w:w="8120"/>
            <w:vAlign w:val="center"/>
            <w:tcMar>
              <w:top w:w="70" w:type="dxa"/>
              <w:start w:w="90" w:type="dxa"/>
              <w:bottom w:w="70" w:type="dxa"/>
              <w:end w:w="90" w:type="dxa"/>
            </w:tcMar>
          </w:tcPr>
          <w:p>
            <w:pPr>
              <w:pStyle w:val="Compact"/>
              <w:spacing w:before="0" w:after="0" w:line="240" w:lineRule="auto"/>
            </w:pPr>
            <w:r>
              <w:t>total\_butterflies\_t\_lag + minutes\_above\_threshold +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T7</w:t>
            </w:r>
          </w:p>
        </w:tc>
        <w:tc>
          <w:tcPr>
            <w:tcW w:type="dxa" w:w="8120"/>
            <w:vAlign w:val="center"/>
            <w:tcMar>
              <w:top w:w="70" w:type="dxa"/>
              <w:start w:w="90" w:type="dxa"/>
              <w:bottom w:w="70" w:type="dxa"/>
              <w:end w:w="90" w:type="dxa"/>
            </w:tcMar>
          </w:tcPr>
          <w:p>
            <w:pPr>
              <w:pStyle w:val="Compact"/>
              <w:spacing w:before="0" w:after="0" w:line="240" w:lineRule="auto"/>
            </w:pPr>
            <w:r>
              <w:t>total\_butterflies\_t\_lag + temperature\_avg +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T8</w:t>
            </w:r>
          </w:p>
        </w:tc>
        <w:tc>
          <w:tcPr>
            <w:tcW w:type="dxa" w:w="8120"/>
            <w:vAlign w:val="center"/>
            <w:tcMar>
              <w:top w:w="70" w:type="dxa"/>
              <w:start w:w="90" w:type="dxa"/>
              <w:bottom w:w="70" w:type="dxa"/>
              <w:end w:w="90" w:type="dxa"/>
            </w:tcMar>
          </w:tcPr>
          <w:p>
            <w:pPr>
              <w:pStyle w:val="Compact"/>
              <w:spacing w:before="0" w:after="0" w:line="240" w:lineRule="auto"/>
            </w:pPr>
            <w:r>
              <w:t>total\_butterflies\_t\_lag + minutes\_above\_threshold + temperature\_avg +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T9</w:t>
            </w:r>
          </w:p>
        </w:tc>
        <w:tc>
          <w:tcPr>
            <w:tcW w:type="dxa" w:w="8120"/>
            <w:vAlign w:val="center"/>
            <w:tcMar>
              <w:top w:w="70" w:type="dxa"/>
              <w:start w:w="90" w:type="dxa"/>
              <w:bottom w:w="70" w:type="dxa"/>
              <w:end w:w="90" w:type="dxa"/>
            </w:tcMar>
          </w:tcPr>
          <w:p>
            <w:pPr>
              <w:pStyle w:val="Compact"/>
              <w:spacing w:before="0" w:after="0" w:line="240" w:lineRule="auto"/>
            </w:pPr>
            <w:r>
              <w:t>total\_butterflies\_t\_lag + minutes\_above\_threshold * temperature\_avg</w:t>
            </w:r>
          </w:p>
        </w:tc>
      </w:tr>
      <w:tr>
        <w:tc>
          <w:tcPr>
            <w:tcW w:type="dxa" w:w="1150"/>
            <w:vAlign w:val="center"/>
            <w:tcMar>
              <w:top w:w="70" w:type="dxa"/>
              <w:start w:w="90" w:type="dxa"/>
              <w:bottom w:w="70" w:type="dxa"/>
              <w:end w:w="90" w:type="dxa"/>
            </w:tcMar>
          </w:tcPr>
          <w:p>
            <w:pPr>
              <w:pStyle w:val="Compact"/>
              <w:spacing w:before="0" w:after="0" w:line="240" w:lineRule="auto"/>
            </w:pPr>
            <w:r>
              <w:t>T10</w:t>
            </w:r>
          </w:p>
        </w:tc>
        <w:tc>
          <w:tcPr>
            <w:tcW w:type="dxa" w:w="8120"/>
            <w:vAlign w:val="center"/>
            <w:tcMar>
              <w:top w:w="70" w:type="dxa"/>
              <w:start w:w="90" w:type="dxa"/>
              <w:bottom w:w="70" w:type="dxa"/>
              <w:end w:w="90" w:type="dxa"/>
            </w:tcMar>
          </w:tcPr>
          <w:p>
            <w:pPr>
              <w:pStyle w:val="Compact"/>
              <w:spacing w:before="0" w:after="0" w:line="240" w:lineRule="auto"/>
            </w:pPr>
            <w:r>
              <w:t>total\_butterflies\_t\_lag + minutes\_above\_threshold *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T11</w:t>
            </w:r>
          </w:p>
        </w:tc>
        <w:tc>
          <w:tcPr>
            <w:tcW w:type="dxa" w:w="8120"/>
            <w:vAlign w:val="center"/>
            <w:tcMar>
              <w:top w:w="70" w:type="dxa"/>
              <w:start w:w="90" w:type="dxa"/>
              <w:bottom w:w="70" w:type="dxa"/>
              <w:end w:w="90" w:type="dxa"/>
            </w:tcMar>
          </w:tcPr>
          <w:p>
            <w:pPr>
              <w:pStyle w:val="Compact"/>
              <w:spacing w:before="0" w:after="0" w:line="240" w:lineRule="auto"/>
            </w:pPr>
            <w:r>
              <w:t>total\_butterflies\_t\_lag + temperature\_avg *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T12</w:t>
            </w:r>
          </w:p>
        </w:tc>
        <w:tc>
          <w:tcPr>
            <w:tcW w:type="dxa" w:w="8120"/>
            <w:vAlign w:val="center"/>
            <w:tcMar>
              <w:top w:w="70" w:type="dxa"/>
              <w:start w:w="90" w:type="dxa"/>
              <w:bottom w:w="70" w:type="dxa"/>
              <w:end w:w="90" w:type="dxa"/>
            </w:tcMar>
          </w:tcPr>
          <w:p>
            <w:pPr>
              <w:pStyle w:val="Compact"/>
              <w:spacing w:before="0" w:after="0" w:line="240" w:lineRule="auto"/>
            </w:pPr>
            <w:r>
              <w:t>total\_butterflies\_t\_lag + minutes\_above\_threshold * temperature\_avg +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T13</w:t>
            </w:r>
          </w:p>
        </w:tc>
        <w:tc>
          <w:tcPr>
            <w:tcW w:type="dxa" w:w="8120"/>
            <w:vAlign w:val="center"/>
            <w:tcMar>
              <w:top w:w="70" w:type="dxa"/>
              <w:start w:w="90" w:type="dxa"/>
              <w:bottom w:w="70" w:type="dxa"/>
              <w:end w:w="90" w:type="dxa"/>
            </w:tcMar>
          </w:tcPr>
          <w:p>
            <w:pPr>
              <w:pStyle w:val="Compact"/>
              <w:spacing w:before="0" w:after="0" w:line="240" w:lineRule="auto"/>
            </w:pPr>
            <w:r>
              <w:t>total\_butterflies\_t\_lag + minutes\_above\_threshold * butterflies\_direct\_sun\_t\_lag + temperature\_avg</w:t>
            </w:r>
          </w:p>
        </w:tc>
      </w:tr>
      <w:tr>
        <w:tc>
          <w:tcPr>
            <w:tcW w:type="dxa" w:w="1150"/>
            <w:vAlign w:val="center"/>
            <w:tcMar>
              <w:top w:w="70" w:type="dxa"/>
              <w:start w:w="90" w:type="dxa"/>
              <w:bottom w:w="70" w:type="dxa"/>
              <w:end w:w="90" w:type="dxa"/>
            </w:tcMar>
          </w:tcPr>
          <w:p>
            <w:pPr>
              <w:pStyle w:val="Compact"/>
              <w:spacing w:before="0" w:after="0" w:line="240" w:lineRule="auto"/>
            </w:pPr>
            <w:r>
              <w:t>T14</w:t>
            </w:r>
          </w:p>
        </w:tc>
        <w:tc>
          <w:tcPr>
            <w:tcW w:type="dxa" w:w="8120"/>
            <w:vAlign w:val="center"/>
            <w:tcMar>
              <w:top w:w="70" w:type="dxa"/>
              <w:start w:w="90" w:type="dxa"/>
              <w:bottom w:w="70" w:type="dxa"/>
              <w:end w:w="90" w:type="dxa"/>
            </w:tcMar>
          </w:tcPr>
          <w:p>
            <w:pPr>
              <w:pStyle w:val="Compact"/>
              <w:spacing w:before="0" w:after="0" w:line="240" w:lineRule="auto"/>
            </w:pPr>
            <w:r>
              <w:t>total\_butterflies\_t\_lag + temperature\_avg * butterflies\_direct\_sun\_t\_lag + minutes\_above\_threshold</w:t>
            </w:r>
          </w:p>
        </w:tc>
      </w:tr>
      <w:tr>
        <w:tc>
          <w:tcPr>
            <w:tcW w:type="dxa" w:w="1150"/>
            <w:vAlign w:val="center"/>
            <w:tcMar>
              <w:top w:w="70" w:type="dxa"/>
              <w:start w:w="90" w:type="dxa"/>
              <w:bottom w:w="70" w:type="dxa"/>
              <w:end w:w="90" w:type="dxa"/>
            </w:tcMar>
          </w:tcPr>
          <w:p>
            <w:pPr>
              <w:pStyle w:val="Compact"/>
              <w:spacing w:before="0" w:after="0" w:line="240" w:lineRule="auto"/>
            </w:pPr>
            <w:r>
              <w:t>T15</w:t>
            </w:r>
          </w:p>
        </w:tc>
        <w:tc>
          <w:tcPr>
            <w:tcW w:type="dxa" w:w="8120"/>
            <w:vAlign w:val="center"/>
            <w:tcMar>
              <w:top w:w="70" w:type="dxa"/>
              <w:start w:w="90" w:type="dxa"/>
              <w:bottom w:w="70" w:type="dxa"/>
              <w:end w:w="90" w:type="dxa"/>
            </w:tcMar>
          </w:tcPr>
          <w:p>
            <w:pPr>
              <w:pStyle w:val="Compact"/>
              <w:spacing w:before="0" w:after="0" w:line="240" w:lineRule="auto"/>
            </w:pPr>
            <w:r>
              <w:t>total\_butterflies\_t\_lag + all two-way interactions</w:t>
            </w:r>
          </w:p>
        </w:tc>
      </w:tr>
      <w:tr>
        <w:tc>
          <w:tcPr>
            <w:tcW w:type="dxa" w:w="1150"/>
            <w:vAlign w:val="center"/>
            <w:tcMar>
              <w:top w:w="70" w:type="dxa"/>
              <w:start w:w="90" w:type="dxa"/>
              <w:bottom w:w="70" w:type="dxa"/>
              <w:end w:w="90" w:type="dxa"/>
            </w:tcMar>
          </w:tcPr>
          <w:p>
            <w:pPr>
              <w:pStyle w:val="Compact"/>
              <w:spacing w:before="0" w:after="0" w:line="240" w:lineRule="auto"/>
            </w:pPr>
            <w:r>
              <w:t>T16</w:t>
            </w:r>
          </w:p>
        </w:tc>
        <w:tc>
          <w:tcPr>
            <w:tcW w:type="dxa" w:w="8120"/>
            <w:vAlign w:val="center"/>
            <w:tcMar>
              <w:top w:w="70" w:type="dxa"/>
              <w:start w:w="90" w:type="dxa"/>
              <w:bottom w:w="70" w:type="dxa"/>
              <w:end w:w="90" w:type="dxa"/>
            </w:tcMar>
          </w:tcPr>
          <w:p>
            <w:pPr>
              <w:pStyle w:val="Compact"/>
              <w:spacing w:before="0" w:after="0" w:line="240" w:lineRule="auto"/>
            </w:pPr>
            <w:r>
              <w:t>total\_butterflies\_t\_lag + minutes\_above\_threshold * temperature\_avg *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T17</w:t>
            </w:r>
          </w:p>
        </w:tc>
        <w:tc>
          <w:tcPr>
            <w:tcW w:type="dxa" w:w="8120"/>
            <w:vAlign w:val="center"/>
            <w:tcMar>
              <w:top w:w="70" w:type="dxa"/>
              <w:start w:w="90" w:type="dxa"/>
              <w:bottom w:w="70" w:type="dxa"/>
              <w:end w:w="90" w:type="dxa"/>
            </w:tcMar>
          </w:tcPr>
          <w:p>
            <w:pPr>
              <w:pStyle w:val="Compact"/>
              <w:spacing w:before="0" w:after="0" w:line="240" w:lineRule="auto"/>
            </w:pPr>
            <w:r>
              <w:t>s(total\_butterflies\_t\_lag) + s(temperature\_avg) + s(butterflies\_direct\_sun\_t\_lag)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T18</w:t>
            </w:r>
          </w:p>
        </w:tc>
        <w:tc>
          <w:tcPr>
            <w:tcW w:type="dxa" w:w="8120"/>
            <w:vAlign w:val="center"/>
            <w:tcMar>
              <w:top w:w="70" w:type="dxa"/>
              <w:start w:w="90" w:type="dxa"/>
              <w:bottom w:w="70" w:type="dxa"/>
              <w:end w:w="90" w:type="dxa"/>
            </w:tcMar>
          </w:tcPr>
          <w:p>
            <w:pPr>
              <w:pStyle w:val="Compact"/>
              <w:spacing w:before="0" w:after="0" w:line="240" w:lineRule="auto"/>
            </w:pPr>
            <w:r>
              <w:t>s(total\_butterflies\_t\_lag) + temperature\_avg + s(butterflies\_direct\_sun\_t\_lag)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T19</w:t>
            </w:r>
          </w:p>
        </w:tc>
        <w:tc>
          <w:tcPr>
            <w:tcW w:type="dxa" w:w="8120"/>
            <w:vAlign w:val="center"/>
            <w:tcMar>
              <w:top w:w="70" w:type="dxa"/>
              <w:start w:w="90" w:type="dxa"/>
              <w:bottom w:w="70" w:type="dxa"/>
              <w:end w:w="90" w:type="dxa"/>
            </w:tcMar>
          </w:tcPr>
          <w:p>
            <w:pPr>
              <w:pStyle w:val="Compact"/>
              <w:spacing w:before="0" w:after="0" w:line="240" w:lineRule="auto"/>
            </w:pPr>
            <w:r>
              <w:t>s(total\_butterflies\_t\_lag) + s(minutes\_above\_threshold) + temperature\_avg + s(butterflies\_direct\_sun\_t\_lag)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T20</w:t>
            </w:r>
          </w:p>
        </w:tc>
        <w:tc>
          <w:tcPr>
            <w:tcW w:type="dxa" w:w="8120"/>
            <w:vAlign w:val="center"/>
            <w:tcMar>
              <w:top w:w="70" w:type="dxa"/>
              <w:start w:w="90" w:type="dxa"/>
              <w:bottom w:w="70" w:type="dxa"/>
              <w:end w:w="90" w:type="dxa"/>
            </w:tcMar>
          </w:tcPr>
          <w:p>
            <w:pPr>
              <w:pStyle w:val="Compact"/>
              <w:spacing w:before="0" w:after="0" w:line="240" w:lineRule="auto"/>
            </w:pPr>
            <w:r>
              <w:t>s(total\_butterflies\_t\_lag) + s(temperature\_avg) + s(butterflies\_direct\_sun\_t\_lag)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T21</w:t>
            </w:r>
          </w:p>
        </w:tc>
        <w:tc>
          <w:tcPr>
            <w:tcW w:type="dxa" w:w="8120"/>
            <w:vAlign w:val="center"/>
            <w:tcMar>
              <w:top w:w="70" w:type="dxa"/>
              <w:start w:w="90" w:type="dxa"/>
              <w:bottom w:w="70" w:type="dxa"/>
              <w:end w:w="90" w:type="dxa"/>
            </w:tcMar>
          </w:tcPr>
          <w:p>
            <w:pPr>
              <w:pStyle w:val="Compact"/>
              <w:spacing w:before="0" w:after="0" w:line="240" w:lineRule="auto"/>
            </w:pPr>
            <w:r>
              <w:t>s(total\_butterflies\_t\_lag) + s(minutes\_above\_threshold) + s(temperature\_avg) + s(butterflies\_direct\_sun\_t\_lag)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T22</w:t>
            </w:r>
          </w:p>
        </w:tc>
        <w:tc>
          <w:tcPr>
            <w:tcW w:type="dxa" w:w="8120"/>
            <w:vAlign w:val="center"/>
            <w:tcMar>
              <w:top w:w="70" w:type="dxa"/>
              <w:start w:w="90" w:type="dxa"/>
              <w:bottom w:w="70" w:type="dxa"/>
              <w:end w:w="90" w:type="dxa"/>
            </w:tcMar>
          </w:tcPr>
          <w:p>
            <w:pPr>
              <w:pStyle w:val="Compact"/>
              <w:spacing w:before="0" w:after="0" w:line="240" w:lineRule="auto"/>
            </w:pPr>
            <w:r>
              <w:t>s(total\_butterflies\_t\_lag) + temperature\_avg + s(butterflies\_direct\_sun\_t\_lag) + s(time\_within\_day\_t)</w:t>
            </w:r>
          </w:p>
        </w:tc>
      </w:tr>
      <w:tr>
        <w:tc>
          <w:tcPr>
            <w:tcW w:type="dxa" w:w="1150"/>
            <w:vAlign w:val="center"/>
            <w:tcMar>
              <w:top w:w="70" w:type="dxa"/>
              <w:start w:w="90" w:type="dxa"/>
              <w:bottom w:w="70" w:type="dxa"/>
              <w:end w:w="90" w:type="dxa"/>
            </w:tcMar>
          </w:tcPr>
          <w:p>
            <w:pPr>
              <w:pStyle w:val="Compact"/>
              <w:spacing w:before="0" w:after="0" w:line="240" w:lineRule="auto"/>
            </w:pPr>
            <w:r>
              <w:t>T23</w:t>
            </w:r>
          </w:p>
        </w:tc>
        <w:tc>
          <w:tcPr>
            <w:tcW w:type="dxa" w:w="8120"/>
            <w:vAlign w:val="center"/>
            <w:tcMar>
              <w:top w:w="70" w:type="dxa"/>
              <w:start w:w="90" w:type="dxa"/>
              <w:bottom w:w="70" w:type="dxa"/>
              <w:end w:w="90" w:type="dxa"/>
            </w:tcMar>
          </w:tcPr>
          <w:p>
            <w:pPr>
              <w:pStyle w:val="Compact"/>
              <w:spacing w:before="0" w:after="0" w:line="240" w:lineRule="auto"/>
            </w:pPr>
            <w:r>
              <w:t>s(total\_butterflies\_t\_lag) + s(temperature\_avg) + s(butterflies\_direct\_sun\_t\_lag) + s(time\_within\_day\_t)</w:t>
            </w:r>
          </w:p>
        </w:tc>
      </w:tr>
      <w:tr>
        <w:tc>
          <w:tcPr>
            <w:tcW w:type="dxa" w:w="1150"/>
            <w:vAlign w:val="center"/>
            <w:tcMar>
              <w:top w:w="70" w:type="dxa"/>
              <w:start w:w="90" w:type="dxa"/>
              <w:bottom w:w="70" w:type="dxa"/>
              <w:end w:w="90" w:type="dxa"/>
            </w:tcMar>
          </w:tcPr>
          <w:p>
            <w:pPr>
              <w:pStyle w:val="Compact"/>
              <w:spacing w:before="0" w:after="0" w:line="240" w:lineRule="auto"/>
            </w:pPr>
            <w:r>
              <w:t>T24</w:t>
            </w:r>
          </w:p>
        </w:tc>
        <w:tc>
          <w:tcPr>
            <w:tcW w:type="dxa" w:w="8120"/>
            <w:vAlign w:val="center"/>
            <w:tcMar>
              <w:top w:w="70" w:type="dxa"/>
              <w:start w:w="90" w:type="dxa"/>
              <w:bottom w:w="70" w:type="dxa"/>
              <w:end w:w="90" w:type="dxa"/>
            </w:tcMar>
          </w:tcPr>
          <w:p>
            <w:pPr>
              <w:pStyle w:val="Compact"/>
              <w:spacing w:before="0" w:after="0" w:line="240" w:lineRule="auto"/>
            </w:pPr>
            <w:r>
              <w:t>s(total\_butterflies\_t\_lag) + s(minutes\_above\_threshold) + s(temperature\_avg) + s(butterflies\_direct\_sun\_t\_lag) + s(time\_within\_day\_t)</w:t>
            </w:r>
          </w:p>
        </w:tc>
      </w:tr>
      <w:tr>
        <w:tc>
          <w:tcPr>
            <w:tcW w:type="dxa" w:w="1150"/>
            <w:vAlign w:val="center"/>
            <w:tcMar>
              <w:top w:w="70" w:type="dxa"/>
              <w:start w:w="90" w:type="dxa"/>
              <w:bottom w:w="70" w:type="dxa"/>
              <w:end w:w="90" w:type="dxa"/>
            </w:tcMar>
          </w:tcPr>
          <w:p>
            <w:pPr>
              <w:pStyle w:val="Compact"/>
              <w:spacing w:before="0" w:after="0" w:line="240" w:lineRule="auto"/>
            </w:pPr>
            <w:r>
              <w:t>T25</w:t>
            </w:r>
          </w:p>
        </w:tc>
        <w:tc>
          <w:tcPr>
            <w:tcW w:type="dxa" w:w="8120"/>
            <w:vAlign w:val="center"/>
            <w:tcMar>
              <w:top w:w="70" w:type="dxa"/>
              <w:start w:w="90" w:type="dxa"/>
              <w:bottom w:w="70" w:type="dxa"/>
              <w:end w:w="90" w:type="dxa"/>
            </w:tcMar>
          </w:tcPr>
          <w:p>
            <w:pPr>
              <w:pStyle w:val="Compact"/>
              <w:spacing w:before="0" w:after="0" w:line="240" w:lineRule="auto"/>
            </w:pPr>
            <w:r>
              <w:t>(intercept only)</w:t>
            </w:r>
          </w:p>
        </w:tc>
      </w:tr>
      <w:tr>
        <w:tc>
          <w:tcPr>
            <w:tcW w:type="dxa" w:w="1150"/>
            <w:vAlign w:val="center"/>
            <w:tcMar>
              <w:top w:w="70" w:type="dxa"/>
              <w:start w:w="90" w:type="dxa"/>
              <w:bottom w:w="70" w:type="dxa"/>
              <w:end w:w="90" w:type="dxa"/>
            </w:tcMar>
          </w:tcPr>
          <w:p>
            <w:pPr>
              <w:pStyle w:val="Compact"/>
              <w:spacing w:before="0" w:after="0" w:line="240" w:lineRule="auto"/>
            </w:pPr>
            <w:r>
              <w:t>T26</w:t>
            </w:r>
          </w:p>
        </w:tc>
        <w:tc>
          <w:tcPr>
            <w:tcW w:type="dxa" w:w="8120"/>
            <w:vAlign w:val="center"/>
            <w:tcMar>
              <w:top w:w="70" w:type="dxa"/>
              <w:start w:w="90" w:type="dxa"/>
              <w:bottom w:w="70" w:type="dxa"/>
              <w:end w:w="90" w:type="dxa"/>
            </w:tcMar>
          </w:tcPr>
          <w:p>
            <w:pPr>
              <w:pStyle w:val="Compact"/>
              <w:spacing w:before="0" w:after="0" w:line="240" w:lineRule="auto"/>
            </w:pPr>
            <w:r>
              <w:t>minutes\_above\_threshold</w:t>
            </w:r>
          </w:p>
        </w:tc>
      </w:tr>
      <w:tr>
        <w:tc>
          <w:tcPr>
            <w:tcW w:type="dxa" w:w="1150"/>
            <w:vAlign w:val="center"/>
            <w:tcMar>
              <w:top w:w="70" w:type="dxa"/>
              <w:start w:w="90" w:type="dxa"/>
              <w:bottom w:w="70" w:type="dxa"/>
              <w:end w:w="90" w:type="dxa"/>
            </w:tcMar>
          </w:tcPr>
          <w:p>
            <w:pPr>
              <w:pStyle w:val="Compact"/>
              <w:spacing w:before="0" w:after="0" w:line="240" w:lineRule="auto"/>
            </w:pPr>
            <w:r>
              <w:t>T27</w:t>
            </w:r>
          </w:p>
        </w:tc>
        <w:tc>
          <w:tcPr>
            <w:tcW w:type="dxa" w:w="8120"/>
            <w:vAlign w:val="center"/>
            <w:tcMar>
              <w:top w:w="70" w:type="dxa"/>
              <w:start w:w="90" w:type="dxa"/>
              <w:bottom w:w="70" w:type="dxa"/>
              <w:end w:w="90" w:type="dxa"/>
            </w:tcMar>
          </w:tcPr>
          <w:p>
            <w:pPr>
              <w:pStyle w:val="Compact"/>
              <w:spacing w:before="0" w:after="0" w:line="240" w:lineRule="auto"/>
            </w:pPr>
            <w:r>
              <w:t>temperature\_avg</w:t>
            </w:r>
          </w:p>
        </w:tc>
      </w:tr>
      <w:tr>
        <w:tc>
          <w:tcPr>
            <w:tcW w:type="dxa" w:w="1150"/>
            <w:vAlign w:val="center"/>
            <w:tcMar>
              <w:top w:w="70" w:type="dxa"/>
              <w:start w:w="90" w:type="dxa"/>
              <w:bottom w:w="70" w:type="dxa"/>
              <w:end w:w="90" w:type="dxa"/>
            </w:tcMar>
          </w:tcPr>
          <w:p>
            <w:pPr>
              <w:pStyle w:val="Compact"/>
              <w:spacing w:before="0" w:after="0" w:line="240" w:lineRule="auto"/>
            </w:pPr>
            <w:r>
              <w:t>T28</w:t>
            </w:r>
          </w:p>
        </w:tc>
        <w:tc>
          <w:tcPr>
            <w:tcW w:type="dxa" w:w="8120"/>
            <w:vAlign w:val="center"/>
            <w:tcMar>
              <w:top w:w="70" w:type="dxa"/>
              <w:start w:w="90" w:type="dxa"/>
              <w:bottom w:w="70" w:type="dxa"/>
              <w:end w:w="90" w:type="dxa"/>
            </w:tcMar>
          </w:tcPr>
          <w:p>
            <w:pPr>
              <w:pStyle w:val="Compact"/>
              <w:spacing w:before="0" w:after="0" w:line="240" w:lineRule="auto"/>
            </w:pPr>
            <w:r>
              <w:t>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T29</w:t>
            </w:r>
          </w:p>
        </w:tc>
        <w:tc>
          <w:tcPr>
            <w:tcW w:type="dxa" w:w="8120"/>
            <w:vAlign w:val="center"/>
            <w:tcMar>
              <w:top w:w="70" w:type="dxa"/>
              <w:start w:w="90" w:type="dxa"/>
              <w:bottom w:w="70" w:type="dxa"/>
              <w:end w:w="90" w:type="dxa"/>
            </w:tcMar>
          </w:tcPr>
          <w:p>
            <w:pPr>
              <w:pStyle w:val="Compact"/>
              <w:spacing w:before="0" w:after="0" w:line="240" w:lineRule="auto"/>
            </w:pPr>
            <w:r>
              <w:t>minutes\_above\_threshold + temperature\_avg</w:t>
            </w:r>
          </w:p>
        </w:tc>
      </w:tr>
      <w:tr>
        <w:tc>
          <w:tcPr>
            <w:tcW w:type="dxa" w:w="1150"/>
            <w:vAlign w:val="center"/>
            <w:tcMar>
              <w:top w:w="70" w:type="dxa"/>
              <w:start w:w="90" w:type="dxa"/>
              <w:bottom w:w="70" w:type="dxa"/>
              <w:end w:w="90" w:type="dxa"/>
            </w:tcMar>
          </w:tcPr>
          <w:p>
            <w:pPr>
              <w:pStyle w:val="Compact"/>
              <w:spacing w:before="0" w:after="0" w:line="240" w:lineRule="auto"/>
            </w:pPr>
            <w:r>
              <w:t>T30</w:t>
            </w:r>
          </w:p>
        </w:tc>
        <w:tc>
          <w:tcPr>
            <w:tcW w:type="dxa" w:w="8120"/>
            <w:vAlign w:val="center"/>
            <w:tcMar>
              <w:top w:w="70" w:type="dxa"/>
              <w:start w:w="90" w:type="dxa"/>
              <w:bottom w:w="70" w:type="dxa"/>
              <w:end w:w="90" w:type="dxa"/>
            </w:tcMar>
          </w:tcPr>
          <w:p>
            <w:pPr>
              <w:pStyle w:val="Compact"/>
              <w:spacing w:before="0" w:after="0" w:line="240" w:lineRule="auto"/>
            </w:pPr>
            <w:r>
              <w:t>minutes\_above\_threshold +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T31</w:t>
            </w:r>
          </w:p>
        </w:tc>
        <w:tc>
          <w:tcPr>
            <w:tcW w:type="dxa" w:w="8120"/>
            <w:vAlign w:val="center"/>
            <w:tcMar>
              <w:top w:w="70" w:type="dxa"/>
              <w:start w:w="90" w:type="dxa"/>
              <w:bottom w:w="70" w:type="dxa"/>
              <w:end w:w="90" w:type="dxa"/>
            </w:tcMar>
          </w:tcPr>
          <w:p>
            <w:pPr>
              <w:pStyle w:val="Compact"/>
              <w:spacing w:before="0" w:after="0" w:line="240" w:lineRule="auto"/>
            </w:pPr>
            <w:r>
              <w:t>temperature\_avg +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T32</w:t>
            </w:r>
          </w:p>
        </w:tc>
        <w:tc>
          <w:tcPr>
            <w:tcW w:type="dxa" w:w="8120"/>
            <w:vAlign w:val="center"/>
            <w:tcMar>
              <w:top w:w="70" w:type="dxa"/>
              <w:start w:w="90" w:type="dxa"/>
              <w:bottom w:w="70" w:type="dxa"/>
              <w:end w:w="90" w:type="dxa"/>
            </w:tcMar>
          </w:tcPr>
          <w:p>
            <w:pPr>
              <w:pStyle w:val="Compact"/>
              <w:spacing w:before="0" w:after="0" w:line="240" w:lineRule="auto"/>
            </w:pPr>
            <w:r>
              <w:t>minutes\_above\_threshold + temperature\_avg +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T33</w:t>
            </w:r>
          </w:p>
        </w:tc>
        <w:tc>
          <w:tcPr>
            <w:tcW w:type="dxa" w:w="8120"/>
            <w:vAlign w:val="center"/>
            <w:tcMar>
              <w:top w:w="70" w:type="dxa"/>
              <w:start w:w="90" w:type="dxa"/>
              <w:bottom w:w="70" w:type="dxa"/>
              <w:end w:w="90" w:type="dxa"/>
            </w:tcMar>
          </w:tcPr>
          <w:p>
            <w:pPr>
              <w:pStyle w:val="Compact"/>
              <w:spacing w:before="0" w:after="0" w:line="240" w:lineRule="auto"/>
            </w:pPr>
            <w:r>
              <w:t>minutes\_above\_threshold * temperature\_avg</w:t>
            </w:r>
          </w:p>
        </w:tc>
      </w:tr>
      <w:tr>
        <w:tc>
          <w:tcPr>
            <w:tcW w:type="dxa" w:w="1150"/>
            <w:vAlign w:val="center"/>
            <w:tcMar>
              <w:top w:w="70" w:type="dxa"/>
              <w:start w:w="90" w:type="dxa"/>
              <w:bottom w:w="70" w:type="dxa"/>
              <w:end w:w="90" w:type="dxa"/>
            </w:tcMar>
          </w:tcPr>
          <w:p>
            <w:pPr>
              <w:pStyle w:val="Compact"/>
              <w:spacing w:before="0" w:after="0" w:line="240" w:lineRule="auto"/>
            </w:pPr>
            <w:r>
              <w:t>T34</w:t>
            </w:r>
          </w:p>
        </w:tc>
        <w:tc>
          <w:tcPr>
            <w:tcW w:type="dxa" w:w="8120"/>
            <w:vAlign w:val="center"/>
            <w:tcMar>
              <w:top w:w="70" w:type="dxa"/>
              <w:start w:w="90" w:type="dxa"/>
              <w:bottom w:w="70" w:type="dxa"/>
              <w:end w:w="90" w:type="dxa"/>
            </w:tcMar>
          </w:tcPr>
          <w:p>
            <w:pPr>
              <w:pStyle w:val="Compact"/>
              <w:spacing w:before="0" w:after="0" w:line="240" w:lineRule="auto"/>
            </w:pPr>
            <w:r>
              <w:t>minutes\_above\_threshold *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T35</w:t>
            </w:r>
          </w:p>
        </w:tc>
        <w:tc>
          <w:tcPr>
            <w:tcW w:type="dxa" w:w="8120"/>
            <w:vAlign w:val="center"/>
            <w:tcMar>
              <w:top w:w="70" w:type="dxa"/>
              <w:start w:w="90" w:type="dxa"/>
              <w:bottom w:w="70" w:type="dxa"/>
              <w:end w:w="90" w:type="dxa"/>
            </w:tcMar>
          </w:tcPr>
          <w:p>
            <w:pPr>
              <w:pStyle w:val="Compact"/>
              <w:spacing w:before="0" w:after="0" w:line="240" w:lineRule="auto"/>
            </w:pPr>
            <w:r>
              <w:t>temperature\_avg *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T36</w:t>
            </w:r>
          </w:p>
        </w:tc>
        <w:tc>
          <w:tcPr>
            <w:tcW w:type="dxa" w:w="8120"/>
            <w:vAlign w:val="center"/>
            <w:tcMar>
              <w:top w:w="70" w:type="dxa"/>
              <w:start w:w="90" w:type="dxa"/>
              <w:bottom w:w="70" w:type="dxa"/>
              <w:end w:w="90" w:type="dxa"/>
            </w:tcMar>
          </w:tcPr>
          <w:p>
            <w:pPr>
              <w:pStyle w:val="Compact"/>
              <w:spacing w:before="0" w:after="0" w:line="240" w:lineRule="auto"/>
            </w:pPr>
            <w:r>
              <w:t>minutes\_above\_threshold * temperature\_avg +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T37</w:t>
            </w:r>
          </w:p>
        </w:tc>
        <w:tc>
          <w:tcPr>
            <w:tcW w:type="dxa" w:w="8120"/>
            <w:vAlign w:val="center"/>
            <w:tcMar>
              <w:top w:w="70" w:type="dxa"/>
              <w:start w:w="90" w:type="dxa"/>
              <w:bottom w:w="70" w:type="dxa"/>
              <w:end w:w="90" w:type="dxa"/>
            </w:tcMar>
          </w:tcPr>
          <w:p>
            <w:pPr>
              <w:pStyle w:val="Compact"/>
              <w:spacing w:before="0" w:after="0" w:line="240" w:lineRule="auto"/>
            </w:pPr>
            <w:r>
              <w:t>minutes\_above\_threshold * butterflies\_direct\_sun\_t\_lag + temperature\_avg</w:t>
            </w:r>
          </w:p>
        </w:tc>
      </w:tr>
      <w:tr>
        <w:tc>
          <w:tcPr>
            <w:tcW w:type="dxa" w:w="1150"/>
            <w:vAlign w:val="center"/>
            <w:tcMar>
              <w:top w:w="70" w:type="dxa"/>
              <w:start w:w="90" w:type="dxa"/>
              <w:bottom w:w="70" w:type="dxa"/>
              <w:end w:w="90" w:type="dxa"/>
            </w:tcMar>
          </w:tcPr>
          <w:p>
            <w:pPr>
              <w:pStyle w:val="Compact"/>
              <w:spacing w:before="0" w:after="0" w:line="240" w:lineRule="auto"/>
            </w:pPr>
            <w:r>
              <w:t>T38</w:t>
            </w:r>
          </w:p>
        </w:tc>
        <w:tc>
          <w:tcPr>
            <w:tcW w:type="dxa" w:w="8120"/>
            <w:vAlign w:val="center"/>
            <w:tcMar>
              <w:top w:w="70" w:type="dxa"/>
              <w:start w:w="90" w:type="dxa"/>
              <w:bottom w:w="70" w:type="dxa"/>
              <w:end w:w="90" w:type="dxa"/>
            </w:tcMar>
          </w:tcPr>
          <w:p>
            <w:pPr>
              <w:pStyle w:val="Compact"/>
              <w:spacing w:before="0" w:after="0" w:line="240" w:lineRule="auto"/>
            </w:pPr>
            <w:r>
              <w:t>temperature\_avg * butterflies\_direct\_sun\_t\_lag + minutes\_above\_threshold</w:t>
            </w:r>
          </w:p>
        </w:tc>
      </w:tr>
      <w:tr>
        <w:tc>
          <w:tcPr>
            <w:tcW w:type="dxa" w:w="1150"/>
            <w:vAlign w:val="center"/>
            <w:tcMar>
              <w:top w:w="70" w:type="dxa"/>
              <w:start w:w="90" w:type="dxa"/>
              <w:bottom w:w="70" w:type="dxa"/>
              <w:end w:w="90" w:type="dxa"/>
            </w:tcMar>
          </w:tcPr>
          <w:p>
            <w:pPr>
              <w:pStyle w:val="Compact"/>
              <w:spacing w:before="0" w:after="0" w:line="240" w:lineRule="auto"/>
            </w:pPr>
            <w:r>
              <w:t>T39</w:t>
            </w:r>
          </w:p>
        </w:tc>
        <w:tc>
          <w:tcPr>
            <w:tcW w:type="dxa" w:w="8120"/>
            <w:vAlign w:val="center"/>
            <w:tcMar>
              <w:top w:w="70" w:type="dxa"/>
              <w:start w:w="90" w:type="dxa"/>
              <w:bottom w:w="70" w:type="dxa"/>
              <w:end w:w="90" w:type="dxa"/>
            </w:tcMar>
          </w:tcPr>
          <w:p>
            <w:pPr>
              <w:pStyle w:val="Compact"/>
              <w:spacing w:before="0" w:after="0" w:line="240" w:lineRule="auto"/>
            </w:pPr>
            <w:r>
              <w:t>all two-way interactions (no lag)</w:t>
            </w:r>
          </w:p>
        </w:tc>
      </w:tr>
      <w:tr>
        <w:tc>
          <w:tcPr>
            <w:tcW w:type="dxa" w:w="1150"/>
            <w:vAlign w:val="center"/>
            <w:tcMar>
              <w:top w:w="70" w:type="dxa"/>
              <w:start w:w="90" w:type="dxa"/>
              <w:bottom w:w="70" w:type="dxa"/>
              <w:end w:w="90" w:type="dxa"/>
            </w:tcMar>
          </w:tcPr>
          <w:p>
            <w:pPr>
              <w:pStyle w:val="Compact"/>
              <w:spacing w:before="0" w:after="0" w:line="240" w:lineRule="auto"/>
            </w:pPr>
            <w:r>
              <w:t>T40</w:t>
            </w:r>
          </w:p>
        </w:tc>
        <w:tc>
          <w:tcPr>
            <w:tcW w:type="dxa" w:w="8120"/>
            <w:vAlign w:val="center"/>
            <w:tcMar>
              <w:top w:w="70" w:type="dxa"/>
              <w:start w:w="90" w:type="dxa"/>
              <w:bottom w:w="70" w:type="dxa"/>
              <w:end w:w="90" w:type="dxa"/>
            </w:tcMar>
          </w:tcPr>
          <w:p>
            <w:pPr>
              <w:pStyle w:val="Compact"/>
              <w:spacing w:before="0" w:after="0" w:line="240" w:lineRule="auto"/>
            </w:pPr>
            <w:r>
              <w:t>minutes\_above\_threshold * temperature\_avg * butterflies\_direct\_sun\_t\_lag (no lag)</w:t>
            </w:r>
          </w:p>
        </w:tc>
      </w:tr>
      <w:tr>
        <w:tc>
          <w:tcPr>
            <w:tcW w:type="dxa" w:w="1150"/>
            <w:vAlign w:val="center"/>
            <w:tcMar>
              <w:top w:w="70" w:type="dxa"/>
              <w:start w:w="90" w:type="dxa"/>
              <w:bottom w:w="70" w:type="dxa"/>
              <w:end w:w="90" w:type="dxa"/>
            </w:tcMar>
          </w:tcPr>
          <w:p>
            <w:pPr>
              <w:pStyle w:val="Compact"/>
              <w:spacing w:before="0" w:after="0" w:line="240" w:lineRule="auto"/>
            </w:pPr>
            <w:r>
              <w:t>T41</w:t>
            </w:r>
          </w:p>
        </w:tc>
        <w:tc>
          <w:tcPr>
            <w:tcW w:type="dxa" w:w="8120"/>
            <w:vAlign w:val="center"/>
            <w:tcMar>
              <w:top w:w="70" w:type="dxa"/>
              <w:start w:w="90" w:type="dxa"/>
              <w:bottom w:w="70" w:type="dxa"/>
              <w:end w:w="90" w:type="dxa"/>
            </w:tcMar>
          </w:tcPr>
          <w:p>
            <w:pPr>
              <w:pStyle w:val="Compact"/>
              <w:spacing w:before="0" w:after="0" w:line="240" w:lineRule="auto"/>
            </w:pPr>
            <w:r>
              <w:t>s(temperature\_avg) + s(butterflies\_direct\_sun\_t\_lag)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T42</w:t>
            </w:r>
          </w:p>
        </w:tc>
        <w:tc>
          <w:tcPr>
            <w:tcW w:type="dxa" w:w="8120"/>
            <w:vAlign w:val="center"/>
            <w:tcMar>
              <w:top w:w="70" w:type="dxa"/>
              <w:start w:w="90" w:type="dxa"/>
              <w:bottom w:w="70" w:type="dxa"/>
              <w:end w:w="90" w:type="dxa"/>
            </w:tcMar>
          </w:tcPr>
          <w:p>
            <w:pPr>
              <w:pStyle w:val="Compact"/>
              <w:spacing w:before="0" w:after="0" w:line="240" w:lineRule="auto"/>
            </w:pPr>
            <w:r>
              <w:t>temperature\_avg + s(butterflies\_direct\_sun\_t\_lag)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T43</w:t>
            </w:r>
          </w:p>
        </w:tc>
        <w:tc>
          <w:tcPr>
            <w:tcW w:type="dxa" w:w="8120"/>
            <w:vAlign w:val="center"/>
            <w:tcMar>
              <w:top w:w="70" w:type="dxa"/>
              <w:start w:w="90" w:type="dxa"/>
              <w:bottom w:w="70" w:type="dxa"/>
              <w:end w:w="90" w:type="dxa"/>
            </w:tcMar>
          </w:tcPr>
          <w:p>
            <w:pPr>
              <w:pStyle w:val="Compact"/>
              <w:spacing w:before="0" w:after="0" w:line="240" w:lineRule="auto"/>
            </w:pPr>
            <w:r>
              <w:t>s(minutes\_above\_threshold) + temperature\_avg + s(butterflies\_direct\_sun\_t\_lag)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T44</w:t>
            </w:r>
          </w:p>
        </w:tc>
        <w:tc>
          <w:tcPr>
            <w:tcW w:type="dxa" w:w="8120"/>
            <w:vAlign w:val="center"/>
            <w:tcMar>
              <w:top w:w="70" w:type="dxa"/>
              <w:start w:w="90" w:type="dxa"/>
              <w:bottom w:w="70" w:type="dxa"/>
              <w:end w:w="90" w:type="dxa"/>
            </w:tcMar>
          </w:tcPr>
          <w:p>
            <w:pPr>
              <w:pStyle w:val="Compact"/>
              <w:spacing w:before="0" w:after="0" w:line="240" w:lineRule="auto"/>
            </w:pPr>
            <w:r>
              <w:t>s(temperature\_avg) + s(butterflies\_direct\_sun\_t\_lag)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T45</w:t>
            </w:r>
          </w:p>
        </w:tc>
        <w:tc>
          <w:tcPr>
            <w:tcW w:type="dxa" w:w="8120"/>
            <w:vAlign w:val="center"/>
            <w:tcMar>
              <w:top w:w="70" w:type="dxa"/>
              <w:start w:w="90" w:type="dxa"/>
              <w:bottom w:w="70" w:type="dxa"/>
              <w:end w:w="90" w:type="dxa"/>
            </w:tcMar>
          </w:tcPr>
          <w:p>
            <w:pPr>
              <w:pStyle w:val="Compact"/>
              <w:spacing w:before="0" w:after="0" w:line="240" w:lineRule="auto"/>
            </w:pPr>
            <w:r>
              <w:t>s(minutes\_above\_threshold) + s(temperature\_avg) + s(butterflies\_direct\_sun\_t\_lag)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T46</w:t>
            </w:r>
          </w:p>
        </w:tc>
        <w:tc>
          <w:tcPr>
            <w:tcW w:type="dxa" w:w="8120"/>
            <w:vAlign w:val="center"/>
            <w:tcMar>
              <w:top w:w="70" w:type="dxa"/>
              <w:start w:w="90" w:type="dxa"/>
              <w:bottom w:w="70" w:type="dxa"/>
              <w:end w:w="90" w:type="dxa"/>
            </w:tcMar>
          </w:tcPr>
          <w:p>
            <w:pPr>
              <w:pStyle w:val="Compact"/>
              <w:spacing w:before="0" w:after="0" w:line="240" w:lineRule="auto"/>
            </w:pPr>
            <w:r>
              <w:t>temperature\_avg + s(butterflies\_direct\_sun\_t\_lag) + s(time\_within\_day\_t)</w:t>
            </w:r>
          </w:p>
        </w:tc>
      </w:tr>
      <w:tr>
        <w:tc>
          <w:tcPr>
            <w:tcW w:type="dxa" w:w="1150"/>
            <w:vAlign w:val="center"/>
            <w:tcMar>
              <w:top w:w="70" w:type="dxa"/>
              <w:start w:w="90" w:type="dxa"/>
              <w:bottom w:w="70" w:type="dxa"/>
              <w:end w:w="90" w:type="dxa"/>
            </w:tcMar>
          </w:tcPr>
          <w:p>
            <w:pPr>
              <w:pStyle w:val="Compact"/>
              <w:spacing w:before="0" w:after="0" w:line="240" w:lineRule="auto"/>
            </w:pPr>
            <w:r>
              <w:t>T47</w:t>
            </w:r>
          </w:p>
        </w:tc>
        <w:tc>
          <w:tcPr>
            <w:tcW w:type="dxa" w:w="8120"/>
            <w:vAlign w:val="center"/>
            <w:tcMar>
              <w:top w:w="70" w:type="dxa"/>
              <w:start w:w="90" w:type="dxa"/>
              <w:bottom w:w="70" w:type="dxa"/>
              <w:end w:w="90" w:type="dxa"/>
            </w:tcMar>
          </w:tcPr>
          <w:p>
            <w:pPr>
              <w:pStyle w:val="Compact"/>
              <w:spacing w:before="0" w:after="0" w:line="240" w:lineRule="auto"/>
            </w:pPr>
            <w:r>
              <w:t>s(temperature\_avg) + s(butterflies\_direct\_sun\_t\_lag) + s(time\_within\_day\_t)</w:t>
            </w:r>
          </w:p>
        </w:tc>
      </w:tr>
      <w:tr>
        <w:tc>
          <w:tcPr>
            <w:tcW w:type="dxa" w:w="1150"/>
            <w:vAlign w:val="center"/>
            <w:tcMar>
              <w:top w:w="70" w:type="dxa"/>
              <w:start w:w="90" w:type="dxa"/>
              <w:bottom w:w="70" w:type="dxa"/>
              <w:end w:w="90" w:type="dxa"/>
            </w:tcMar>
          </w:tcPr>
          <w:p>
            <w:pPr>
              <w:pStyle w:val="Compact"/>
              <w:spacing w:before="0" w:after="0" w:line="240" w:lineRule="auto"/>
            </w:pPr>
            <w:r>
              <w:t>T48</w:t>
            </w:r>
          </w:p>
        </w:tc>
        <w:tc>
          <w:tcPr>
            <w:tcW w:type="dxa" w:w="8120"/>
            <w:vAlign w:val="center"/>
            <w:tcMar>
              <w:top w:w="70" w:type="dxa"/>
              <w:start w:w="90" w:type="dxa"/>
              <w:bottom w:w="70" w:type="dxa"/>
              <w:end w:w="90" w:type="dxa"/>
            </w:tcMar>
          </w:tcPr>
          <w:p>
            <w:pPr>
              <w:pStyle w:val="Compact"/>
              <w:spacing w:before="0" w:after="0" w:line="240" w:lineRule="auto"/>
            </w:pPr>
            <w:r>
              <w:t>s(minutes\_above\_threshold) + s(temperature\_avg) + s(butterflies\_direct\_sun\_t\_lag) + s(time\_within\_day\_t)</w:t>
            </w:r>
          </w:p>
        </w:tc>
      </w:tr>
      <w:tr>
        <w:tc>
          <w:tcPr>
            <w:tcW w:type="dxa" w:w="1150"/>
            <w:vAlign w:val="center"/>
            <w:tcMar>
              <w:top w:w="70" w:type="dxa"/>
              <w:start w:w="90" w:type="dxa"/>
              <w:bottom w:w="70" w:type="dxa"/>
              <w:end w:w="90" w:type="dxa"/>
            </w:tcMar>
          </w:tcPr>
          <w:p>
            <w:pPr>
              <w:pStyle w:val="Compact"/>
              <w:spacing w:before="0" w:after="0" w:line="240" w:lineRule="auto"/>
            </w:pPr>
            <w:r>
              <w:t>T49</w:t>
            </w:r>
          </w:p>
        </w:tc>
        <w:tc>
          <w:tcPr>
            <w:tcW w:type="dxa" w:w="8120"/>
            <w:vAlign w:val="center"/>
            <w:tcMar>
              <w:top w:w="70" w:type="dxa"/>
              <w:start w:w="90" w:type="dxa"/>
              <w:bottom w:w="70" w:type="dxa"/>
              <w:end w:w="90" w:type="dxa"/>
            </w:tcMar>
          </w:tcPr>
          <w:p>
            <w:pPr>
              <w:pStyle w:val="Compact"/>
              <w:spacing w:before="0" w:after="0" w:line="240" w:lineRule="auto"/>
            </w:pPr>
            <w:r>
              <w:t>s(total\_butterflies\_t\_lag) + ti(minutes\_above\_threshold,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T50</w:t>
            </w:r>
          </w:p>
        </w:tc>
        <w:tc>
          <w:tcPr>
            <w:tcW w:type="dxa" w:w="8120"/>
            <w:vAlign w:val="center"/>
            <w:tcMar>
              <w:top w:w="70" w:type="dxa"/>
              <w:start w:w="90" w:type="dxa"/>
              <w:bottom w:w="70" w:type="dxa"/>
              <w:end w:w="90" w:type="dxa"/>
            </w:tcMar>
          </w:tcPr>
          <w:p>
            <w:pPr>
              <w:pStyle w:val="Compact"/>
              <w:spacing w:before="0" w:after="0" w:line="240" w:lineRule="auto"/>
            </w:pPr>
            <w:r>
              <w:t>s(total\_butterflies\_t\_lag) + s(temperature\_avg) + s(time\_within\_day\_t) + ti(minutes\_above\_threshold,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T51</w:t>
            </w:r>
          </w:p>
        </w:tc>
        <w:tc>
          <w:tcPr>
            <w:tcW w:type="dxa" w:w="8120"/>
            <w:vAlign w:val="center"/>
            <w:tcMar>
              <w:top w:w="70" w:type="dxa"/>
              <w:start w:w="90" w:type="dxa"/>
              <w:bottom w:w="70" w:type="dxa"/>
              <w:end w:w="90" w:type="dxa"/>
            </w:tcMar>
          </w:tcPr>
          <w:p>
            <w:pPr>
              <w:pStyle w:val="Compact"/>
              <w:spacing w:before="0" w:after="0" w:line="240" w:lineRule="auto"/>
            </w:pPr>
            <w:r>
              <w:t>ti(minutes\_above\_threshold, butterflies\_direct\_sun\_t\_lag)</w:t>
            </w:r>
          </w:p>
        </w:tc>
      </w:tr>
      <w:tr>
        <w:tc>
          <w:tcPr>
            <w:tcW w:type="dxa" w:w="1150"/>
            <w:vAlign w:val="center"/>
            <w:tcMar>
              <w:top w:w="70" w:type="dxa"/>
              <w:start w:w="90" w:type="dxa"/>
              <w:bottom w:w="70" w:type="dxa"/>
              <w:end w:w="90" w:type="dxa"/>
            </w:tcMar>
          </w:tcPr>
          <w:p>
            <w:pPr>
              <w:pStyle w:val="Compact"/>
              <w:spacing w:before="0" w:after="0" w:line="240" w:lineRule="auto"/>
            </w:pPr>
            <w:r>
              <w:t>T52</w:t>
            </w:r>
          </w:p>
        </w:tc>
        <w:tc>
          <w:tcPr>
            <w:tcW w:type="dxa" w:w="8120"/>
            <w:vAlign w:val="center"/>
            <w:tcMar>
              <w:top w:w="70" w:type="dxa"/>
              <w:start w:w="90" w:type="dxa"/>
              <w:bottom w:w="70" w:type="dxa"/>
              <w:end w:w="90" w:type="dxa"/>
            </w:tcMar>
          </w:tcPr>
          <w:p>
            <w:pPr>
              <w:pStyle w:val="Compact"/>
              <w:spacing w:before="0" w:after="0" w:line="240" w:lineRule="auto"/>
            </w:pPr>
            <w:r>
              <w:t>s(temperature\_avg) + s(time\_within\_day\_t) + ti(minutes\_above\_threshold, butterflies\_direct\_sun\_t\_lag)</w:t>
            </w:r>
          </w:p>
        </w:tc>
      </w:tr>
    </w:tbl>
    <w:p>
      <w:pPr>
        <w:pStyle w:val="BodyText"/>
      </w:pPr>
      <w:r>
        <w:t xml:space="preserve">Model T50 was identified as the best-fit model based on Akaike Information Criterion (AIC). This model structure mirrors M50 from the continuous wind analysis, enabling direct comparison between threshold-based and continuous wind metrics. Complete model selection statistics are reported in the main text.</w:t>
      </w:r>
    </w:p>
    <w:bookmarkEnd w:id="136"/>
    <w:bookmarkStart w:id="137" w:name="X0cacbd3f33b2acd67eaa99cbc812c2e3fdc9481"/>
    <w:p>
      <w:pPr>
        <w:pStyle w:val="Heading1"/>
      </w:pPr>
      <w:r>
        <w:t xml:space="preserve">Site Fidelity Analysis (Next Day Window): Candidate Models</w:t>
      </w:r>
    </w:p>
    <w:p>
      <w:pPr>
        <w:pStyle w:val="FirstParagraph"/>
      </w:pPr>
      <w:r>
        <w:t xml:space="preserve">This appendix documents all candidate models tested in the Next Day Window site fidelity analysis. A total of 78 models were evaluated to identify factors predicting daily changes in roost abandonment using a biologically-aligned weather window from the previous day’s maximum BI through the current day’s last observation.</w:t>
      </w:r>
    </w:p>
    <w:p>
      <w:pPr>
        <w:pStyle w:val="BodyText"/>
      </w:pPr>
      <w:r>
        <w:rPr>
          <w:b/>
          <w:bCs/>
        </w:rPr>
        <w:t xml:space="preserve">Model Structure.</w:t>
      </w:r>
      <w:r>
        <w:t xml:space="preserve"> </w:t>
      </w:r>
      <w:r>
        <w:t xml:space="preserve">All models used Generalized Additive Mixed Models (GAMM) with the following structure:</w:t>
      </w:r>
    </w:p>
    <w:p>
      <w:pPr>
        <w:numPr>
          <w:ilvl w:val="0"/>
          <w:numId w:val="1003"/>
        </w:numPr>
      </w:pPr>
      <w:r>
        <w:rPr>
          <w:b/>
          <w:bCs/>
        </w:rPr>
        <w:t xml:space="preserve">Response variable</w:t>
      </w:r>
      <w:r>
        <w:t xml:space="preserve">: signed</w:t>
      </w:r>
      <w:r>
        <w:t xml:space="preserve"> </w:t>
      </w:r>
      <m:oMath>
        <m:rad>
          <m:radPr>
            <m:degHide m:val="on"/>
          </m:radPr>
          <m:deg/>
          <m:e>
            <m:r>
              <m:rPr>
                <m:sty m:val="p"/>
              </m:rPr>
              <m:t>|</m:t>
            </m:r>
            <m:r>
              <m:rPr>
                <m:sty m:val="p"/>
              </m:rPr>
              <m:t>Δ</m:t>
            </m:r>
            <m:sSub>
              <m:e>
                <m:r>
                  <m:rPr>
                    <m:sty m:val="p"/>
                  </m:rPr>
                  <m:t>B</m:t>
                </m:r>
                <m:r>
                  <m:rPr>
                    <m:sty m:val="p"/>
                  </m:rPr>
                  <m:t>I</m:t>
                </m:r>
              </m:e>
              <m:sub>
                <m:r>
                  <m:rPr>
                    <m:sty m:val="p"/>
                  </m:rPr>
                  <m:t>max</m:t>
                </m:r>
              </m:sub>
            </m:sSub>
            <m:r>
              <m:rPr>
                <m:sty m:val="p"/>
              </m:rPr>
              <m:t>|</m:t>
            </m:r>
          </m:e>
        </m:rad>
      </m:oMath>
      <w:r>
        <w:t xml:space="preserve"> </w:t>
      </w:r>
      <w:r>
        <w:t xml:space="preserve">(signed square root of change in maximum daily BI between days)</w:t>
      </w:r>
    </w:p>
    <w:p>
      <w:pPr>
        <w:numPr>
          <w:ilvl w:val="0"/>
          <w:numId w:val="1003"/>
        </w:numPr>
      </w:pPr>
      <w:r>
        <w:rPr>
          <w:b/>
          <w:bCs/>
        </w:rPr>
        <w:t xml:space="preserve">Random effects</w:t>
      </w:r>
      <w:r>
        <w:t xml:space="preserve">: Random intercept for deployment site</w:t>
      </w:r>
    </w:p>
    <w:p>
      <w:pPr>
        <w:numPr>
          <w:ilvl w:val="0"/>
          <w:numId w:val="1003"/>
        </w:numPr>
      </w:pPr>
      <w:r>
        <w:rPr>
          <w:b/>
          <w:bCs/>
        </w:rPr>
        <w:t xml:space="preserve">Correlation structure</w:t>
      </w:r>
      <w:r>
        <w:t xml:space="preserve">: AR(1) autocorrelation for temporal dependence</w:t>
      </w:r>
    </w:p>
    <w:p>
      <w:pPr>
        <w:numPr>
          <w:ilvl w:val="0"/>
          <w:numId w:val="1003"/>
        </w:numPr>
      </w:pPr>
      <w:r>
        <w:rPr>
          <w:b/>
          <w:bCs/>
        </w:rPr>
        <w:t xml:space="preserve">Estimation method</w:t>
      </w:r>
      <w:r>
        <w:t xml:space="preserve">: Restricted Maximum Likelihood (REML)</w:t>
      </w:r>
    </w:p>
    <w:p>
      <w:pPr>
        <w:pStyle w:val="FirstParagraph"/>
      </w:pPr>
      <w:r>
        <w:rPr>
          <w:b/>
          <w:bCs/>
        </w:rPr>
        <w:t xml:space="preserve">Variable Definitions.</w:t>
      </w:r>
      <w:r>
        <w:t xml:space="preserve"> </w:t>
      </w:r>
      <w:r>
        <w:rPr>
          <w:rStyle w:val="VerbatimChar"/>
        </w:rPr>
        <w:t xml:space="preserve">max_butterflies_t_1</w:t>
      </w:r>
      <w:r>
        <w:t xml:space="preserve">: Previous day maximum butterfly index (tested as smooth or linear);</w:t>
      </w:r>
      <w:r>
        <w:t xml:space="preserve"> </w:t>
      </w:r>
      <w:r>
        <w:rPr>
          <w:rStyle w:val="VerbatimChar"/>
        </w:rPr>
        <w:t xml:space="preserve">lag_duration_hours</w:t>
      </w:r>
      <w:r>
        <w:t xml:space="preserve">: Weather window duration (tested as smooth or linear);</w:t>
      </w:r>
      <w:r>
        <w:t xml:space="preserve"> </w:t>
      </w:r>
      <w:r>
        <w:rPr>
          <w:rStyle w:val="VerbatimChar"/>
        </w:rPr>
        <w:t xml:space="preserve">temp_min</w:t>
      </w:r>
      <w:r>
        <w:t xml:space="preserve">: Minimum temperature over the Next Day Window (</w:t>
      </w:r>
      <m:oMath>
        <m:sSup>
          <m:e>
            <m:r>
              <m:t>​</m:t>
            </m:r>
          </m:e>
          <m:sup>
            <m:r>
              <m:rPr>
                <m:sty m:val="p"/>
              </m:rPr>
              <m:t>∘</m:t>
            </m:r>
          </m:sup>
        </m:sSup>
      </m:oMath>
      <w:r>
        <w:t xml:space="preserve">C);</w:t>
      </w:r>
      <w:r>
        <w:t xml:space="preserve"> </w:t>
      </w:r>
      <w:r>
        <w:rPr>
          <w:rStyle w:val="VerbatimChar"/>
        </w:rPr>
        <w:t xml:space="preserve">temp_max</w:t>
      </w:r>
      <w:r>
        <w:t xml:space="preserve">: Maximum temperature over the Next Day Window (</w:t>
      </w:r>
      <m:oMath>
        <m:sSup>
          <m:e>
            <m:r>
              <m:t>​</m:t>
            </m:r>
          </m:e>
          <m:sup>
            <m:r>
              <m:rPr>
                <m:sty m:val="p"/>
              </m:rPr>
              <m:t>∘</m:t>
            </m:r>
          </m:sup>
        </m:sSup>
      </m:oMath>
      <w:r>
        <w:t xml:space="preserve">C);</w:t>
      </w:r>
      <w:r>
        <w:t xml:space="preserve"> </w:t>
      </w:r>
      <w:r>
        <w:rPr>
          <w:rStyle w:val="VerbatimChar"/>
        </w:rPr>
        <w:t xml:space="preserve">temp_at_max_count_t_1</w:t>
      </w:r>
      <w:r>
        <w:t xml:space="preserve">: Temperature when max count occurred (</w:t>
      </w:r>
      <m:oMath>
        <m:sSup>
          <m:e>
            <m:r>
              <m:t>​</m:t>
            </m:r>
          </m:e>
          <m:sup>
            <m:r>
              <m:rPr>
                <m:sty m:val="p"/>
              </m:rPr>
              <m:t>∘</m:t>
            </m:r>
          </m:sup>
        </m:sSup>
      </m:oMath>
      <w:r>
        <w:t xml:space="preserve">C);</w:t>
      </w:r>
      <w:r>
        <w:t xml:space="preserve"> </w:t>
      </w:r>
      <w:r>
        <w:rPr>
          <w:rStyle w:val="VerbatimChar"/>
        </w:rPr>
        <w:t xml:space="preserve">wind_max_gust</w:t>
      </w:r>
      <w:r>
        <w:t xml:space="preserve">: Maximum wind gust in window (m/s);</w:t>
      </w:r>
      <w:r>
        <w:t xml:space="preserve"> </w:t>
      </w:r>
      <w:r>
        <w:rPr>
          <w:rStyle w:val="VerbatimChar"/>
        </w:rPr>
        <w:t xml:space="preserve">sum_butterflies_direct_sun</w:t>
      </w:r>
      <w:r>
        <w:t xml:space="preserve">: Cumulative butterflies in direct sun;</w:t>
      </w:r>
      <w:r>
        <w:t xml:space="preserve"> </w:t>
      </w:r>
      <m:oMath>
        <m:r>
          <m:t>s</m:t>
        </m:r>
        <m:r>
          <m:rPr>
            <m:sty m:val="p"/>
          </m:rPr>
          <m:t>(</m:t>
        </m:r>
        <m:r>
          <m:rPr>
            <m:sty m:val="p"/>
          </m:rPr>
          <m:t>)</m:t>
        </m:r>
      </m:oMath>
      <w:r>
        <w:t xml:space="preserve">: Thin-plate regression spline smooth term;</w:t>
      </w:r>
      <w:r>
        <w:t xml:space="preserve"> </w:t>
      </w:r>
      <m:oMath>
        <m:r>
          <m:t>t</m:t>
        </m:r>
        <m:r>
          <m:t>i</m:t>
        </m:r>
        <m:r>
          <m:rPr>
            <m:sty m:val="p"/>
          </m:rPr>
          <m:t>(</m:t>
        </m:r>
        <m:r>
          <m:rPr>
            <m:sty m:val="p"/>
          </m:rPr>
          <m:t>)</m:t>
        </m:r>
      </m:oMath>
      <w:r>
        <w:t xml:space="preserve">: Tensor product interaction smooth.</w:t>
      </w:r>
    </w:p>
    <w:p>
      <w:pPr>
        <w:pStyle w:val="BodyText"/>
      </w:pPr>
      <w:r>
        <w:t xml:space="preserve">Models were generated programmatically across seven categories. The first number in parentheses indicates models with smooth baseline controls; the second indicates linear baseline controls.</w:t>
      </w:r>
    </w:p>
    <w:p>
      <w:pPr>
        <w:pStyle w:val="TableCaption"/>
        <w:keepNext/>
        <w:spacing w:after="80"/>
      </w:pPr>
      <w:r>
        <w:t>Table 10. Complete list of 78 candidate models tested in Next Day Window site fidelity analysis.</w:t>
      </w:r>
    </w:p>
    <w:tbl>
      <w:tblPr>
        <w:tblStyle w:val="Table"/>
        <w:tblW w:type="dxa" w:w="9270"/>
        <w:jc w:val="left"/>
        <w:tblLayout w:type="fixed"/>
        <w:tblLook w:firstColumn="1" w:firstRow="1" w:lastColumn="0" w:lastRow="0" w:noHBand="0" w:noVBand="1" w:val="04A0"/>
        <w:tblInd w:w="90" w:type="dxa"/>
      </w:tblPr>
      <w:tblGrid>
        <w:gridCol w:w="1150"/>
        <w:gridCol w:w="8120"/>
      </w:tblGrid>
      <w:tr>
        <w:trPr>
          <w:tblHeader w:val="true"/>
        </w:trPr>
        <w:tc>
          <w:tcPr>
            <w:tcW w:type="dxa" w:w="1150"/>
            <w:vAlign w:val="center"/>
            <w:tcMar>
              <w:top w:w="70" w:type="dxa"/>
              <w:start w:w="90" w:type="dxa"/>
              <w:bottom w:w="70" w:type="dxa"/>
              <w:end w:w="90" w:type="dxa"/>
            </w:tcMar>
          </w:tcPr>
          <w:p>
            <w:pPr>
              <w:pStyle w:val="Compact"/>
              <w:spacing w:before="0" w:after="0" w:line="240" w:lineRule="auto"/>
            </w:pPr>
            <w:r>
              <w:rPr>
                <w:b/>
              </w:rPr>
              <w:t>Model</w:t>
            </w:r>
          </w:p>
        </w:tc>
        <w:tc>
          <w:tcPr>
            <w:tcW w:type="dxa" w:w="8120"/>
            <w:vAlign w:val="center"/>
            <w:tcMar>
              <w:top w:w="70" w:type="dxa"/>
              <w:start w:w="90" w:type="dxa"/>
              <w:bottom w:w="70" w:type="dxa"/>
              <w:end w:w="90" w:type="dxa"/>
            </w:tcMar>
          </w:tcPr>
          <w:p>
            <w:pPr>
              <w:pStyle w:val="Compact"/>
              <w:spacing w:before="0" w:after="0" w:line="240" w:lineRule="auto"/>
            </w:pPr>
            <w:r>
              <w:rPr>
                <w:b/>
              </w:rPr>
              <w:t>Description</w:t>
            </w:r>
          </w:p>
        </w:tc>
      </w:tr>
      <w:tr>
        <w:tc>
          <w:tcPr>
            <w:tcW w:type="dxa" w:w="1150"/>
            <w:vAlign w:val="center"/>
            <w:tcMar>
              <w:top w:w="70" w:type="dxa"/>
              <w:start w:w="90" w:type="dxa"/>
              <w:bottom w:w="70" w:type="dxa"/>
              <w:end w:w="90" w:type="dxa"/>
            </w:tcMar>
          </w:tcPr>
          <w:p>
            <w:pPr>
              <w:pStyle w:val="Compact"/>
              <w:spacing w:before="0" w:after="0" w:line="240" w:lineRule="auto"/>
            </w:pPr>
            <w:r>
              <w:t>Model</w:t>
            </w:r>
          </w:p>
        </w:tc>
        <w:tc>
          <w:tcPr>
            <w:tcW w:type="dxa" w:w="8120"/>
            <w:vAlign w:val="center"/>
            <w:tcMar>
              <w:top w:w="70" w:type="dxa"/>
              <w:start w:w="90" w:type="dxa"/>
              <w:bottom w:w="70" w:type="dxa"/>
              <w:end w:w="90" w:type="dxa"/>
            </w:tcMar>
          </w:tcPr>
          <w:p>
            <w:pPr>
              <w:pStyle w:val="Compact"/>
              <w:spacing w:before="0" w:after="0" w:line="240" w:lineRule="auto"/>
            </w:pPr>
            <w:r>
              <w:t>Description</w:t>
            </w:r>
          </w:p>
        </w:tc>
      </w:tr>
      <w:tr>
        <w:tc>
          <w:tcPr>
            <w:tcW w:type="dxa" w:w="1150"/>
            <w:vAlign w:val="center"/>
            <w:tcMar>
              <w:top w:w="70" w:type="dxa"/>
              <w:start w:w="90" w:type="dxa"/>
              <w:bottom w:w="70" w:type="dxa"/>
              <w:end w:w="90" w:type="dxa"/>
            </w:tcMar>
          </w:tcPr>
          <w:p>
            <w:pPr>
              <w:pStyle w:val="Compact"/>
              <w:spacing w:before="0" w:after="0" w:line="240" w:lineRule="auto"/>
            </w:pPr>
            <w:r>
              <w:t>M1</w:t>
            </w:r>
          </w:p>
        </w:tc>
        <w:tc>
          <w:tcPr>
            <w:tcW w:type="dxa" w:w="8120"/>
            <w:vAlign w:val="center"/>
            <w:tcMar>
              <w:top w:w="70" w:type="dxa"/>
              <w:start w:w="90" w:type="dxa"/>
              <w:bottom w:w="70" w:type="dxa"/>
              <w:end w:w="90" w:type="dxa"/>
            </w:tcMar>
          </w:tcPr>
          <w:p>
            <w:pPr>
              <w:pStyle w:val="Compact"/>
              <w:spacing w:before="0" w:after="0" w:line="240" w:lineRule="auto"/>
            </w:pPr>
            <w:r>
              <w:t>Null (smooth baseline)</w:t>
            </w:r>
          </w:p>
        </w:tc>
      </w:tr>
      <w:tr>
        <w:tc>
          <w:tcPr>
            <w:tcW w:type="dxa" w:w="1150"/>
            <w:vAlign w:val="center"/>
            <w:tcMar>
              <w:top w:w="70" w:type="dxa"/>
              <w:start w:w="90" w:type="dxa"/>
              <w:bottom w:w="70" w:type="dxa"/>
              <w:end w:w="90" w:type="dxa"/>
            </w:tcMar>
          </w:tcPr>
          <w:p>
            <w:pPr>
              <w:pStyle w:val="Compact"/>
              <w:spacing w:before="0" w:after="0" w:line="240" w:lineRule="auto"/>
            </w:pPr>
            <w:r>
              <w:t>M2</w:t>
            </w:r>
          </w:p>
        </w:tc>
        <w:tc>
          <w:tcPr>
            <w:tcW w:type="dxa" w:w="8120"/>
            <w:vAlign w:val="center"/>
            <w:tcMar>
              <w:top w:w="70" w:type="dxa"/>
              <w:start w:w="90" w:type="dxa"/>
              <w:bottom w:w="70" w:type="dxa"/>
              <w:end w:w="90" w:type="dxa"/>
            </w:tcMar>
          </w:tcPr>
          <w:p>
            <w:pPr>
              <w:pStyle w:val="Compact"/>
              <w:spacing w:before="0" w:after="0" w:line="240" w:lineRule="auto"/>
            </w:pPr>
            <w:r>
              <w:t>Null (linear baseline)</w:t>
            </w:r>
          </w:p>
        </w:tc>
      </w:tr>
      <w:tr>
        <w:tc>
          <w:tcPr>
            <w:tcW w:type="dxa" w:w="1150"/>
            <w:vAlign w:val="center"/>
            <w:tcMar>
              <w:top w:w="70" w:type="dxa"/>
              <w:start w:w="90" w:type="dxa"/>
              <w:bottom w:w="70" w:type="dxa"/>
              <w:end w:w="90" w:type="dxa"/>
            </w:tcMar>
          </w:tcPr>
          <w:p>
            <w:pPr>
              <w:pStyle w:val="Compact"/>
              <w:spacing w:before="0" w:after="0" w:line="240" w:lineRule="auto"/>
            </w:pPr>
            <w:r>
              <w:t>M3, M4</w:t>
            </w:r>
          </w:p>
        </w:tc>
        <w:tc>
          <w:tcPr>
            <w:tcW w:type="dxa" w:w="8120"/>
            <w:vAlign w:val="center"/>
            <w:tcMar>
              <w:top w:w="70" w:type="dxa"/>
              <w:start w:w="90" w:type="dxa"/>
              <w:bottom w:w="70" w:type="dxa"/>
              <w:end w:w="90" w:type="dxa"/>
            </w:tcMar>
          </w:tcPr>
          <w:p>
            <w:pPr>
              <w:pStyle w:val="Compact"/>
              <w:spacing w:before="0" w:after="0" w:line="240" w:lineRule="auto"/>
            </w:pPr>
            <w:r>
              <w:t>Single: temp\_min (smooth, linear)</w:t>
            </w:r>
          </w:p>
        </w:tc>
      </w:tr>
      <w:tr>
        <w:tc>
          <w:tcPr>
            <w:tcW w:type="dxa" w:w="1150"/>
            <w:vAlign w:val="center"/>
            <w:tcMar>
              <w:top w:w="70" w:type="dxa"/>
              <w:start w:w="90" w:type="dxa"/>
              <w:bottom w:w="70" w:type="dxa"/>
              <w:end w:w="90" w:type="dxa"/>
            </w:tcMar>
          </w:tcPr>
          <w:p>
            <w:pPr>
              <w:pStyle w:val="Compact"/>
              <w:spacing w:before="0" w:after="0" w:line="240" w:lineRule="auto"/>
            </w:pPr>
            <w:r>
              <w:t>M5, M6</w:t>
            </w:r>
          </w:p>
        </w:tc>
        <w:tc>
          <w:tcPr>
            <w:tcW w:type="dxa" w:w="8120"/>
            <w:vAlign w:val="center"/>
            <w:tcMar>
              <w:top w:w="70" w:type="dxa"/>
              <w:start w:w="90" w:type="dxa"/>
              <w:bottom w:w="70" w:type="dxa"/>
              <w:end w:w="90" w:type="dxa"/>
            </w:tcMar>
          </w:tcPr>
          <w:p>
            <w:pPr>
              <w:pStyle w:val="Compact"/>
              <w:spacing w:before="0" w:after="0" w:line="240" w:lineRule="auto"/>
            </w:pPr>
            <w:r>
              <w:t>Single: temp\_max (smooth, linear)</w:t>
            </w:r>
          </w:p>
        </w:tc>
      </w:tr>
      <w:tr>
        <w:tc>
          <w:tcPr>
            <w:tcW w:type="dxa" w:w="1150"/>
            <w:vAlign w:val="center"/>
            <w:tcMar>
              <w:top w:w="70" w:type="dxa"/>
              <w:start w:w="90" w:type="dxa"/>
              <w:bottom w:w="70" w:type="dxa"/>
              <w:end w:w="90" w:type="dxa"/>
            </w:tcMar>
          </w:tcPr>
          <w:p>
            <w:pPr>
              <w:pStyle w:val="Compact"/>
              <w:spacing w:before="0" w:after="0" w:line="240" w:lineRule="auto"/>
            </w:pPr>
            <w:r>
              <w:t>M7, M8</w:t>
            </w:r>
          </w:p>
        </w:tc>
        <w:tc>
          <w:tcPr>
            <w:tcW w:type="dxa" w:w="8120"/>
            <w:vAlign w:val="center"/>
            <w:tcMar>
              <w:top w:w="70" w:type="dxa"/>
              <w:start w:w="90" w:type="dxa"/>
              <w:bottom w:w="70" w:type="dxa"/>
              <w:end w:w="90" w:type="dxa"/>
            </w:tcMar>
          </w:tcPr>
          <w:p>
            <w:pPr>
              <w:pStyle w:val="Compact"/>
              <w:spacing w:before="0" w:after="0" w:line="240" w:lineRule="auto"/>
            </w:pPr>
            <w:r>
              <w:t>Single: temp\_at\_max\_count\_t\_1 (smooth, linear)</w:t>
            </w:r>
          </w:p>
        </w:tc>
      </w:tr>
      <w:tr>
        <w:tc>
          <w:tcPr>
            <w:tcW w:type="dxa" w:w="1150"/>
            <w:vAlign w:val="center"/>
            <w:tcMar>
              <w:top w:w="70" w:type="dxa"/>
              <w:start w:w="90" w:type="dxa"/>
              <w:bottom w:w="70" w:type="dxa"/>
              <w:end w:w="90" w:type="dxa"/>
            </w:tcMar>
          </w:tcPr>
          <w:p>
            <w:pPr>
              <w:pStyle w:val="Compact"/>
              <w:spacing w:before="0" w:after="0" w:line="240" w:lineRule="auto"/>
            </w:pPr>
            <w:r>
              <w:t>M9, M10</w:t>
            </w:r>
          </w:p>
        </w:tc>
        <w:tc>
          <w:tcPr>
            <w:tcW w:type="dxa" w:w="8120"/>
            <w:vAlign w:val="center"/>
            <w:tcMar>
              <w:top w:w="70" w:type="dxa"/>
              <w:start w:w="90" w:type="dxa"/>
              <w:bottom w:w="70" w:type="dxa"/>
              <w:end w:w="90" w:type="dxa"/>
            </w:tcMar>
          </w:tcPr>
          <w:p>
            <w:pPr>
              <w:pStyle w:val="Compact"/>
              <w:spacing w:before="0" w:after="0" w:line="240" w:lineRule="auto"/>
            </w:pPr>
            <w:r>
              <w:t>Single: wind\_max\_gust (smooth, linear)</w:t>
            </w:r>
          </w:p>
        </w:tc>
      </w:tr>
      <w:tr>
        <w:tc>
          <w:tcPr>
            <w:tcW w:type="dxa" w:w="1150"/>
            <w:vAlign w:val="center"/>
            <w:tcMar>
              <w:top w:w="70" w:type="dxa"/>
              <w:start w:w="90" w:type="dxa"/>
              <w:bottom w:w="70" w:type="dxa"/>
              <w:end w:w="90" w:type="dxa"/>
            </w:tcMar>
          </w:tcPr>
          <w:p>
            <w:pPr>
              <w:pStyle w:val="Compact"/>
              <w:spacing w:before="0" w:after="0" w:line="240" w:lineRule="auto"/>
            </w:pPr>
            <w:r>
              <w:t>M11, M12</w:t>
            </w:r>
          </w:p>
        </w:tc>
        <w:tc>
          <w:tcPr>
            <w:tcW w:type="dxa" w:w="8120"/>
            <w:vAlign w:val="center"/>
            <w:tcMar>
              <w:top w:w="70" w:type="dxa"/>
              <w:start w:w="90" w:type="dxa"/>
              <w:bottom w:w="70" w:type="dxa"/>
              <w:end w:w="90" w:type="dxa"/>
            </w:tcMar>
          </w:tcPr>
          <w:p>
            <w:pPr>
              <w:pStyle w:val="Compact"/>
              <w:spacing w:before="0" w:after="0" w:line="240" w:lineRule="auto"/>
            </w:pPr>
            <w:r>
              <w:t>Single: sum\_butterflies\_direct\_sun (smooth, linear)</w:t>
            </w:r>
          </w:p>
        </w:tc>
      </w:tr>
      <w:tr>
        <w:tc>
          <w:tcPr>
            <w:tcW w:type="dxa" w:w="1150"/>
            <w:vAlign w:val="center"/>
            <w:tcMar>
              <w:top w:w="70" w:type="dxa"/>
              <w:start w:w="90" w:type="dxa"/>
              <w:bottom w:w="70" w:type="dxa"/>
              <w:end w:w="90" w:type="dxa"/>
            </w:tcMar>
          </w:tcPr>
          <w:p>
            <w:pPr>
              <w:pStyle w:val="Compact"/>
              <w:spacing w:before="0" w:after="0" w:line="240" w:lineRule="auto"/>
            </w:pPr>
            <w:r>
              <w:t>M13, M14</w:t>
            </w:r>
          </w:p>
        </w:tc>
        <w:tc>
          <w:tcPr>
            <w:tcW w:type="dxa" w:w="8120"/>
            <w:vAlign w:val="center"/>
            <w:tcMar>
              <w:top w:w="70" w:type="dxa"/>
              <w:start w:w="90" w:type="dxa"/>
              <w:bottom w:w="70" w:type="dxa"/>
              <w:end w:w="90" w:type="dxa"/>
            </w:tcMar>
          </w:tcPr>
          <w:p>
            <w:pPr>
              <w:pStyle w:val="Compact"/>
              <w:spacing w:before="0" w:after="0" w:line="240" w:lineRule="auto"/>
            </w:pPr>
            <w:r>
              <w:t>Interaction: temp\_min temp\_max (smooth, linear)</w:t>
            </w:r>
          </w:p>
        </w:tc>
      </w:tr>
      <w:tr>
        <w:tc>
          <w:tcPr>
            <w:tcW w:type="dxa" w:w="1150"/>
            <w:vAlign w:val="center"/>
            <w:tcMar>
              <w:top w:w="70" w:type="dxa"/>
              <w:start w:w="90" w:type="dxa"/>
              <w:bottom w:w="70" w:type="dxa"/>
              <w:end w:w="90" w:type="dxa"/>
            </w:tcMar>
          </w:tcPr>
          <w:p>
            <w:pPr>
              <w:pStyle w:val="Compact"/>
              <w:spacing w:before="0" w:after="0" w:line="240" w:lineRule="auto"/>
            </w:pPr>
            <w:r>
              <w:t>M15, M16</w:t>
            </w:r>
          </w:p>
        </w:tc>
        <w:tc>
          <w:tcPr>
            <w:tcW w:type="dxa" w:w="8120"/>
            <w:vAlign w:val="center"/>
            <w:tcMar>
              <w:top w:w="70" w:type="dxa"/>
              <w:start w:w="90" w:type="dxa"/>
              <w:bottom w:w="70" w:type="dxa"/>
              <w:end w:w="90" w:type="dxa"/>
            </w:tcMar>
          </w:tcPr>
          <w:p>
            <w:pPr>
              <w:pStyle w:val="Compact"/>
              <w:spacing w:before="0" w:after="0" w:line="240" w:lineRule="auto"/>
            </w:pPr>
            <w:r>
              <w:t>Interaction: temp\_min temp\_at\_max\_count\_t\_1 (smooth, linear)</w:t>
            </w:r>
          </w:p>
        </w:tc>
      </w:tr>
      <w:tr>
        <w:tc>
          <w:tcPr>
            <w:tcW w:type="dxa" w:w="1150"/>
            <w:vAlign w:val="center"/>
            <w:tcMar>
              <w:top w:w="70" w:type="dxa"/>
              <w:start w:w="90" w:type="dxa"/>
              <w:bottom w:w="70" w:type="dxa"/>
              <w:end w:w="90" w:type="dxa"/>
            </w:tcMar>
          </w:tcPr>
          <w:p>
            <w:pPr>
              <w:pStyle w:val="Compact"/>
              <w:spacing w:before="0" w:after="0" w:line="240" w:lineRule="auto"/>
            </w:pPr>
            <w:r>
              <w:t>M17, M18</w:t>
            </w:r>
          </w:p>
        </w:tc>
        <w:tc>
          <w:tcPr>
            <w:tcW w:type="dxa" w:w="8120"/>
            <w:vAlign w:val="center"/>
            <w:tcMar>
              <w:top w:w="70" w:type="dxa"/>
              <w:start w:w="90" w:type="dxa"/>
              <w:bottom w:w="70" w:type="dxa"/>
              <w:end w:w="90" w:type="dxa"/>
            </w:tcMar>
          </w:tcPr>
          <w:p>
            <w:pPr>
              <w:pStyle w:val="Compact"/>
              <w:spacing w:before="0" w:after="0" w:line="240" w:lineRule="auto"/>
            </w:pPr>
            <w:r>
              <w:t>Interaction: temp\_min wind\_max\_gust (smooth, linear)</w:t>
            </w:r>
          </w:p>
        </w:tc>
      </w:tr>
      <w:tr>
        <w:tc>
          <w:tcPr>
            <w:tcW w:type="dxa" w:w="1150"/>
            <w:vAlign w:val="center"/>
            <w:tcMar>
              <w:top w:w="70" w:type="dxa"/>
              <w:start w:w="90" w:type="dxa"/>
              <w:bottom w:w="70" w:type="dxa"/>
              <w:end w:w="90" w:type="dxa"/>
            </w:tcMar>
          </w:tcPr>
          <w:p>
            <w:pPr>
              <w:pStyle w:val="Compact"/>
              <w:spacing w:before="0" w:after="0" w:line="240" w:lineRule="auto"/>
            </w:pPr>
            <w:r>
              <w:t>M19, M20</w:t>
            </w:r>
          </w:p>
        </w:tc>
        <w:tc>
          <w:tcPr>
            <w:tcW w:type="dxa" w:w="8120"/>
            <w:vAlign w:val="center"/>
            <w:tcMar>
              <w:top w:w="70" w:type="dxa"/>
              <w:start w:w="90" w:type="dxa"/>
              <w:bottom w:w="70" w:type="dxa"/>
              <w:end w:w="90" w:type="dxa"/>
            </w:tcMar>
          </w:tcPr>
          <w:p>
            <w:pPr>
              <w:pStyle w:val="Compact"/>
              <w:spacing w:before="0" w:after="0" w:line="240" w:lineRule="auto"/>
            </w:pPr>
            <w:r>
              <w:t>Interaction: temp\_min sum\_butterflies\_direct\_sun (smooth, linear)</w:t>
            </w:r>
          </w:p>
        </w:tc>
      </w:tr>
      <w:tr>
        <w:tc>
          <w:tcPr>
            <w:tcW w:type="dxa" w:w="1150"/>
            <w:vAlign w:val="center"/>
            <w:tcMar>
              <w:top w:w="70" w:type="dxa"/>
              <w:start w:w="90" w:type="dxa"/>
              <w:bottom w:w="70" w:type="dxa"/>
              <w:end w:w="90" w:type="dxa"/>
            </w:tcMar>
          </w:tcPr>
          <w:p>
            <w:pPr>
              <w:pStyle w:val="Compact"/>
              <w:spacing w:before="0" w:after="0" w:line="240" w:lineRule="auto"/>
            </w:pPr>
            <w:r>
              <w:t>M21, M22</w:t>
            </w:r>
          </w:p>
        </w:tc>
        <w:tc>
          <w:tcPr>
            <w:tcW w:type="dxa" w:w="8120"/>
            <w:vAlign w:val="center"/>
            <w:tcMar>
              <w:top w:w="70" w:type="dxa"/>
              <w:start w:w="90" w:type="dxa"/>
              <w:bottom w:w="70" w:type="dxa"/>
              <w:end w:w="90" w:type="dxa"/>
            </w:tcMar>
          </w:tcPr>
          <w:p>
            <w:pPr>
              <w:pStyle w:val="Compact"/>
              <w:spacing w:before="0" w:after="0" w:line="240" w:lineRule="auto"/>
            </w:pPr>
            <w:r>
              <w:t>Interaction: temp\_max temp\_at\_max\_count\_t\_1 (smooth, linear)</w:t>
            </w:r>
          </w:p>
        </w:tc>
      </w:tr>
      <w:tr>
        <w:tc>
          <w:tcPr>
            <w:tcW w:type="dxa" w:w="1150"/>
            <w:vAlign w:val="center"/>
            <w:tcMar>
              <w:top w:w="70" w:type="dxa"/>
              <w:start w:w="90" w:type="dxa"/>
              <w:bottom w:w="70" w:type="dxa"/>
              <w:end w:w="90" w:type="dxa"/>
            </w:tcMar>
          </w:tcPr>
          <w:p>
            <w:pPr>
              <w:pStyle w:val="Compact"/>
              <w:spacing w:before="0" w:after="0" w:line="240" w:lineRule="auto"/>
            </w:pPr>
            <w:r>
              <w:t>M23, M24</w:t>
            </w:r>
          </w:p>
        </w:tc>
        <w:tc>
          <w:tcPr>
            <w:tcW w:type="dxa" w:w="8120"/>
            <w:vAlign w:val="center"/>
            <w:tcMar>
              <w:top w:w="70" w:type="dxa"/>
              <w:start w:w="90" w:type="dxa"/>
              <w:bottom w:w="70" w:type="dxa"/>
              <w:end w:w="90" w:type="dxa"/>
            </w:tcMar>
          </w:tcPr>
          <w:p>
            <w:pPr>
              <w:pStyle w:val="Compact"/>
              <w:spacing w:before="0" w:after="0" w:line="240" w:lineRule="auto"/>
            </w:pPr>
            <w:r>
              <w:t>Interaction: temp\_max wind\_max\_gust (smooth, linear)</w:t>
            </w:r>
          </w:p>
        </w:tc>
      </w:tr>
      <w:tr>
        <w:tc>
          <w:tcPr>
            <w:tcW w:type="dxa" w:w="1150"/>
            <w:vAlign w:val="center"/>
            <w:tcMar>
              <w:top w:w="70" w:type="dxa"/>
              <w:start w:w="90" w:type="dxa"/>
              <w:bottom w:w="70" w:type="dxa"/>
              <w:end w:w="90" w:type="dxa"/>
            </w:tcMar>
          </w:tcPr>
          <w:p>
            <w:pPr>
              <w:pStyle w:val="Compact"/>
              <w:spacing w:before="0" w:after="0" w:line="240" w:lineRule="auto"/>
            </w:pPr>
            <w:r>
              <w:t>M25, M26</w:t>
            </w:r>
          </w:p>
        </w:tc>
        <w:tc>
          <w:tcPr>
            <w:tcW w:type="dxa" w:w="8120"/>
            <w:vAlign w:val="center"/>
            <w:tcMar>
              <w:top w:w="70" w:type="dxa"/>
              <w:start w:w="90" w:type="dxa"/>
              <w:bottom w:w="70" w:type="dxa"/>
              <w:end w:w="90" w:type="dxa"/>
            </w:tcMar>
          </w:tcPr>
          <w:p>
            <w:pPr>
              <w:pStyle w:val="Compact"/>
              <w:spacing w:before="0" w:after="0" w:line="240" w:lineRule="auto"/>
            </w:pPr>
            <w:r>
              <w:t>Interaction: temp\_max sum\_butterflies\_direct\_sun (smooth, linear)</w:t>
            </w:r>
          </w:p>
        </w:tc>
      </w:tr>
      <w:tr>
        <w:tc>
          <w:tcPr>
            <w:tcW w:type="dxa" w:w="1150"/>
            <w:vAlign w:val="center"/>
            <w:tcMar>
              <w:top w:w="70" w:type="dxa"/>
              <w:start w:w="90" w:type="dxa"/>
              <w:bottom w:w="70" w:type="dxa"/>
              <w:end w:w="90" w:type="dxa"/>
            </w:tcMar>
          </w:tcPr>
          <w:p>
            <w:pPr>
              <w:pStyle w:val="Compact"/>
              <w:spacing w:before="0" w:after="0" w:line="240" w:lineRule="auto"/>
            </w:pPr>
            <w:r>
              <w:t>M27, M28</w:t>
            </w:r>
          </w:p>
        </w:tc>
        <w:tc>
          <w:tcPr>
            <w:tcW w:type="dxa" w:w="8120"/>
            <w:vAlign w:val="center"/>
            <w:tcMar>
              <w:top w:w="70" w:type="dxa"/>
              <w:start w:w="90" w:type="dxa"/>
              <w:bottom w:w="70" w:type="dxa"/>
              <w:end w:w="90" w:type="dxa"/>
            </w:tcMar>
          </w:tcPr>
          <w:p>
            <w:pPr>
              <w:pStyle w:val="Compact"/>
              <w:spacing w:before="0" w:after="0" w:line="240" w:lineRule="auto"/>
            </w:pPr>
            <w:r>
              <w:t>Interaction: temp\_at\_max\_count\_t\_1 wind\_max\_gust (smooth, linear)</w:t>
            </w:r>
          </w:p>
        </w:tc>
      </w:tr>
      <w:tr>
        <w:tc>
          <w:tcPr>
            <w:tcW w:type="dxa" w:w="1150"/>
            <w:vAlign w:val="center"/>
            <w:tcMar>
              <w:top w:w="70" w:type="dxa"/>
              <w:start w:w="90" w:type="dxa"/>
              <w:bottom w:w="70" w:type="dxa"/>
              <w:end w:w="90" w:type="dxa"/>
            </w:tcMar>
          </w:tcPr>
          <w:p>
            <w:pPr>
              <w:pStyle w:val="Compact"/>
              <w:spacing w:before="0" w:after="0" w:line="240" w:lineRule="auto"/>
            </w:pPr>
            <w:r>
              <w:t>M29, M30</w:t>
            </w:r>
          </w:p>
        </w:tc>
        <w:tc>
          <w:tcPr>
            <w:tcW w:type="dxa" w:w="8120"/>
            <w:vAlign w:val="center"/>
            <w:tcMar>
              <w:top w:w="70" w:type="dxa"/>
              <w:start w:w="90" w:type="dxa"/>
              <w:bottom w:w="70" w:type="dxa"/>
              <w:end w:w="90" w:type="dxa"/>
            </w:tcMar>
          </w:tcPr>
          <w:p>
            <w:pPr>
              <w:pStyle w:val="Compact"/>
              <w:spacing w:before="0" w:after="0" w:line="240" w:lineRule="auto"/>
            </w:pPr>
            <w:r>
              <w:t>Interaction: temp\_at\_max\_count\_t\_1 sum\_butterflies\_direct\_sun (smooth, linear)</w:t>
            </w:r>
          </w:p>
        </w:tc>
      </w:tr>
      <w:tr>
        <w:tc>
          <w:tcPr>
            <w:tcW w:type="dxa" w:w="1150"/>
            <w:vAlign w:val="center"/>
            <w:tcMar>
              <w:top w:w="70" w:type="dxa"/>
              <w:start w:w="90" w:type="dxa"/>
              <w:bottom w:w="70" w:type="dxa"/>
              <w:end w:w="90" w:type="dxa"/>
            </w:tcMar>
          </w:tcPr>
          <w:p>
            <w:pPr>
              <w:pStyle w:val="Compact"/>
              <w:spacing w:before="0" w:after="0" w:line="240" w:lineRule="auto"/>
            </w:pPr>
            <w:r>
              <w:t>M31, M32</w:t>
            </w:r>
          </w:p>
        </w:tc>
        <w:tc>
          <w:tcPr>
            <w:tcW w:type="dxa" w:w="8120"/>
            <w:vAlign w:val="center"/>
            <w:tcMar>
              <w:top w:w="70" w:type="dxa"/>
              <w:start w:w="90" w:type="dxa"/>
              <w:bottom w:w="70" w:type="dxa"/>
              <w:end w:w="90" w:type="dxa"/>
            </w:tcMar>
          </w:tcPr>
          <w:p>
            <w:pPr>
              <w:pStyle w:val="Compact"/>
              <w:spacing w:before="0" w:after="0" w:line="240" w:lineRule="auto"/>
            </w:pPr>
            <w:r>
              <w:t>Interaction: wind\_max\_gust sum\_butterflies\_direct\_sun (smooth, linear)</w:t>
            </w:r>
          </w:p>
        </w:tc>
      </w:tr>
      <w:tr>
        <w:tc>
          <w:tcPr>
            <w:tcW w:type="dxa" w:w="1150"/>
            <w:vAlign w:val="center"/>
            <w:tcMar>
              <w:top w:w="70" w:type="dxa"/>
              <w:start w:w="90" w:type="dxa"/>
              <w:bottom w:w="70" w:type="dxa"/>
              <w:end w:w="90" w:type="dxa"/>
            </w:tcMar>
          </w:tcPr>
          <w:p>
            <w:pPr>
              <w:pStyle w:val="Compact"/>
              <w:spacing w:before="0" w:after="0" w:line="240" w:lineRule="auto"/>
            </w:pPr>
            <w:r>
              <w:t>M33, M34</w:t>
            </w:r>
          </w:p>
        </w:tc>
        <w:tc>
          <w:tcPr>
            <w:tcW w:type="dxa" w:w="8120"/>
            <w:vAlign w:val="center"/>
            <w:tcMar>
              <w:top w:w="70" w:type="dxa"/>
              <w:start w:w="90" w:type="dxa"/>
              <w:bottom w:w="70" w:type="dxa"/>
              <w:end w:w="90" w:type="dxa"/>
            </w:tcMar>
          </w:tcPr>
          <w:p>
            <w:pPr>
              <w:pStyle w:val="Compact"/>
              <w:spacing w:before="0" w:after="0" w:line="240" w:lineRule="auto"/>
            </w:pPr>
            <w:r>
              <w:t>Additive + Interaction: temp\_min + temp\_max + interaction (smooth, linear)</w:t>
            </w:r>
          </w:p>
        </w:tc>
      </w:tr>
      <w:tr>
        <w:tc>
          <w:tcPr>
            <w:tcW w:type="dxa" w:w="1150"/>
            <w:vAlign w:val="center"/>
            <w:tcMar>
              <w:top w:w="70" w:type="dxa"/>
              <w:start w:w="90" w:type="dxa"/>
              <w:bottom w:w="70" w:type="dxa"/>
              <w:end w:w="90" w:type="dxa"/>
            </w:tcMar>
          </w:tcPr>
          <w:p>
            <w:pPr>
              <w:pStyle w:val="Compact"/>
              <w:spacing w:before="0" w:after="0" w:line="240" w:lineRule="auto"/>
            </w:pPr>
            <w:r>
              <w:t>M35, M36</w:t>
            </w:r>
          </w:p>
        </w:tc>
        <w:tc>
          <w:tcPr>
            <w:tcW w:type="dxa" w:w="8120"/>
            <w:vAlign w:val="center"/>
            <w:tcMar>
              <w:top w:w="70" w:type="dxa"/>
              <w:start w:w="90" w:type="dxa"/>
              <w:bottom w:w="70" w:type="dxa"/>
              <w:end w:w="90" w:type="dxa"/>
            </w:tcMar>
          </w:tcPr>
          <w:p>
            <w:pPr>
              <w:pStyle w:val="Compact"/>
              <w:spacing w:before="0" w:after="0" w:line="240" w:lineRule="auto"/>
            </w:pPr>
            <w:r>
              <w:t>Additive + Interaction: temp\_min + temp\_at\_max\_count\_t\_1 + interaction (smooth, linear)</w:t>
            </w:r>
          </w:p>
        </w:tc>
      </w:tr>
      <w:tr>
        <w:tc>
          <w:tcPr>
            <w:tcW w:type="dxa" w:w="1150"/>
            <w:vAlign w:val="center"/>
            <w:tcMar>
              <w:top w:w="70" w:type="dxa"/>
              <w:start w:w="90" w:type="dxa"/>
              <w:bottom w:w="70" w:type="dxa"/>
              <w:end w:w="90" w:type="dxa"/>
            </w:tcMar>
          </w:tcPr>
          <w:p>
            <w:pPr>
              <w:pStyle w:val="Compact"/>
              <w:spacing w:before="0" w:after="0" w:line="240" w:lineRule="auto"/>
            </w:pPr>
            <w:r>
              <w:t>M37, M38</w:t>
            </w:r>
          </w:p>
        </w:tc>
        <w:tc>
          <w:tcPr>
            <w:tcW w:type="dxa" w:w="8120"/>
            <w:vAlign w:val="center"/>
            <w:tcMar>
              <w:top w:w="70" w:type="dxa"/>
              <w:start w:w="90" w:type="dxa"/>
              <w:bottom w:w="70" w:type="dxa"/>
              <w:end w:w="90" w:type="dxa"/>
            </w:tcMar>
          </w:tcPr>
          <w:p>
            <w:pPr>
              <w:pStyle w:val="Compact"/>
              <w:spacing w:before="0" w:after="0" w:line="240" w:lineRule="auto"/>
            </w:pPr>
            <w:r>
              <w:t>Additive + Interaction: temp\_min + wind\_max\_gust + interaction (smooth, linear)</w:t>
            </w:r>
          </w:p>
        </w:tc>
      </w:tr>
      <w:tr>
        <w:tc>
          <w:tcPr>
            <w:tcW w:type="dxa" w:w="1150"/>
            <w:vAlign w:val="center"/>
            <w:tcMar>
              <w:top w:w="70" w:type="dxa"/>
              <w:start w:w="90" w:type="dxa"/>
              <w:bottom w:w="70" w:type="dxa"/>
              <w:end w:w="90" w:type="dxa"/>
            </w:tcMar>
          </w:tcPr>
          <w:p>
            <w:pPr>
              <w:pStyle w:val="Compact"/>
              <w:spacing w:before="0" w:after="0" w:line="240" w:lineRule="auto"/>
            </w:pPr>
            <w:r>
              <w:t>M39, M40</w:t>
            </w:r>
          </w:p>
        </w:tc>
        <w:tc>
          <w:tcPr>
            <w:tcW w:type="dxa" w:w="8120"/>
            <w:vAlign w:val="center"/>
            <w:tcMar>
              <w:top w:w="70" w:type="dxa"/>
              <w:start w:w="90" w:type="dxa"/>
              <w:bottom w:w="70" w:type="dxa"/>
              <w:end w:w="90" w:type="dxa"/>
            </w:tcMar>
          </w:tcPr>
          <w:p>
            <w:pPr>
              <w:pStyle w:val="Compact"/>
              <w:spacing w:before="0" w:after="0" w:line="240" w:lineRule="auto"/>
            </w:pPr>
            <w:r>
              <w:t>Additive + Interaction: temp\_min + sum\_butterflies\_direct\_sun + interaction (smooth, linear)</w:t>
            </w:r>
          </w:p>
        </w:tc>
      </w:tr>
      <w:tr>
        <w:tc>
          <w:tcPr>
            <w:tcW w:type="dxa" w:w="1150"/>
            <w:vAlign w:val="center"/>
            <w:tcMar>
              <w:top w:w="70" w:type="dxa"/>
              <w:start w:w="90" w:type="dxa"/>
              <w:bottom w:w="70" w:type="dxa"/>
              <w:end w:w="90" w:type="dxa"/>
            </w:tcMar>
          </w:tcPr>
          <w:p>
            <w:pPr>
              <w:pStyle w:val="Compact"/>
              <w:spacing w:before="0" w:after="0" w:line="240" w:lineRule="auto"/>
            </w:pPr>
            <w:r>
              <w:t>M41, M42</w:t>
            </w:r>
          </w:p>
        </w:tc>
        <w:tc>
          <w:tcPr>
            <w:tcW w:type="dxa" w:w="8120"/>
            <w:vAlign w:val="center"/>
            <w:tcMar>
              <w:top w:w="70" w:type="dxa"/>
              <w:start w:w="90" w:type="dxa"/>
              <w:bottom w:w="70" w:type="dxa"/>
              <w:end w:w="90" w:type="dxa"/>
            </w:tcMar>
          </w:tcPr>
          <w:p>
            <w:pPr>
              <w:pStyle w:val="Compact"/>
              <w:spacing w:before="0" w:after="0" w:line="240" w:lineRule="auto"/>
            </w:pPr>
            <w:r>
              <w:t>Additive + Interaction: temp\_max + temp\_at\_max\_count\_t\_1 + interaction (smooth, linear)</w:t>
            </w:r>
          </w:p>
        </w:tc>
      </w:tr>
      <w:tr>
        <w:tc>
          <w:tcPr>
            <w:tcW w:type="dxa" w:w="1150"/>
            <w:vAlign w:val="center"/>
            <w:tcMar>
              <w:top w:w="70" w:type="dxa"/>
              <w:start w:w="90" w:type="dxa"/>
              <w:bottom w:w="70" w:type="dxa"/>
              <w:end w:w="90" w:type="dxa"/>
            </w:tcMar>
          </w:tcPr>
          <w:p>
            <w:pPr>
              <w:pStyle w:val="Compact"/>
              <w:spacing w:before="0" w:after="0" w:line="240" w:lineRule="auto"/>
            </w:pPr>
            <w:r>
              <w:t>M43, M44</w:t>
            </w:r>
          </w:p>
        </w:tc>
        <w:tc>
          <w:tcPr>
            <w:tcW w:type="dxa" w:w="8120"/>
            <w:vAlign w:val="center"/>
            <w:tcMar>
              <w:top w:w="70" w:type="dxa"/>
              <w:start w:w="90" w:type="dxa"/>
              <w:bottom w:w="70" w:type="dxa"/>
              <w:end w:w="90" w:type="dxa"/>
            </w:tcMar>
          </w:tcPr>
          <w:p>
            <w:pPr>
              <w:pStyle w:val="Compact"/>
              <w:spacing w:before="0" w:after="0" w:line="240" w:lineRule="auto"/>
            </w:pPr>
            <w:r>
              <w:t>Additive + Interaction: temp\_max + wind\_max\_gust + interaction (smooth, linear)</w:t>
            </w:r>
          </w:p>
        </w:tc>
      </w:tr>
      <w:tr>
        <w:tc>
          <w:tcPr>
            <w:tcW w:type="dxa" w:w="1150"/>
            <w:vAlign w:val="center"/>
            <w:tcMar>
              <w:top w:w="70" w:type="dxa"/>
              <w:start w:w="90" w:type="dxa"/>
              <w:bottom w:w="70" w:type="dxa"/>
              <w:end w:w="90" w:type="dxa"/>
            </w:tcMar>
          </w:tcPr>
          <w:p>
            <w:pPr>
              <w:pStyle w:val="Compact"/>
              <w:spacing w:before="0" w:after="0" w:line="240" w:lineRule="auto"/>
            </w:pPr>
            <w:r>
              <w:t>M45, M46</w:t>
            </w:r>
          </w:p>
        </w:tc>
        <w:tc>
          <w:tcPr>
            <w:tcW w:type="dxa" w:w="8120"/>
            <w:vAlign w:val="center"/>
            <w:tcMar>
              <w:top w:w="70" w:type="dxa"/>
              <w:start w:w="90" w:type="dxa"/>
              <w:bottom w:w="70" w:type="dxa"/>
              <w:end w:w="90" w:type="dxa"/>
            </w:tcMar>
          </w:tcPr>
          <w:p>
            <w:pPr>
              <w:pStyle w:val="Compact"/>
              <w:spacing w:before="0" w:after="0" w:line="240" w:lineRule="auto"/>
            </w:pPr>
            <w:r>
              <w:t>Additive + Interaction: temp\_max + sum\_butterflies\_direct\_sun + interaction (smooth, linear)</w:t>
            </w:r>
          </w:p>
        </w:tc>
      </w:tr>
      <w:tr>
        <w:tc>
          <w:tcPr>
            <w:tcW w:type="dxa" w:w="1150"/>
            <w:vAlign w:val="center"/>
            <w:tcMar>
              <w:top w:w="70" w:type="dxa"/>
              <w:start w:w="90" w:type="dxa"/>
              <w:bottom w:w="70" w:type="dxa"/>
              <w:end w:w="90" w:type="dxa"/>
            </w:tcMar>
          </w:tcPr>
          <w:p>
            <w:pPr>
              <w:pStyle w:val="Compact"/>
              <w:spacing w:before="0" w:after="0" w:line="240" w:lineRule="auto"/>
            </w:pPr>
            <w:r>
              <w:t>M47, M48</w:t>
            </w:r>
          </w:p>
        </w:tc>
        <w:tc>
          <w:tcPr>
            <w:tcW w:type="dxa" w:w="8120"/>
            <w:vAlign w:val="center"/>
            <w:tcMar>
              <w:top w:w="70" w:type="dxa"/>
              <w:start w:w="90" w:type="dxa"/>
              <w:bottom w:w="70" w:type="dxa"/>
              <w:end w:w="90" w:type="dxa"/>
            </w:tcMar>
          </w:tcPr>
          <w:p>
            <w:pPr>
              <w:pStyle w:val="Compact"/>
              <w:spacing w:before="0" w:after="0" w:line="240" w:lineRule="auto"/>
            </w:pPr>
            <w:r>
              <w:t>Additive + Interaction: temp\_at\_max\_count\_t\_1 + wind\_max\_gust + interaction (smooth, linear)</w:t>
            </w:r>
          </w:p>
        </w:tc>
      </w:tr>
      <w:tr>
        <w:tc>
          <w:tcPr>
            <w:tcW w:type="dxa" w:w="1150"/>
            <w:vAlign w:val="center"/>
            <w:tcMar>
              <w:top w:w="70" w:type="dxa"/>
              <w:start w:w="90" w:type="dxa"/>
              <w:bottom w:w="70" w:type="dxa"/>
              <w:end w:w="90" w:type="dxa"/>
            </w:tcMar>
          </w:tcPr>
          <w:p>
            <w:pPr>
              <w:pStyle w:val="Compact"/>
              <w:spacing w:before="0" w:after="0" w:line="240" w:lineRule="auto"/>
            </w:pPr>
            <w:r>
              <w:t>M49, M50</w:t>
            </w:r>
          </w:p>
        </w:tc>
        <w:tc>
          <w:tcPr>
            <w:tcW w:type="dxa" w:w="8120"/>
            <w:vAlign w:val="center"/>
            <w:tcMar>
              <w:top w:w="70" w:type="dxa"/>
              <w:start w:w="90" w:type="dxa"/>
              <w:bottom w:w="70" w:type="dxa"/>
              <w:end w:w="90" w:type="dxa"/>
            </w:tcMar>
          </w:tcPr>
          <w:p>
            <w:pPr>
              <w:pStyle w:val="Compact"/>
              <w:spacing w:before="0" w:after="0" w:line="240" w:lineRule="auto"/>
            </w:pPr>
            <w:r>
              <w:t>Additive + Interaction: temp\_at\_max\_count\_t\_1 + sum\_butterflies\_direct\_sun + interaction (smooth, linear)</w:t>
            </w:r>
          </w:p>
        </w:tc>
      </w:tr>
      <w:tr>
        <w:tc>
          <w:tcPr>
            <w:tcW w:type="dxa" w:w="1150"/>
            <w:vAlign w:val="center"/>
            <w:tcMar>
              <w:top w:w="70" w:type="dxa"/>
              <w:start w:w="90" w:type="dxa"/>
              <w:bottom w:w="70" w:type="dxa"/>
              <w:end w:w="90" w:type="dxa"/>
            </w:tcMar>
          </w:tcPr>
          <w:p>
            <w:pPr>
              <w:pStyle w:val="Compact"/>
              <w:spacing w:before="0" w:after="0" w:line="240" w:lineRule="auto"/>
            </w:pPr>
            <w:r>
              <w:t>M51, M52</w:t>
            </w:r>
          </w:p>
        </w:tc>
        <w:tc>
          <w:tcPr>
            <w:tcW w:type="dxa" w:w="8120"/>
            <w:vAlign w:val="center"/>
            <w:tcMar>
              <w:top w:w="70" w:type="dxa"/>
              <w:start w:w="90" w:type="dxa"/>
              <w:bottom w:w="70" w:type="dxa"/>
              <w:end w:w="90" w:type="dxa"/>
            </w:tcMar>
          </w:tcPr>
          <w:p>
            <w:pPr>
              <w:pStyle w:val="Compact"/>
              <w:spacing w:before="0" w:after="0" w:line="240" w:lineRule="auto"/>
            </w:pPr>
            <w:r>
              <w:t>Additive + Interaction: wind\_max\_gust + sum\_butterflies\_direct\_sun + interaction (smooth, linear)</w:t>
            </w:r>
          </w:p>
        </w:tc>
      </w:tr>
      <w:tr>
        <w:tc>
          <w:tcPr>
            <w:tcW w:type="dxa" w:w="1150"/>
            <w:vAlign w:val="center"/>
            <w:tcMar>
              <w:top w:w="70" w:type="dxa"/>
              <w:start w:w="90" w:type="dxa"/>
              <w:bottom w:w="70" w:type="dxa"/>
              <w:end w:w="90" w:type="dxa"/>
            </w:tcMar>
          </w:tcPr>
          <w:p>
            <w:pPr>
              <w:pStyle w:val="Compact"/>
              <w:spacing w:before="0" w:after="0" w:line="240" w:lineRule="auto"/>
            </w:pPr>
            <w:r>
              <w:t>M53, M54</w:t>
            </w:r>
          </w:p>
        </w:tc>
        <w:tc>
          <w:tcPr>
            <w:tcW w:type="dxa" w:w="8120"/>
            <w:vAlign w:val="center"/>
            <w:tcMar>
              <w:top w:w="70" w:type="dxa"/>
              <w:start w:w="90" w:type="dxa"/>
              <w:bottom w:w="70" w:type="dxa"/>
              <w:end w:w="90" w:type="dxa"/>
            </w:tcMar>
          </w:tcPr>
          <w:p>
            <w:pPr>
              <w:pStyle w:val="Compact"/>
              <w:spacing w:before="0" w:after="0" w:line="240" w:lineRule="auto"/>
            </w:pPr>
            <w:r>
              <w:t>Additive: All temperature variables (smooth, linear)</w:t>
            </w:r>
          </w:p>
        </w:tc>
      </w:tr>
      <w:tr>
        <w:tc>
          <w:tcPr>
            <w:tcW w:type="dxa" w:w="1150"/>
            <w:vAlign w:val="center"/>
            <w:tcMar>
              <w:top w:w="70" w:type="dxa"/>
              <w:start w:w="90" w:type="dxa"/>
              <w:bottom w:w="70" w:type="dxa"/>
              <w:end w:w="90" w:type="dxa"/>
            </w:tcMar>
          </w:tcPr>
          <w:p>
            <w:pPr>
              <w:pStyle w:val="Compact"/>
              <w:spacing w:before="0" w:after="0" w:line="240" w:lineRule="auto"/>
            </w:pPr>
            <w:r>
              <w:t>M55, M56</w:t>
            </w:r>
          </w:p>
        </w:tc>
        <w:tc>
          <w:tcPr>
            <w:tcW w:type="dxa" w:w="8120"/>
            <w:vAlign w:val="center"/>
            <w:tcMar>
              <w:top w:w="70" w:type="dxa"/>
              <w:start w:w="90" w:type="dxa"/>
              <w:bottom w:w="70" w:type="dxa"/>
              <w:end w:w="90" w:type="dxa"/>
            </w:tcMar>
          </w:tcPr>
          <w:p>
            <w:pPr>
              <w:pStyle w:val="Compact"/>
              <w:spacing w:before="0" w:after="0" w:line="240" w:lineRule="auto"/>
            </w:pPr>
            <w:r>
              <w:t>Additive: temp\_min + temp\_max (smooth, linear)</w:t>
            </w:r>
          </w:p>
        </w:tc>
      </w:tr>
      <w:tr>
        <w:tc>
          <w:tcPr>
            <w:tcW w:type="dxa" w:w="1150"/>
            <w:vAlign w:val="center"/>
            <w:tcMar>
              <w:top w:w="70" w:type="dxa"/>
              <w:start w:w="90" w:type="dxa"/>
              <w:bottom w:w="70" w:type="dxa"/>
              <w:end w:w="90" w:type="dxa"/>
            </w:tcMar>
          </w:tcPr>
          <w:p>
            <w:pPr>
              <w:pStyle w:val="Compact"/>
              <w:spacing w:before="0" w:after="0" w:line="240" w:lineRule="auto"/>
            </w:pPr>
            <w:r>
              <w:t>M57, M58</w:t>
            </w:r>
          </w:p>
        </w:tc>
        <w:tc>
          <w:tcPr>
            <w:tcW w:type="dxa" w:w="8120"/>
            <w:vAlign w:val="center"/>
            <w:tcMar>
              <w:top w:w="70" w:type="dxa"/>
              <w:start w:w="90" w:type="dxa"/>
              <w:bottom w:w="70" w:type="dxa"/>
              <w:end w:w="90" w:type="dxa"/>
            </w:tcMar>
          </w:tcPr>
          <w:p>
            <w:pPr>
              <w:pStyle w:val="Compact"/>
              <w:spacing w:before="0" w:after="0" w:line="240" w:lineRule="auto"/>
            </w:pPr>
            <w:r>
              <w:t>Additive: temp\_min + wind\_max\_gust (smooth, linear)</w:t>
            </w:r>
          </w:p>
        </w:tc>
      </w:tr>
      <w:tr>
        <w:tc>
          <w:tcPr>
            <w:tcW w:type="dxa" w:w="1150"/>
            <w:vAlign w:val="center"/>
            <w:tcMar>
              <w:top w:w="70" w:type="dxa"/>
              <w:start w:w="90" w:type="dxa"/>
              <w:bottom w:w="70" w:type="dxa"/>
              <w:end w:w="90" w:type="dxa"/>
            </w:tcMar>
          </w:tcPr>
          <w:p>
            <w:pPr>
              <w:pStyle w:val="Compact"/>
              <w:spacing w:before="0" w:after="0" w:line="240" w:lineRule="auto"/>
            </w:pPr>
            <w:r>
              <w:t>M59, M60</w:t>
            </w:r>
          </w:p>
        </w:tc>
        <w:tc>
          <w:tcPr>
            <w:tcW w:type="dxa" w:w="8120"/>
            <w:vAlign w:val="center"/>
            <w:tcMar>
              <w:top w:w="70" w:type="dxa"/>
              <w:start w:w="90" w:type="dxa"/>
              <w:bottom w:w="70" w:type="dxa"/>
              <w:end w:w="90" w:type="dxa"/>
            </w:tcMar>
          </w:tcPr>
          <w:p>
            <w:pPr>
              <w:pStyle w:val="Compact"/>
              <w:spacing w:before="0" w:after="0" w:line="240" w:lineRule="auto"/>
            </w:pPr>
            <w:r>
              <w:t>Additive: temp\_max + wind\_max\_gust (smooth, linear)</w:t>
            </w:r>
          </w:p>
        </w:tc>
      </w:tr>
      <w:tr>
        <w:tc>
          <w:tcPr>
            <w:tcW w:type="dxa" w:w="1150"/>
            <w:vAlign w:val="center"/>
            <w:tcMar>
              <w:top w:w="70" w:type="dxa"/>
              <w:start w:w="90" w:type="dxa"/>
              <w:bottom w:w="70" w:type="dxa"/>
              <w:end w:w="90" w:type="dxa"/>
            </w:tcMar>
          </w:tcPr>
          <w:p>
            <w:pPr>
              <w:pStyle w:val="Compact"/>
              <w:spacing w:before="0" w:after="0" w:line="240" w:lineRule="auto"/>
            </w:pPr>
            <w:r>
              <w:t>M61, M62</w:t>
            </w:r>
          </w:p>
        </w:tc>
        <w:tc>
          <w:tcPr>
            <w:tcW w:type="dxa" w:w="8120"/>
            <w:vAlign w:val="center"/>
            <w:tcMar>
              <w:top w:w="70" w:type="dxa"/>
              <w:start w:w="90" w:type="dxa"/>
              <w:bottom w:w="70" w:type="dxa"/>
              <w:end w:w="90" w:type="dxa"/>
            </w:tcMar>
          </w:tcPr>
          <w:p>
            <w:pPr>
              <w:pStyle w:val="Compact"/>
              <w:spacing w:before="0" w:after="0" w:line="240" w:lineRule="auto"/>
            </w:pPr>
            <w:r>
              <w:t>Additive: temp\_at\_max\_count\_t\_1 + wind\_max\_gust (smooth, linear)</w:t>
            </w:r>
          </w:p>
        </w:tc>
      </w:tr>
      <w:tr>
        <w:tc>
          <w:tcPr>
            <w:tcW w:type="dxa" w:w="1150"/>
            <w:vAlign w:val="center"/>
            <w:tcMar>
              <w:top w:w="70" w:type="dxa"/>
              <w:start w:w="90" w:type="dxa"/>
              <w:bottom w:w="70" w:type="dxa"/>
              <w:end w:w="90" w:type="dxa"/>
            </w:tcMar>
          </w:tcPr>
          <w:p>
            <w:pPr>
              <w:pStyle w:val="Compact"/>
              <w:spacing w:before="0" w:after="0" w:line="240" w:lineRule="auto"/>
            </w:pPr>
            <w:r>
              <w:t>M63, M64</w:t>
            </w:r>
          </w:p>
        </w:tc>
        <w:tc>
          <w:tcPr>
            <w:tcW w:type="dxa" w:w="8120"/>
            <w:vAlign w:val="center"/>
            <w:tcMar>
              <w:top w:w="70" w:type="dxa"/>
              <w:start w:w="90" w:type="dxa"/>
              <w:bottom w:w="70" w:type="dxa"/>
              <w:end w:w="90" w:type="dxa"/>
            </w:tcMar>
          </w:tcPr>
          <w:p>
            <w:pPr>
              <w:pStyle w:val="Compact"/>
              <w:spacing w:before="0" w:after="0" w:line="240" w:lineRule="auto"/>
            </w:pPr>
            <w:r>
              <w:t>Additive: All temperature + wind (smooth, linear)</w:t>
            </w:r>
          </w:p>
        </w:tc>
      </w:tr>
      <w:tr>
        <w:tc>
          <w:tcPr>
            <w:tcW w:type="dxa" w:w="1150"/>
            <w:vAlign w:val="center"/>
            <w:tcMar>
              <w:top w:w="70" w:type="dxa"/>
              <w:start w:w="90" w:type="dxa"/>
              <w:bottom w:w="70" w:type="dxa"/>
              <w:end w:w="90" w:type="dxa"/>
            </w:tcMar>
          </w:tcPr>
          <w:p>
            <w:pPr>
              <w:pStyle w:val="Compact"/>
              <w:spacing w:before="0" w:after="0" w:line="240" w:lineRule="auto"/>
            </w:pPr>
            <w:r>
              <w:t>M65, M66</w:t>
            </w:r>
          </w:p>
        </w:tc>
        <w:tc>
          <w:tcPr>
            <w:tcW w:type="dxa" w:w="8120"/>
            <w:vAlign w:val="center"/>
            <w:tcMar>
              <w:top w:w="70" w:type="dxa"/>
              <w:start w:w="90" w:type="dxa"/>
              <w:bottom w:w="70" w:type="dxa"/>
              <w:end w:w="90" w:type="dxa"/>
            </w:tcMar>
          </w:tcPr>
          <w:p>
            <w:pPr>
              <w:pStyle w:val="Compact"/>
              <w:spacing w:before="0" w:after="0" w:line="240" w:lineRule="auto"/>
            </w:pPr>
            <w:r>
              <w:t>Additive: All predictors (smooth, linear)</w:t>
            </w:r>
          </w:p>
        </w:tc>
      </w:tr>
      <w:tr>
        <w:tc>
          <w:tcPr>
            <w:tcW w:type="dxa" w:w="1150"/>
            <w:vAlign w:val="center"/>
            <w:tcMar>
              <w:top w:w="70" w:type="dxa"/>
              <w:start w:w="90" w:type="dxa"/>
              <w:bottom w:w="70" w:type="dxa"/>
              <w:end w:w="90" w:type="dxa"/>
            </w:tcMar>
          </w:tcPr>
          <w:p>
            <w:pPr>
              <w:pStyle w:val="Compact"/>
              <w:spacing w:before="0" w:after="0" w:line="240" w:lineRule="auto"/>
            </w:pPr>
            <w:r>
              <w:t>M67, M68</w:t>
            </w:r>
          </w:p>
        </w:tc>
        <w:tc>
          <w:tcPr>
            <w:tcW w:type="dxa" w:w="8120"/>
            <w:vAlign w:val="center"/>
            <w:tcMar>
              <w:top w:w="70" w:type="dxa"/>
              <w:start w:w="90" w:type="dxa"/>
              <w:bottom w:w="70" w:type="dxa"/>
              <w:end w:w="90" w:type="dxa"/>
            </w:tcMar>
          </w:tcPr>
          <w:p>
            <w:pPr>
              <w:pStyle w:val="Compact"/>
              <w:spacing w:before="0" w:after="0" w:line="240" w:lineRule="auto"/>
            </w:pPr>
            <w:r>
              <w:t>All temperature main effects + all temperature interactions (smooth, linear)</w:t>
            </w:r>
          </w:p>
        </w:tc>
      </w:tr>
      <w:tr>
        <w:tc>
          <w:tcPr>
            <w:tcW w:type="dxa" w:w="1150"/>
            <w:vAlign w:val="center"/>
            <w:tcMar>
              <w:top w:w="70" w:type="dxa"/>
              <w:start w:w="90" w:type="dxa"/>
              <w:bottom w:w="70" w:type="dxa"/>
              <w:end w:w="90" w:type="dxa"/>
            </w:tcMar>
          </w:tcPr>
          <w:p>
            <w:pPr>
              <w:pStyle w:val="Compact"/>
              <w:spacing w:before="0" w:after="0" w:line="240" w:lineRule="auto"/>
            </w:pPr>
            <w:r>
              <w:t>M69, M70</w:t>
            </w:r>
          </w:p>
        </w:tc>
        <w:tc>
          <w:tcPr>
            <w:tcW w:type="dxa" w:w="8120"/>
            <w:vAlign w:val="center"/>
            <w:tcMar>
              <w:top w:w="70" w:type="dxa"/>
              <w:start w:w="90" w:type="dxa"/>
              <w:bottom w:w="70" w:type="dxa"/>
              <w:end w:w="90" w:type="dxa"/>
            </w:tcMar>
          </w:tcPr>
          <w:p>
            <w:pPr>
              <w:pStyle w:val="Compact"/>
              <w:spacing w:before="0" w:after="0" w:line="240" w:lineRule="auto"/>
            </w:pPr>
            <w:r>
              <w:t>All main effects + all temperature wind interactions (smooth, linear)</w:t>
            </w:r>
          </w:p>
        </w:tc>
      </w:tr>
      <w:tr>
        <w:tc>
          <w:tcPr>
            <w:tcW w:type="dxa" w:w="1150"/>
            <w:vAlign w:val="center"/>
            <w:tcMar>
              <w:top w:w="70" w:type="dxa"/>
              <w:start w:w="90" w:type="dxa"/>
              <w:bottom w:w="70" w:type="dxa"/>
              <w:end w:w="90" w:type="dxa"/>
            </w:tcMar>
          </w:tcPr>
          <w:p>
            <w:pPr>
              <w:pStyle w:val="Compact"/>
              <w:spacing w:before="0" w:after="0" w:line="240" w:lineRule="auto"/>
            </w:pPr>
            <w:r>
              <w:t>M71, M72</w:t>
            </w:r>
          </w:p>
        </w:tc>
        <w:tc>
          <w:tcPr>
            <w:tcW w:type="dxa" w:w="8120"/>
            <w:vAlign w:val="center"/>
            <w:tcMar>
              <w:top w:w="70" w:type="dxa"/>
              <w:start w:w="90" w:type="dxa"/>
              <w:bottom w:w="70" w:type="dxa"/>
              <w:end w:w="90" w:type="dxa"/>
            </w:tcMar>
          </w:tcPr>
          <w:p>
            <w:pPr>
              <w:pStyle w:val="Compact"/>
              <w:spacing w:before="0" w:after="0" w:line="240" w:lineRule="auto"/>
            </w:pPr>
            <w:r>
              <w:t>FULL MODEL: All main effects + all two-way interactions (smooth, linear)</w:t>
            </w:r>
          </w:p>
        </w:tc>
      </w:tr>
      <w:tr>
        <w:tc>
          <w:tcPr>
            <w:tcW w:type="dxa" w:w="1150"/>
            <w:vAlign w:val="center"/>
            <w:tcMar>
              <w:top w:w="70" w:type="dxa"/>
              <w:start w:w="90" w:type="dxa"/>
              <w:bottom w:w="70" w:type="dxa"/>
              <w:end w:w="90" w:type="dxa"/>
            </w:tcMar>
          </w:tcPr>
          <w:p>
            <w:pPr>
              <w:pStyle w:val="Compact"/>
              <w:spacing w:before="0" w:after="0" w:line="240" w:lineRule="auto"/>
            </w:pPr>
            <w:r>
              <w:t>M77</w:t>
            </w:r>
          </w:p>
        </w:tc>
        <w:tc>
          <w:tcPr>
            <w:tcW w:type="dxa" w:w="8120"/>
            <w:vAlign w:val="center"/>
            <w:tcMar>
              <w:top w:w="70" w:type="dxa"/>
              <w:start w:w="90" w:type="dxa"/>
              <w:bottom w:w="70" w:type="dxa"/>
              <w:end w:w="90" w:type="dxa"/>
            </w:tcMar>
          </w:tcPr>
          <w:p>
            <w:pPr>
              <w:pStyle w:val="Compact"/>
              <w:spacing w:before="0" w:after="0" w:line="240" w:lineRule="auto"/>
            </w:pPr>
            <w:r>
              <w:t>Linear interaction: wind\_max\_gust sum\_butterflies\_direct\_sun</w:t>
            </w:r>
          </w:p>
        </w:tc>
      </w:tr>
      <w:tr>
        <w:tc>
          <w:tcPr>
            <w:tcW w:type="dxa" w:w="1150"/>
            <w:vAlign w:val="center"/>
            <w:tcMar>
              <w:top w:w="70" w:type="dxa"/>
              <w:start w:w="90" w:type="dxa"/>
              <w:bottom w:w="70" w:type="dxa"/>
              <w:end w:w="90" w:type="dxa"/>
            </w:tcMar>
          </w:tcPr>
          <w:p>
            <w:pPr>
              <w:pStyle w:val="Compact"/>
              <w:spacing w:before="0" w:after="0" w:line="240" w:lineRule="auto"/>
            </w:pPr>
            <w:r>
              <w:t>M78</w:t>
            </w:r>
          </w:p>
        </w:tc>
        <w:tc>
          <w:tcPr>
            <w:tcW w:type="dxa" w:w="8120"/>
            <w:vAlign w:val="center"/>
            <w:tcMar>
              <w:top w:w="70" w:type="dxa"/>
              <w:start w:w="90" w:type="dxa"/>
              <w:bottom w:w="70" w:type="dxa"/>
              <w:end w:w="90" w:type="dxa"/>
            </w:tcMar>
          </w:tcPr>
          <w:p>
            <w:pPr>
              <w:pStyle w:val="Compact"/>
              <w:spacing w:before="0" w:after="0" w:line="240" w:lineRule="auto"/>
            </w:pPr>
            <w:r>
              <w:t>Linear interaction + temp\_min + temp\_max</w:t>
            </w:r>
          </w:p>
        </w:tc>
      </w:tr>
    </w:tbl>
    <w:p>
      <w:pPr>
        <w:pStyle w:val="BodyText"/>
      </w:pPr>
      <w:r>
        <w:t xml:space="preserve">Model M32 (Interaction: wind_max_gust</w:t>
      </w:r>
      <w:r>
        <w:t xml:space="preserve"> </w:t>
      </w:r>
      <m:oMath>
        <m:r>
          <m:rPr>
            <m:sty m:val="p"/>
          </m:rPr>
          <m:t>×</m:t>
        </m:r>
      </m:oMath>
      <w:r>
        <w:t xml:space="preserve"> </w:t>
      </w:r>
      <w:r>
        <w:t xml:space="preserve">sum_butterflies_direct_sun with linear baseline) was identified as the best-fit model based on AICc (small-sample corrected AIC). Of the 78 candidate models, 42 converged successfully; models with smooth baseline controls generally failed to converge due to sample size limitations (</w:t>
      </w:r>
      <m:oMath>
        <m:r>
          <m:t>n</m:t>
        </m:r>
      </m:oMath>
      <w:r>
        <w:t xml:space="preserve"> </w:t>
      </w:r>
      <w:r>
        <w:t xml:space="preserve">= 96 lag pairs). Complete model selection statistics are reported in the main text.</w:t>
      </w:r>
    </w:p>
    <w:bookmarkEnd w:id="137"/>
    <w:bookmarkStart w:id="138" w:name="X551bf7981121cba24944795b12cd2a8bd686cc2"/>
    <w:p>
      <w:pPr>
        <w:pStyle w:val="Heading1"/>
      </w:pPr>
      <w:r>
        <w:t xml:space="preserve">24-Hour Robustness Analysis: Candidate Models</w:t>
      </w:r>
    </w:p>
    <w:p>
      <w:pPr>
        <w:pStyle w:val="FirstParagraph"/>
      </w:pPr>
      <w:r>
        <w:t xml:space="preserve">This appendix documents all candidate models tested in the 24-hour robustness analysis. A total of 76 models were evaluated using a fixed 24-hour weather window to validate findings from the Next Day Window analysis.</w:t>
      </w:r>
    </w:p>
    <w:p>
      <w:pPr>
        <w:pStyle w:val="BodyText"/>
      </w:pPr>
      <w:r>
        <w:rPr>
          <w:b/>
          <w:bCs/>
        </w:rPr>
        <w:t xml:space="preserve">Model Structure.</w:t>
      </w:r>
      <w:r>
        <w:t xml:space="preserve"> </w:t>
      </w:r>
      <w:r>
        <w:t xml:space="preserve">All models used Generalized Additive Mixed Models (GAMM) with the following structure:</w:t>
      </w:r>
    </w:p>
    <w:p>
      <w:pPr>
        <w:numPr>
          <w:ilvl w:val="0"/>
          <w:numId w:val="1004"/>
        </w:numPr>
      </w:pPr>
      <w:r>
        <w:rPr>
          <w:b/>
          <w:bCs/>
        </w:rPr>
        <w:t xml:space="preserve">Response variable</w:t>
      </w:r>
      <w:r>
        <w:t xml:space="preserve">: signed</w:t>
      </w:r>
      <w:r>
        <w:t xml:space="preserve"> </w:t>
      </w:r>
      <m:oMath>
        <m:rad>
          <m:radPr>
            <m:degHide m:val="on"/>
          </m:radPr>
          <m:deg/>
          <m:e>
            <m:r>
              <m:rPr>
                <m:sty m:val="p"/>
              </m:rPr>
              <m:t>|</m:t>
            </m:r>
            <m:r>
              <m:rPr>
                <m:sty m:val="p"/>
              </m:rPr>
              <m:t>Δ</m:t>
            </m:r>
            <m:sSub>
              <m:e>
                <m:r>
                  <m:rPr>
                    <m:sty m:val="p"/>
                  </m:rPr>
                  <m:t>B</m:t>
                </m:r>
                <m:r>
                  <m:rPr>
                    <m:sty m:val="p"/>
                  </m:rPr>
                  <m:t>I</m:t>
                </m:r>
              </m:e>
              <m:sub>
                <m:r>
                  <m:rPr>
                    <m:sty m:val="p"/>
                  </m:rPr>
                  <m:t>max</m:t>
                </m:r>
              </m:sub>
            </m:sSub>
            <m:r>
              <m:rPr>
                <m:sty m:val="p"/>
              </m:rPr>
              <m:t>|</m:t>
            </m:r>
          </m:e>
        </m:rad>
      </m:oMath>
      <w:r>
        <w:t xml:space="preserve"> </w:t>
      </w:r>
      <w:r>
        <w:t xml:space="preserve">(signed square root of change in maximum daily BI between days)</w:t>
      </w:r>
    </w:p>
    <w:p>
      <w:pPr>
        <w:numPr>
          <w:ilvl w:val="0"/>
          <w:numId w:val="1004"/>
        </w:numPr>
      </w:pPr>
      <w:r>
        <w:rPr>
          <w:b/>
          <w:bCs/>
        </w:rPr>
        <w:t xml:space="preserve">Random effects</w:t>
      </w:r>
      <w:r>
        <w:t xml:space="preserve">: Random intercept for deployment site</w:t>
      </w:r>
    </w:p>
    <w:p>
      <w:pPr>
        <w:numPr>
          <w:ilvl w:val="0"/>
          <w:numId w:val="1004"/>
        </w:numPr>
      </w:pPr>
      <w:r>
        <w:rPr>
          <w:b/>
          <w:bCs/>
        </w:rPr>
        <w:t xml:space="preserve">Correlation structure</w:t>
      </w:r>
      <w:r>
        <w:t xml:space="preserve">: AR(1) autocorrelation for temporal dependence</w:t>
      </w:r>
    </w:p>
    <w:p>
      <w:pPr>
        <w:numPr>
          <w:ilvl w:val="0"/>
          <w:numId w:val="1004"/>
        </w:numPr>
      </w:pPr>
      <w:r>
        <w:rPr>
          <w:b/>
          <w:bCs/>
        </w:rPr>
        <w:t xml:space="preserve">Estimation method</w:t>
      </w:r>
      <w:r>
        <w:t xml:space="preserve">: Restricted Maximum Likelihood (REML)</w:t>
      </w:r>
    </w:p>
    <w:p>
      <w:pPr>
        <w:pStyle w:val="FirstParagraph"/>
      </w:pPr>
      <w:r>
        <w:rPr>
          <w:b/>
          <w:bCs/>
        </w:rPr>
        <w:t xml:space="preserve">Variable Definitions.</w:t>
      </w:r>
    </w:p>
    <w:p>
      <w:pPr>
        <w:numPr>
          <w:ilvl w:val="0"/>
          <w:numId w:val="1005"/>
        </w:numPr>
      </w:pPr>
      <w:r>
        <w:rPr>
          <w:rStyle w:val="VerbatimChar"/>
        </w:rPr>
        <w:t xml:space="preserve">max_butterflies_t_1</w:t>
      </w:r>
      <w:r>
        <w:t xml:space="preserve">: Previous day maximum count (tested as smooth or linear)</w:t>
      </w:r>
    </w:p>
    <w:p>
      <w:pPr>
        <w:numPr>
          <w:ilvl w:val="0"/>
          <w:numId w:val="1005"/>
        </w:numPr>
      </w:pPr>
      <w:r>
        <w:rPr>
          <w:rStyle w:val="VerbatimChar"/>
        </w:rPr>
        <w:t xml:space="preserve">lag_duration_hours</w:t>
      </w:r>
      <w:r>
        <w:t xml:space="preserve">: Weather window duration (24 hours, constant)</w:t>
      </w:r>
    </w:p>
    <w:p>
      <w:pPr>
        <w:numPr>
          <w:ilvl w:val="0"/>
          <w:numId w:val="1005"/>
        </w:numPr>
      </w:pPr>
      <w:r>
        <w:rPr>
          <w:rStyle w:val="VerbatimChar"/>
        </w:rPr>
        <w:t xml:space="preserve">temp_min</w:t>
      </w:r>
      <w:r>
        <w:t xml:space="preserve">: Minimum temperature in 24-hour window (</w:t>
      </w:r>
      <m:oMath>
        <m:sSup>
          <m:e>
            <m:r>
              <m:t>​</m:t>
            </m:r>
          </m:e>
          <m:sup>
            <m:r>
              <m:rPr>
                <m:sty m:val="p"/>
              </m:rPr>
              <m:t>∘</m:t>
            </m:r>
          </m:sup>
        </m:sSup>
      </m:oMath>
      <w:r>
        <w:t xml:space="preserve">C)</w:t>
      </w:r>
    </w:p>
    <w:p>
      <w:pPr>
        <w:numPr>
          <w:ilvl w:val="0"/>
          <w:numId w:val="1005"/>
        </w:numPr>
      </w:pPr>
      <w:r>
        <w:rPr>
          <w:rStyle w:val="VerbatimChar"/>
        </w:rPr>
        <w:t xml:space="preserve">temp_max</w:t>
      </w:r>
      <w:r>
        <w:t xml:space="preserve">: Maximum temperature in 24-hour window (</w:t>
      </w:r>
      <m:oMath>
        <m:sSup>
          <m:e>
            <m:r>
              <m:t>​</m:t>
            </m:r>
          </m:e>
          <m:sup>
            <m:r>
              <m:rPr>
                <m:sty m:val="p"/>
              </m:rPr>
              <m:t>∘</m:t>
            </m:r>
          </m:sup>
        </m:sSup>
      </m:oMath>
      <w:r>
        <w:t xml:space="preserve">C)</w:t>
      </w:r>
    </w:p>
    <w:p>
      <w:pPr>
        <w:numPr>
          <w:ilvl w:val="0"/>
          <w:numId w:val="1005"/>
        </w:numPr>
      </w:pPr>
      <w:r>
        <w:rPr>
          <w:rStyle w:val="VerbatimChar"/>
        </w:rPr>
        <w:t xml:space="preserve">temp_at_max_count_t_1</w:t>
      </w:r>
      <w:r>
        <w:t xml:space="preserve">: Temperature when max count occurred (</w:t>
      </w:r>
      <m:oMath>
        <m:sSup>
          <m:e>
            <m:r>
              <m:t>​</m:t>
            </m:r>
          </m:e>
          <m:sup>
            <m:r>
              <m:rPr>
                <m:sty m:val="p"/>
              </m:rPr>
              <m:t>∘</m:t>
            </m:r>
          </m:sup>
        </m:sSup>
      </m:oMath>
      <w:r>
        <w:t xml:space="preserve">C)</w:t>
      </w:r>
    </w:p>
    <w:p>
      <w:pPr>
        <w:numPr>
          <w:ilvl w:val="0"/>
          <w:numId w:val="1005"/>
        </w:numPr>
      </w:pPr>
      <w:r>
        <w:rPr>
          <w:rStyle w:val="VerbatimChar"/>
        </w:rPr>
        <w:t xml:space="preserve">wind_max_gust</w:t>
      </w:r>
      <w:r>
        <w:t xml:space="preserve">: Maximum wind gust in 24-hour window (m/s)</w:t>
      </w:r>
    </w:p>
    <w:p>
      <w:pPr>
        <w:numPr>
          <w:ilvl w:val="0"/>
          <w:numId w:val="1005"/>
        </w:numPr>
      </w:pPr>
      <w:r>
        <w:rPr>
          <w:rStyle w:val="VerbatimChar"/>
        </w:rPr>
        <w:t xml:space="preserve">sum_butterflies_direct_sun</w:t>
      </w:r>
      <w:r>
        <w:t xml:space="preserve">: Cumulative butterflies in direct sun</w:t>
      </w:r>
    </w:p>
    <w:p>
      <w:pPr>
        <w:numPr>
          <w:ilvl w:val="0"/>
          <w:numId w:val="1005"/>
        </w:numPr>
      </w:pPr>
      <w:r>
        <w:rPr>
          <w:rStyle w:val="VerbatimChar"/>
        </w:rPr>
        <w:t xml:space="preserve">s()</w:t>
      </w:r>
      <w:r>
        <w:t xml:space="preserve">: Thin-plate regression spline smooth term</w:t>
      </w:r>
    </w:p>
    <w:p>
      <w:pPr>
        <w:numPr>
          <w:ilvl w:val="0"/>
          <w:numId w:val="1005"/>
        </w:numPr>
      </w:pPr>
      <w:r>
        <w:rPr>
          <w:rStyle w:val="VerbatimChar"/>
        </w:rPr>
        <w:t xml:space="preserve">ti()</w:t>
      </w:r>
      <w:r>
        <w:t xml:space="preserve">: Tensor product interaction smooth</w:t>
      </w:r>
    </w:p>
    <w:p>
      <w:pPr>
        <w:pStyle w:val="FirstParagraph"/>
      </w:pPr>
      <w:r>
        <w:rPr>
          <w:b/>
          <w:bCs/>
        </w:rPr>
        <w:t xml:space="preserve">Candidate Models.</w:t>
      </w:r>
      <w:r>
        <w:t xml:space="preserve"> </w:t>
      </w:r>
      <w:r>
        <w:t xml:space="preserve">Models were generated programmatically across seven categories, identical to the Next Day Window analysis structure. The first number in parentheses indicates models with smooth baseline controls; the second indicates linear baseline controls.</w:t>
      </w:r>
    </w:p>
    <w:p>
      <w:pPr>
        <w:pStyle w:val="TableCaption"/>
        <w:keepNext/>
        <w:spacing w:after="80"/>
      </w:pPr>
      <w:r>
        <w:t>Table 11. Complete list of 76 candidate models tested in 24-hour robustness analysis</w:t>
      </w:r>
    </w:p>
    <w:tbl>
      <w:tblPr>
        <w:tblStyle w:val="Table"/>
        <w:tblW w:type="dxa" w:w="9270"/>
        <w:jc w:val="left"/>
        <w:tblLayout w:type="fixed"/>
        <w:tblLook w:firstColumn="1" w:firstRow="1" w:lastColumn="0" w:lastRow="0" w:noHBand="0" w:noVBand="1" w:val="04A0"/>
        <w:tblInd w:w="90" w:type="dxa"/>
      </w:tblPr>
      <w:tblGrid>
        <w:gridCol w:w="1150"/>
        <w:gridCol w:w="8120"/>
      </w:tblGrid>
      <w:tr>
        <w:trPr>
          <w:tblHeader w:val="true"/>
        </w:trPr>
        <w:tc>
          <w:tcPr>
            <w:tcW w:type="dxa" w:w="1150"/>
            <w:vAlign w:val="center"/>
            <w:tcMar>
              <w:top w:w="70" w:type="dxa"/>
              <w:start w:w="90" w:type="dxa"/>
              <w:bottom w:w="70" w:type="dxa"/>
              <w:end w:w="90" w:type="dxa"/>
            </w:tcMar>
          </w:tcPr>
          <w:p>
            <w:pPr>
              <w:pStyle w:val="Compact"/>
              <w:spacing w:before="0" w:after="0" w:line="240" w:lineRule="auto"/>
            </w:pPr>
            <w:r>
              <w:rPr>
                <w:b/>
              </w:rPr>
              <w:t>Model</w:t>
            </w:r>
          </w:p>
        </w:tc>
        <w:tc>
          <w:tcPr>
            <w:tcW w:type="dxa" w:w="8120"/>
            <w:vAlign w:val="center"/>
            <w:tcMar>
              <w:top w:w="70" w:type="dxa"/>
              <w:start w:w="90" w:type="dxa"/>
              <w:bottom w:w="70" w:type="dxa"/>
              <w:end w:w="90" w:type="dxa"/>
            </w:tcMar>
          </w:tcPr>
          <w:p>
            <w:pPr>
              <w:pStyle w:val="Compact"/>
              <w:spacing w:before="0" w:after="0" w:line="240" w:lineRule="auto"/>
            </w:pPr>
            <w:r>
              <w:rPr>
                <w:b/>
              </w:rPr>
              <w:t>Description</w:t>
            </w:r>
          </w:p>
        </w:tc>
      </w:tr>
      <w:tr>
        <w:tc>
          <w:tcPr>
            <w:tcW w:type="dxa" w:w="8120"/>
            <w:gridSpan w:val="2"/>
            <w:vAlign w:val="center"/>
            <w:tcMar>
              <w:top w:w="70" w:type="dxa"/>
              <w:start w:w="90" w:type="dxa"/>
              <w:bottom w:w="70" w:type="dxa"/>
              <w:end w:w="90" w:type="dxa"/>
            </w:tcMar>
          </w:tcPr>
          <w:p>
            <w:pPr>
              <w:pStyle w:val="Compact"/>
              <w:spacing w:before="36" w:after="36"/>
            </w:pPr>
            <w:r>
              <w:rPr>
                <w:i/>
              </w:rPr>
              <w:t>\ - continued from previous page</w:t>
            </w:r>
          </w:p>
        </w:tc>
      </w:tr>
      <w:tr>
        <w:tc>
          <w:tcPr>
            <w:tcW w:type="dxa" w:w="1150"/>
            <w:vAlign w:val="center"/>
            <w:tcMar>
              <w:top w:w="70" w:type="dxa"/>
              <w:start w:w="90" w:type="dxa"/>
              <w:bottom w:w="70" w:type="dxa"/>
              <w:end w:w="90" w:type="dxa"/>
            </w:tcMar>
          </w:tcPr>
          <w:p>
            <w:pPr>
              <w:pStyle w:val="Compact"/>
              <w:spacing w:before="0" w:after="0" w:line="240" w:lineRule="auto"/>
            </w:pPr>
            <w:r>
              <w:t>Model</w:t>
            </w:r>
          </w:p>
        </w:tc>
        <w:tc>
          <w:tcPr>
            <w:tcW w:type="dxa" w:w="8120"/>
            <w:vAlign w:val="center"/>
            <w:tcMar>
              <w:top w:w="70" w:type="dxa"/>
              <w:start w:w="90" w:type="dxa"/>
              <w:bottom w:w="70" w:type="dxa"/>
              <w:end w:w="90" w:type="dxa"/>
            </w:tcMar>
          </w:tcPr>
          <w:p>
            <w:pPr>
              <w:pStyle w:val="Compact"/>
              <w:spacing w:before="0" w:after="0" w:line="240" w:lineRule="auto"/>
            </w:pPr>
            <w:r>
              <w:t>Description</w:t>
            </w:r>
          </w:p>
        </w:tc>
      </w:tr>
      <w:tr>
        <w:tc>
          <w:tcPr>
            <w:tcW w:type="dxa" w:w="8120"/>
            <w:gridSpan w:val="2"/>
            <w:vAlign w:val="center"/>
            <w:tcMar>
              <w:top w:w="70" w:type="dxa"/>
              <w:start w:w="90" w:type="dxa"/>
              <w:bottom w:w="70" w:type="dxa"/>
              <w:end w:w="90" w:type="dxa"/>
            </w:tcMar>
          </w:tcPr>
          <w:p>
            <w:pPr>
              <w:pStyle w:val="Compact"/>
              <w:spacing w:before="36" w:after="36"/>
            </w:pPr>
            <w:r>
              <w:rPr>
                <w:i/>
              </w:rPr>
              <w:t>Continued on next page</w:t>
            </w:r>
          </w:p>
        </w:tc>
      </w:tr>
      <w:tr>
        <w:tc>
          <w:tcPr>
            <w:tcW w:type="dxa" w:w="8120"/>
            <w:gridSpan w:val="2"/>
            <w:vAlign w:val="center"/>
            <w:tcMar>
              <w:top w:w="70" w:type="dxa"/>
              <w:start w:w="90" w:type="dxa"/>
              <w:bottom w:w="70" w:type="dxa"/>
              <w:end w:w="90" w:type="dxa"/>
            </w:tcMar>
          </w:tcPr>
          <w:p>
            <w:pPr>
              <w:pStyle w:val="Compact"/>
              <w:spacing w:before="36" w:after="36"/>
            </w:pPr>
            <w:r>
              <w:rPr>
                <w:i/>
              </w:rPr>
              <w:t>Part 1: Null Models (2 models)</w:t>
            </w:r>
          </w:p>
        </w:tc>
      </w:tr>
      <w:tr>
        <w:tc>
          <w:tcPr>
            <w:tcW w:type="dxa" w:w="1150"/>
            <w:vAlign w:val="center"/>
            <w:tcMar>
              <w:top w:w="70" w:type="dxa"/>
              <w:start w:w="90" w:type="dxa"/>
              <w:bottom w:w="70" w:type="dxa"/>
              <w:end w:w="90" w:type="dxa"/>
            </w:tcMar>
          </w:tcPr>
          <w:p>
            <w:pPr>
              <w:pStyle w:val="Compact"/>
              <w:spacing w:before="0" w:after="0" w:line="240" w:lineRule="auto"/>
            </w:pPr>
            <w:r>
              <w:t>M1</w:t>
            </w:r>
          </w:p>
        </w:tc>
        <w:tc>
          <w:tcPr>
            <w:tcW w:type="dxa" w:w="8120"/>
            <w:vAlign w:val="center"/>
            <w:tcMar>
              <w:top w:w="70" w:type="dxa"/>
              <w:start w:w="90" w:type="dxa"/>
              <w:bottom w:w="70" w:type="dxa"/>
              <w:end w:w="90" w:type="dxa"/>
            </w:tcMar>
          </w:tcPr>
          <w:p>
            <w:pPr>
              <w:pStyle w:val="Compact"/>
              <w:spacing w:before="0" w:after="0" w:line="240" w:lineRule="auto"/>
            </w:pPr>
            <w:r>
              <w:t>Null (smooth baseline)</w:t>
            </w:r>
          </w:p>
        </w:tc>
      </w:tr>
      <w:tr>
        <w:tc>
          <w:tcPr>
            <w:tcW w:type="dxa" w:w="1150"/>
            <w:vAlign w:val="center"/>
            <w:tcMar>
              <w:top w:w="70" w:type="dxa"/>
              <w:start w:w="90" w:type="dxa"/>
              <w:bottom w:w="70" w:type="dxa"/>
              <w:end w:w="90" w:type="dxa"/>
            </w:tcMar>
          </w:tcPr>
          <w:p>
            <w:pPr>
              <w:pStyle w:val="Compact"/>
              <w:spacing w:before="0" w:after="0" w:line="240" w:lineRule="auto"/>
            </w:pPr>
            <w:r>
              <w:t>M2</w:t>
            </w:r>
          </w:p>
        </w:tc>
        <w:tc>
          <w:tcPr>
            <w:tcW w:type="dxa" w:w="8120"/>
            <w:vAlign w:val="center"/>
            <w:tcMar>
              <w:top w:w="70" w:type="dxa"/>
              <w:start w:w="90" w:type="dxa"/>
              <w:bottom w:w="70" w:type="dxa"/>
              <w:end w:w="90" w:type="dxa"/>
            </w:tcMar>
          </w:tcPr>
          <w:p>
            <w:pPr>
              <w:pStyle w:val="Compact"/>
              <w:spacing w:before="0" w:after="0" w:line="240" w:lineRule="auto"/>
            </w:pPr>
            <w:r>
              <w:t>Null (linear baseline)</w:t>
            </w:r>
          </w:p>
        </w:tc>
      </w:tr>
      <w:tr>
        <w:tc>
          <w:tcPr>
            <w:tcW w:type="dxa" w:w="8120"/>
            <w:gridSpan w:val="2"/>
            <w:vAlign w:val="center"/>
            <w:tcMar>
              <w:top w:w="70" w:type="dxa"/>
              <w:start w:w="90" w:type="dxa"/>
              <w:bottom w:w="70" w:type="dxa"/>
              <w:end w:w="90" w:type="dxa"/>
            </w:tcMar>
          </w:tcPr>
          <w:p>
            <w:pPr>
              <w:pStyle w:val="Compact"/>
              <w:spacing w:before="36" w:after="36"/>
            </w:pPr>
            <w:r>
              <w:rPr>
                <w:i/>
              </w:rPr>
              <w:t>Part 2: Single Predictor Models (10 models)</w:t>
            </w:r>
          </w:p>
        </w:tc>
      </w:tr>
      <w:tr>
        <w:tc>
          <w:tcPr>
            <w:tcW w:type="dxa" w:w="1150"/>
            <w:vAlign w:val="center"/>
            <w:tcMar>
              <w:top w:w="70" w:type="dxa"/>
              <w:start w:w="90" w:type="dxa"/>
              <w:bottom w:w="70" w:type="dxa"/>
              <w:end w:w="90" w:type="dxa"/>
            </w:tcMar>
          </w:tcPr>
          <w:p>
            <w:pPr>
              <w:pStyle w:val="Compact"/>
              <w:spacing w:before="0" w:after="0" w:line="240" w:lineRule="auto"/>
            </w:pPr>
            <w:r>
              <w:t>M3, M4</w:t>
            </w:r>
          </w:p>
        </w:tc>
        <w:tc>
          <w:tcPr>
            <w:tcW w:type="dxa" w:w="8120"/>
            <w:vAlign w:val="center"/>
            <w:tcMar>
              <w:top w:w="70" w:type="dxa"/>
              <w:start w:w="90" w:type="dxa"/>
              <w:bottom w:w="70" w:type="dxa"/>
              <w:end w:w="90" w:type="dxa"/>
            </w:tcMar>
          </w:tcPr>
          <w:p>
            <w:pPr>
              <w:pStyle w:val="Compact"/>
              <w:spacing w:before="0" w:after="0" w:line="240" w:lineRule="auto"/>
            </w:pPr>
            <w:r>
              <w:t>Single: temp\_min (smooth, linear)</w:t>
            </w:r>
          </w:p>
        </w:tc>
      </w:tr>
      <w:tr>
        <w:tc>
          <w:tcPr>
            <w:tcW w:type="dxa" w:w="1150"/>
            <w:vAlign w:val="center"/>
            <w:tcMar>
              <w:top w:w="70" w:type="dxa"/>
              <w:start w:w="90" w:type="dxa"/>
              <w:bottom w:w="70" w:type="dxa"/>
              <w:end w:w="90" w:type="dxa"/>
            </w:tcMar>
          </w:tcPr>
          <w:p>
            <w:pPr>
              <w:pStyle w:val="Compact"/>
              <w:spacing w:before="0" w:after="0" w:line="240" w:lineRule="auto"/>
            </w:pPr>
            <w:r>
              <w:t>M5, M6</w:t>
            </w:r>
          </w:p>
        </w:tc>
        <w:tc>
          <w:tcPr>
            <w:tcW w:type="dxa" w:w="8120"/>
            <w:vAlign w:val="center"/>
            <w:tcMar>
              <w:top w:w="70" w:type="dxa"/>
              <w:start w:w="90" w:type="dxa"/>
              <w:bottom w:w="70" w:type="dxa"/>
              <w:end w:w="90" w:type="dxa"/>
            </w:tcMar>
          </w:tcPr>
          <w:p>
            <w:pPr>
              <w:pStyle w:val="Compact"/>
              <w:spacing w:before="0" w:after="0" w:line="240" w:lineRule="auto"/>
            </w:pPr>
            <w:r>
              <w:t>Single: temp\_max (smooth, linear)</w:t>
            </w:r>
          </w:p>
        </w:tc>
      </w:tr>
      <w:tr>
        <w:tc>
          <w:tcPr>
            <w:tcW w:type="dxa" w:w="1150"/>
            <w:vAlign w:val="center"/>
            <w:tcMar>
              <w:top w:w="70" w:type="dxa"/>
              <w:start w:w="90" w:type="dxa"/>
              <w:bottom w:w="70" w:type="dxa"/>
              <w:end w:w="90" w:type="dxa"/>
            </w:tcMar>
          </w:tcPr>
          <w:p>
            <w:pPr>
              <w:pStyle w:val="Compact"/>
              <w:spacing w:before="0" w:after="0" w:line="240" w:lineRule="auto"/>
            </w:pPr>
            <w:r>
              <w:t>M7, M8</w:t>
            </w:r>
          </w:p>
        </w:tc>
        <w:tc>
          <w:tcPr>
            <w:tcW w:type="dxa" w:w="8120"/>
            <w:vAlign w:val="center"/>
            <w:tcMar>
              <w:top w:w="70" w:type="dxa"/>
              <w:start w:w="90" w:type="dxa"/>
              <w:bottom w:w="70" w:type="dxa"/>
              <w:end w:w="90" w:type="dxa"/>
            </w:tcMar>
          </w:tcPr>
          <w:p>
            <w:pPr>
              <w:pStyle w:val="Compact"/>
              <w:spacing w:before="0" w:after="0" w:line="240" w:lineRule="auto"/>
            </w:pPr>
            <w:r>
              <w:t>Single: temp\_at\_max\_count\_t\_1 (smooth, linear)</w:t>
            </w:r>
          </w:p>
        </w:tc>
      </w:tr>
      <w:tr>
        <w:tc>
          <w:tcPr>
            <w:tcW w:type="dxa" w:w="1150"/>
            <w:vAlign w:val="center"/>
            <w:tcMar>
              <w:top w:w="70" w:type="dxa"/>
              <w:start w:w="90" w:type="dxa"/>
              <w:bottom w:w="70" w:type="dxa"/>
              <w:end w:w="90" w:type="dxa"/>
            </w:tcMar>
          </w:tcPr>
          <w:p>
            <w:pPr>
              <w:pStyle w:val="Compact"/>
              <w:spacing w:before="0" w:after="0" w:line="240" w:lineRule="auto"/>
            </w:pPr>
            <w:r>
              <w:t>M9, M10</w:t>
            </w:r>
          </w:p>
        </w:tc>
        <w:tc>
          <w:tcPr>
            <w:tcW w:type="dxa" w:w="8120"/>
            <w:vAlign w:val="center"/>
            <w:tcMar>
              <w:top w:w="70" w:type="dxa"/>
              <w:start w:w="90" w:type="dxa"/>
              <w:bottom w:w="70" w:type="dxa"/>
              <w:end w:w="90" w:type="dxa"/>
            </w:tcMar>
          </w:tcPr>
          <w:p>
            <w:pPr>
              <w:pStyle w:val="Compact"/>
              <w:spacing w:before="0" w:after="0" w:line="240" w:lineRule="auto"/>
            </w:pPr>
            <w:r>
              <w:t>Single: wind\_max\_gust (smooth, linear)</w:t>
            </w:r>
          </w:p>
        </w:tc>
      </w:tr>
      <w:tr>
        <w:tc>
          <w:tcPr>
            <w:tcW w:type="dxa" w:w="1150"/>
            <w:vAlign w:val="center"/>
            <w:tcMar>
              <w:top w:w="70" w:type="dxa"/>
              <w:start w:w="90" w:type="dxa"/>
              <w:bottom w:w="70" w:type="dxa"/>
              <w:end w:w="90" w:type="dxa"/>
            </w:tcMar>
          </w:tcPr>
          <w:p>
            <w:pPr>
              <w:pStyle w:val="Compact"/>
              <w:spacing w:before="0" w:after="0" w:line="240" w:lineRule="auto"/>
            </w:pPr>
            <w:r>
              <w:t>M11, M12</w:t>
            </w:r>
          </w:p>
        </w:tc>
        <w:tc>
          <w:tcPr>
            <w:tcW w:type="dxa" w:w="8120"/>
            <w:vAlign w:val="center"/>
            <w:tcMar>
              <w:top w:w="70" w:type="dxa"/>
              <w:start w:w="90" w:type="dxa"/>
              <w:bottom w:w="70" w:type="dxa"/>
              <w:end w:w="90" w:type="dxa"/>
            </w:tcMar>
          </w:tcPr>
          <w:p>
            <w:pPr>
              <w:pStyle w:val="Compact"/>
              <w:spacing w:before="0" w:after="0" w:line="240" w:lineRule="auto"/>
            </w:pPr>
            <w:r>
              <w:t>Single: sum\_butterflies\_direct\_sun (smooth, linear)</w:t>
            </w:r>
          </w:p>
        </w:tc>
      </w:tr>
      <w:tr>
        <w:tc>
          <w:tcPr>
            <w:tcW w:type="dxa" w:w="8120"/>
            <w:gridSpan w:val="2"/>
            <w:vAlign w:val="center"/>
            <w:tcMar>
              <w:top w:w="70" w:type="dxa"/>
              <w:start w:w="90" w:type="dxa"/>
              <w:bottom w:w="70" w:type="dxa"/>
              <w:end w:w="90" w:type="dxa"/>
            </w:tcMar>
          </w:tcPr>
          <w:p>
            <w:pPr>
              <w:pStyle w:val="Compact"/>
              <w:spacing w:before="36" w:after="36"/>
            </w:pPr>
            <w:r>
              <w:rPr>
                <w:i/>
              </w:rPr>
              <w:t>Part 3: Two-Way Interaction Models (20 models)</w:t>
            </w:r>
          </w:p>
        </w:tc>
      </w:tr>
      <w:tr>
        <w:tc>
          <w:tcPr>
            <w:tcW w:type="dxa" w:w="1150"/>
            <w:vAlign w:val="center"/>
            <w:tcMar>
              <w:top w:w="70" w:type="dxa"/>
              <w:start w:w="90" w:type="dxa"/>
              <w:bottom w:w="70" w:type="dxa"/>
              <w:end w:w="90" w:type="dxa"/>
            </w:tcMar>
          </w:tcPr>
          <w:p>
            <w:pPr>
              <w:pStyle w:val="Compact"/>
              <w:spacing w:before="0" w:after="0" w:line="240" w:lineRule="auto"/>
            </w:pPr>
            <w:r>
              <w:t>M13, M14</w:t>
            </w:r>
          </w:p>
        </w:tc>
        <w:tc>
          <w:tcPr>
            <w:tcW w:type="dxa" w:w="8120"/>
            <w:vAlign w:val="center"/>
            <w:tcMar>
              <w:top w:w="70" w:type="dxa"/>
              <w:start w:w="90" w:type="dxa"/>
              <w:bottom w:w="70" w:type="dxa"/>
              <w:end w:w="90" w:type="dxa"/>
            </w:tcMar>
          </w:tcPr>
          <w:p>
            <w:pPr>
              <w:pStyle w:val="Compact"/>
              <w:spacing w:before="0" w:after="0" w:line="240" w:lineRule="auto"/>
            </w:pPr>
            <w:r>
              <w:t>Interaction: temp\_min temp\_max (smooth, linear)</w:t>
            </w:r>
          </w:p>
        </w:tc>
      </w:tr>
      <w:tr>
        <w:tc>
          <w:tcPr>
            <w:tcW w:type="dxa" w:w="1150"/>
            <w:vAlign w:val="center"/>
            <w:tcMar>
              <w:top w:w="70" w:type="dxa"/>
              <w:start w:w="90" w:type="dxa"/>
              <w:bottom w:w="70" w:type="dxa"/>
              <w:end w:w="90" w:type="dxa"/>
            </w:tcMar>
          </w:tcPr>
          <w:p>
            <w:pPr>
              <w:pStyle w:val="Compact"/>
              <w:spacing w:before="0" w:after="0" w:line="240" w:lineRule="auto"/>
            </w:pPr>
            <w:r>
              <w:t>M15, M16</w:t>
            </w:r>
          </w:p>
        </w:tc>
        <w:tc>
          <w:tcPr>
            <w:tcW w:type="dxa" w:w="8120"/>
            <w:vAlign w:val="center"/>
            <w:tcMar>
              <w:top w:w="70" w:type="dxa"/>
              <w:start w:w="90" w:type="dxa"/>
              <w:bottom w:w="70" w:type="dxa"/>
              <w:end w:w="90" w:type="dxa"/>
            </w:tcMar>
          </w:tcPr>
          <w:p>
            <w:pPr>
              <w:pStyle w:val="Compact"/>
              <w:spacing w:before="0" w:after="0" w:line="240" w:lineRule="auto"/>
            </w:pPr>
            <w:r>
              <w:t>Interaction: temp\_min temp\_at\_max\_count\_t\_1 (smooth, linear)</w:t>
            </w:r>
          </w:p>
        </w:tc>
      </w:tr>
      <w:tr>
        <w:tc>
          <w:tcPr>
            <w:tcW w:type="dxa" w:w="1150"/>
            <w:vAlign w:val="center"/>
            <w:tcMar>
              <w:top w:w="70" w:type="dxa"/>
              <w:start w:w="90" w:type="dxa"/>
              <w:bottom w:w="70" w:type="dxa"/>
              <w:end w:w="90" w:type="dxa"/>
            </w:tcMar>
          </w:tcPr>
          <w:p>
            <w:pPr>
              <w:pStyle w:val="Compact"/>
              <w:spacing w:before="0" w:after="0" w:line="240" w:lineRule="auto"/>
            </w:pPr>
            <w:r>
              <w:t>M17, M18</w:t>
            </w:r>
          </w:p>
        </w:tc>
        <w:tc>
          <w:tcPr>
            <w:tcW w:type="dxa" w:w="8120"/>
            <w:vAlign w:val="center"/>
            <w:tcMar>
              <w:top w:w="70" w:type="dxa"/>
              <w:start w:w="90" w:type="dxa"/>
              <w:bottom w:w="70" w:type="dxa"/>
              <w:end w:w="90" w:type="dxa"/>
            </w:tcMar>
          </w:tcPr>
          <w:p>
            <w:pPr>
              <w:pStyle w:val="Compact"/>
              <w:spacing w:before="0" w:after="0" w:line="240" w:lineRule="auto"/>
            </w:pPr>
            <w:r>
              <w:t>Interaction: temp\_min wind\_max\_gust (smooth, linear)</w:t>
            </w:r>
          </w:p>
        </w:tc>
      </w:tr>
      <w:tr>
        <w:tc>
          <w:tcPr>
            <w:tcW w:type="dxa" w:w="1150"/>
            <w:vAlign w:val="center"/>
            <w:tcMar>
              <w:top w:w="70" w:type="dxa"/>
              <w:start w:w="90" w:type="dxa"/>
              <w:bottom w:w="70" w:type="dxa"/>
              <w:end w:w="90" w:type="dxa"/>
            </w:tcMar>
          </w:tcPr>
          <w:p>
            <w:pPr>
              <w:pStyle w:val="Compact"/>
              <w:spacing w:before="0" w:after="0" w:line="240" w:lineRule="auto"/>
            </w:pPr>
            <w:r>
              <w:t>M19, M20</w:t>
            </w:r>
          </w:p>
        </w:tc>
        <w:tc>
          <w:tcPr>
            <w:tcW w:type="dxa" w:w="8120"/>
            <w:vAlign w:val="center"/>
            <w:tcMar>
              <w:top w:w="70" w:type="dxa"/>
              <w:start w:w="90" w:type="dxa"/>
              <w:bottom w:w="70" w:type="dxa"/>
              <w:end w:w="90" w:type="dxa"/>
            </w:tcMar>
          </w:tcPr>
          <w:p>
            <w:pPr>
              <w:pStyle w:val="Compact"/>
              <w:spacing w:before="0" w:after="0" w:line="240" w:lineRule="auto"/>
            </w:pPr>
            <w:r>
              <w:t>Interaction: temp\_min sum\_butterflies\_direct\_sun (smooth, linear)</w:t>
            </w:r>
          </w:p>
        </w:tc>
      </w:tr>
      <w:tr>
        <w:tc>
          <w:tcPr>
            <w:tcW w:type="dxa" w:w="1150"/>
            <w:vAlign w:val="center"/>
            <w:tcMar>
              <w:top w:w="70" w:type="dxa"/>
              <w:start w:w="90" w:type="dxa"/>
              <w:bottom w:w="70" w:type="dxa"/>
              <w:end w:w="90" w:type="dxa"/>
            </w:tcMar>
          </w:tcPr>
          <w:p>
            <w:pPr>
              <w:pStyle w:val="Compact"/>
              <w:spacing w:before="0" w:after="0" w:line="240" w:lineRule="auto"/>
            </w:pPr>
            <w:r>
              <w:t>M21, M22</w:t>
            </w:r>
          </w:p>
        </w:tc>
        <w:tc>
          <w:tcPr>
            <w:tcW w:type="dxa" w:w="8120"/>
            <w:vAlign w:val="center"/>
            <w:tcMar>
              <w:top w:w="70" w:type="dxa"/>
              <w:start w:w="90" w:type="dxa"/>
              <w:bottom w:w="70" w:type="dxa"/>
              <w:end w:w="90" w:type="dxa"/>
            </w:tcMar>
          </w:tcPr>
          <w:p>
            <w:pPr>
              <w:pStyle w:val="Compact"/>
              <w:spacing w:before="0" w:after="0" w:line="240" w:lineRule="auto"/>
            </w:pPr>
            <w:r>
              <w:t>Interaction: temp\_max temp\_at\_max\_count\_t\_1 (smooth, linear)</w:t>
            </w:r>
          </w:p>
        </w:tc>
      </w:tr>
      <w:tr>
        <w:tc>
          <w:tcPr>
            <w:tcW w:type="dxa" w:w="1150"/>
            <w:vAlign w:val="center"/>
            <w:tcMar>
              <w:top w:w="70" w:type="dxa"/>
              <w:start w:w="90" w:type="dxa"/>
              <w:bottom w:w="70" w:type="dxa"/>
              <w:end w:w="90" w:type="dxa"/>
            </w:tcMar>
          </w:tcPr>
          <w:p>
            <w:pPr>
              <w:pStyle w:val="Compact"/>
              <w:spacing w:before="0" w:after="0" w:line="240" w:lineRule="auto"/>
            </w:pPr>
            <w:r>
              <w:t>M23, M24</w:t>
            </w:r>
          </w:p>
        </w:tc>
        <w:tc>
          <w:tcPr>
            <w:tcW w:type="dxa" w:w="8120"/>
            <w:vAlign w:val="center"/>
            <w:tcMar>
              <w:top w:w="70" w:type="dxa"/>
              <w:start w:w="90" w:type="dxa"/>
              <w:bottom w:w="70" w:type="dxa"/>
              <w:end w:w="90" w:type="dxa"/>
            </w:tcMar>
          </w:tcPr>
          <w:p>
            <w:pPr>
              <w:pStyle w:val="Compact"/>
              <w:spacing w:before="0" w:after="0" w:line="240" w:lineRule="auto"/>
            </w:pPr>
            <w:r>
              <w:t>Interaction: temp\_max wind\_max\_gust (smooth, linear)</w:t>
            </w:r>
          </w:p>
        </w:tc>
      </w:tr>
      <w:tr>
        <w:tc>
          <w:tcPr>
            <w:tcW w:type="dxa" w:w="1150"/>
            <w:vAlign w:val="center"/>
            <w:tcMar>
              <w:top w:w="70" w:type="dxa"/>
              <w:start w:w="90" w:type="dxa"/>
              <w:bottom w:w="70" w:type="dxa"/>
              <w:end w:w="90" w:type="dxa"/>
            </w:tcMar>
          </w:tcPr>
          <w:p>
            <w:pPr>
              <w:pStyle w:val="Compact"/>
              <w:spacing w:before="0" w:after="0" w:line="240" w:lineRule="auto"/>
            </w:pPr>
            <w:r>
              <w:t>M25, M26</w:t>
            </w:r>
          </w:p>
        </w:tc>
        <w:tc>
          <w:tcPr>
            <w:tcW w:type="dxa" w:w="8120"/>
            <w:vAlign w:val="center"/>
            <w:tcMar>
              <w:top w:w="70" w:type="dxa"/>
              <w:start w:w="90" w:type="dxa"/>
              <w:bottom w:w="70" w:type="dxa"/>
              <w:end w:w="90" w:type="dxa"/>
            </w:tcMar>
          </w:tcPr>
          <w:p>
            <w:pPr>
              <w:pStyle w:val="Compact"/>
              <w:spacing w:before="0" w:after="0" w:line="240" w:lineRule="auto"/>
            </w:pPr>
            <w:r>
              <w:t>Interaction: temp\_max sum\_butterflies\_direct\_sun (smooth, linear)</w:t>
            </w:r>
          </w:p>
        </w:tc>
      </w:tr>
      <w:tr>
        <w:tc>
          <w:tcPr>
            <w:tcW w:type="dxa" w:w="1150"/>
            <w:vAlign w:val="center"/>
            <w:tcMar>
              <w:top w:w="70" w:type="dxa"/>
              <w:start w:w="90" w:type="dxa"/>
              <w:bottom w:w="70" w:type="dxa"/>
              <w:end w:w="90" w:type="dxa"/>
            </w:tcMar>
          </w:tcPr>
          <w:p>
            <w:pPr>
              <w:pStyle w:val="Compact"/>
              <w:spacing w:before="0" w:after="0" w:line="240" w:lineRule="auto"/>
            </w:pPr>
            <w:r>
              <w:t>M27, M28</w:t>
            </w:r>
          </w:p>
        </w:tc>
        <w:tc>
          <w:tcPr>
            <w:tcW w:type="dxa" w:w="8120"/>
            <w:vAlign w:val="center"/>
            <w:tcMar>
              <w:top w:w="70" w:type="dxa"/>
              <w:start w:w="90" w:type="dxa"/>
              <w:bottom w:w="70" w:type="dxa"/>
              <w:end w:w="90" w:type="dxa"/>
            </w:tcMar>
          </w:tcPr>
          <w:p>
            <w:pPr>
              <w:pStyle w:val="Compact"/>
              <w:spacing w:before="0" w:after="0" w:line="240" w:lineRule="auto"/>
            </w:pPr>
            <w:r>
              <w:t>Interaction: temp\_at\_max\_count\_t\_1 wind\_max\_gust (smooth, linear)</w:t>
            </w:r>
          </w:p>
        </w:tc>
      </w:tr>
      <w:tr>
        <w:tc>
          <w:tcPr>
            <w:tcW w:type="dxa" w:w="1150"/>
            <w:vAlign w:val="center"/>
            <w:tcMar>
              <w:top w:w="70" w:type="dxa"/>
              <w:start w:w="90" w:type="dxa"/>
              <w:bottom w:w="70" w:type="dxa"/>
              <w:end w:w="90" w:type="dxa"/>
            </w:tcMar>
          </w:tcPr>
          <w:p>
            <w:pPr>
              <w:pStyle w:val="Compact"/>
              <w:spacing w:before="0" w:after="0" w:line="240" w:lineRule="auto"/>
            </w:pPr>
            <w:r>
              <w:t>M29, M30</w:t>
            </w:r>
          </w:p>
        </w:tc>
        <w:tc>
          <w:tcPr>
            <w:tcW w:type="dxa" w:w="8120"/>
            <w:vAlign w:val="center"/>
            <w:tcMar>
              <w:top w:w="70" w:type="dxa"/>
              <w:start w:w="90" w:type="dxa"/>
              <w:bottom w:w="70" w:type="dxa"/>
              <w:end w:w="90" w:type="dxa"/>
            </w:tcMar>
          </w:tcPr>
          <w:p>
            <w:pPr>
              <w:pStyle w:val="Compact"/>
              <w:spacing w:before="0" w:after="0" w:line="240" w:lineRule="auto"/>
            </w:pPr>
            <w:r>
              <w:t>Interaction: temp\_at\_max\_count\_t\_1 sum\_butterflies\_direct\_sun (smooth, linear)</w:t>
            </w:r>
          </w:p>
        </w:tc>
      </w:tr>
      <w:tr>
        <w:tc>
          <w:tcPr>
            <w:tcW w:type="dxa" w:w="1150"/>
            <w:vAlign w:val="center"/>
            <w:tcMar>
              <w:top w:w="70" w:type="dxa"/>
              <w:start w:w="90" w:type="dxa"/>
              <w:bottom w:w="70" w:type="dxa"/>
              <w:end w:w="90" w:type="dxa"/>
            </w:tcMar>
          </w:tcPr>
          <w:p>
            <w:pPr>
              <w:pStyle w:val="Compact"/>
              <w:spacing w:before="0" w:after="0" w:line="240" w:lineRule="auto"/>
            </w:pPr>
            <w:r>
              <w:t>M31, M32</w:t>
            </w:r>
          </w:p>
        </w:tc>
        <w:tc>
          <w:tcPr>
            <w:tcW w:type="dxa" w:w="8120"/>
            <w:vAlign w:val="center"/>
            <w:tcMar>
              <w:top w:w="70" w:type="dxa"/>
              <w:start w:w="90" w:type="dxa"/>
              <w:bottom w:w="70" w:type="dxa"/>
              <w:end w:w="90" w:type="dxa"/>
            </w:tcMar>
          </w:tcPr>
          <w:p>
            <w:pPr>
              <w:pStyle w:val="Compact"/>
              <w:spacing w:before="0" w:after="0" w:line="240" w:lineRule="auto"/>
            </w:pPr>
            <w:r>
              <w:t>Interaction: wind\_max\_gust sum\_butterflies\_direct\_sun (smooth, linear)</w:t>
            </w:r>
          </w:p>
        </w:tc>
      </w:tr>
      <w:tr>
        <w:tc>
          <w:tcPr>
            <w:tcW w:type="dxa" w:w="8120"/>
            <w:gridSpan w:val="2"/>
            <w:vAlign w:val="center"/>
            <w:tcMar>
              <w:top w:w="70" w:type="dxa"/>
              <w:start w:w="90" w:type="dxa"/>
              <w:bottom w:w="70" w:type="dxa"/>
              <w:end w:w="90" w:type="dxa"/>
            </w:tcMar>
          </w:tcPr>
          <w:p>
            <w:pPr>
              <w:pStyle w:val="Compact"/>
              <w:spacing w:before="36" w:after="36"/>
            </w:pPr>
            <w:r>
              <w:rPr>
                <w:i/>
              </w:rPr>
              <w:t>Part 4: Main Effects + Interaction Models (20 models)</w:t>
            </w:r>
          </w:p>
        </w:tc>
      </w:tr>
      <w:tr>
        <w:tc>
          <w:tcPr>
            <w:tcW w:type="dxa" w:w="1150"/>
            <w:vAlign w:val="center"/>
            <w:tcMar>
              <w:top w:w="70" w:type="dxa"/>
              <w:start w:w="90" w:type="dxa"/>
              <w:bottom w:w="70" w:type="dxa"/>
              <w:end w:w="90" w:type="dxa"/>
            </w:tcMar>
          </w:tcPr>
          <w:p>
            <w:pPr>
              <w:pStyle w:val="Compact"/>
              <w:spacing w:before="0" w:after="0" w:line="240" w:lineRule="auto"/>
            </w:pPr>
            <w:r>
              <w:t>M33, M34</w:t>
            </w:r>
          </w:p>
        </w:tc>
        <w:tc>
          <w:tcPr>
            <w:tcW w:type="dxa" w:w="8120"/>
            <w:vAlign w:val="center"/>
            <w:tcMar>
              <w:top w:w="70" w:type="dxa"/>
              <w:start w:w="90" w:type="dxa"/>
              <w:bottom w:w="70" w:type="dxa"/>
              <w:end w:w="90" w:type="dxa"/>
            </w:tcMar>
          </w:tcPr>
          <w:p>
            <w:pPr>
              <w:pStyle w:val="Compact"/>
              <w:spacing w:before="0" w:after="0" w:line="240" w:lineRule="auto"/>
            </w:pPr>
            <w:r>
              <w:t>Additive + Interaction: temp\_min + temp\_max + interaction (smooth, linear)</w:t>
            </w:r>
          </w:p>
        </w:tc>
      </w:tr>
      <w:tr>
        <w:tc>
          <w:tcPr>
            <w:tcW w:type="dxa" w:w="1150"/>
            <w:vAlign w:val="center"/>
            <w:tcMar>
              <w:top w:w="70" w:type="dxa"/>
              <w:start w:w="90" w:type="dxa"/>
              <w:bottom w:w="70" w:type="dxa"/>
              <w:end w:w="90" w:type="dxa"/>
            </w:tcMar>
          </w:tcPr>
          <w:p>
            <w:pPr>
              <w:pStyle w:val="Compact"/>
              <w:spacing w:before="0" w:after="0" w:line="240" w:lineRule="auto"/>
            </w:pPr>
            <w:r>
              <w:t>M35, M36</w:t>
            </w:r>
          </w:p>
        </w:tc>
        <w:tc>
          <w:tcPr>
            <w:tcW w:type="dxa" w:w="8120"/>
            <w:vAlign w:val="center"/>
            <w:tcMar>
              <w:top w:w="70" w:type="dxa"/>
              <w:start w:w="90" w:type="dxa"/>
              <w:bottom w:w="70" w:type="dxa"/>
              <w:end w:w="90" w:type="dxa"/>
            </w:tcMar>
          </w:tcPr>
          <w:p>
            <w:pPr>
              <w:pStyle w:val="Compact"/>
              <w:spacing w:before="0" w:after="0" w:line="240" w:lineRule="auto"/>
            </w:pPr>
            <w:r>
              <w:t>Additive + Interaction: temp\_min + temp\_at\_max\_count\_t\_1 + interaction (smooth, linear)</w:t>
            </w:r>
          </w:p>
        </w:tc>
      </w:tr>
      <w:tr>
        <w:tc>
          <w:tcPr>
            <w:tcW w:type="dxa" w:w="1150"/>
            <w:vAlign w:val="center"/>
            <w:tcMar>
              <w:top w:w="70" w:type="dxa"/>
              <w:start w:w="90" w:type="dxa"/>
              <w:bottom w:w="70" w:type="dxa"/>
              <w:end w:w="90" w:type="dxa"/>
            </w:tcMar>
          </w:tcPr>
          <w:p>
            <w:pPr>
              <w:pStyle w:val="Compact"/>
              <w:spacing w:before="0" w:after="0" w:line="240" w:lineRule="auto"/>
            </w:pPr>
            <w:r>
              <w:t>M37, M38</w:t>
            </w:r>
          </w:p>
        </w:tc>
        <w:tc>
          <w:tcPr>
            <w:tcW w:type="dxa" w:w="8120"/>
            <w:vAlign w:val="center"/>
            <w:tcMar>
              <w:top w:w="70" w:type="dxa"/>
              <w:start w:w="90" w:type="dxa"/>
              <w:bottom w:w="70" w:type="dxa"/>
              <w:end w:w="90" w:type="dxa"/>
            </w:tcMar>
          </w:tcPr>
          <w:p>
            <w:pPr>
              <w:pStyle w:val="Compact"/>
              <w:spacing w:before="0" w:after="0" w:line="240" w:lineRule="auto"/>
            </w:pPr>
            <w:r>
              <w:t>Additive + Interaction: temp\_min + wind\_max\_gust + interaction (smooth, linear)</w:t>
            </w:r>
          </w:p>
        </w:tc>
      </w:tr>
      <w:tr>
        <w:tc>
          <w:tcPr>
            <w:tcW w:type="dxa" w:w="1150"/>
            <w:vAlign w:val="center"/>
            <w:tcMar>
              <w:top w:w="70" w:type="dxa"/>
              <w:start w:w="90" w:type="dxa"/>
              <w:bottom w:w="70" w:type="dxa"/>
              <w:end w:w="90" w:type="dxa"/>
            </w:tcMar>
          </w:tcPr>
          <w:p>
            <w:pPr>
              <w:pStyle w:val="Compact"/>
              <w:spacing w:before="0" w:after="0" w:line="240" w:lineRule="auto"/>
            </w:pPr>
            <w:r>
              <w:t>M39, M40</w:t>
            </w:r>
          </w:p>
        </w:tc>
        <w:tc>
          <w:tcPr>
            <w:tcW w:type="dxa" w:w="8120"/>
            <w:vAlign w:val="center"/>
            <w:tcMar>
              <w:top w:w="70" w:type="dxa"/>
              <w:start w:w="90" w:type="dxa"/>
              <w:bottom w:w="70" w:type="dxa"/>
              <w:end w:w="90" w:type="dxa"/>
            </w:tcMar>
          </w:tcPr>
          <w:p>
            <w:pPr>
              <w:pStyle w:val="Compact"/>
              <w:spacing w:before="0" w:after="0" w:line="240" w:lineRule="auto"/>
            </w:pPr>
            <w:r>
              <w:t>Additive + Interaction: temp\_min + sum\_butterflies\_direct\_sun + interaction (smooth, linear)</w:t>
            </w:r>
          </w:p>
        </w:tc>
      </w:tr>
      <w:tr>
        <w:tc>
          <w:tcPr>
            <w:tcW w:type="dxa" w:w="1150"/>
            <w:vAlign w:val="center"/>
            <w:tcMar>
              <w:top w:w="70" w:type="dxa"/>
              <w:start w:w="90" w:type="dxa"/>
              <w:bottom w:w="70" w:type="dxa"/>
              <w:end w:w="90" w:type="dxa"/>
            </w:tcMar>
          </w:tcPr>
          <w:p>
            <w:pPr>
              <w:pStyle w:val="Compact"/>
              <w:spacing w:before="0" w:after="0" w:line="240" w:lineRule="auto"/>
            </w:pPr>
            <w:r>
              <w:t>M41, M42</w:t>
            </w:r>
          </w:p>
        </w:tc>
        <w:tc>
          <w:tcPr>
            <w:tcW w:type="dxa" w:w="8120"/>
            <w:vAlign w:val="center"/>
            <w:tcMar>
              <w:top w:w="70" w:type="dxa"/>
              <w:start w:w="90" w:type="dxa"/>
              <w:bottom w:w="70" w:type="dxa"/>
              <w:end w:w="90" w:type="dxa"/>
            </w:tcMar>
          </w:tcPr>
          <w:p>
            <w:pPr>
              <w:pStyle w:val="Compact"/>
              <w:spacing w:before="0" w:after="0" w:line="240" w:lineRule="auto"/>
            </w:pPr>
            <w:r>
              <w:t>Additive + Interaction: temp\_max + temp\_at\_max\_count\_t\_1 + interaction (smooth, linear)</w:t>
            </w:r>
          </w:p>
        </w:tc>
      </w:tr>
      <w:tr>
        <w:tc>
          <w:tcPr>
            <w:tcW w:type="dxa" w:w="1150"/>
            <w:vAlign w:val="center"/>
            <w:tcMar>
              <w:top w:w="70" w:type="dxa"/>
              <w:start w:w="90" w:type="dxa"/>
              <w:bottom w:w="70" w:type="dxa"/>
              <w:end w:w="90" w:type="dxa"/>
            </w:tcMar>
          </w:tcPr>
          <w:p>
            <w:pPr>
              <w:pStyle w:val="Compact"/>
              <w:spacing w:before="0" w:after="0" w:line="240" w:lineRule="auto"/>
            </w:pPr>
            <w:r>
              <w:t>M43, M44</w:t>
            </w:r>
          </w:p>
        </w:tc>
        <w:tc>
          <w:tcPr>
            <w:tcW w:type="dxa" w:w="8120"/>
            <w:vAlign w:val="center"/>
            <w:tcMar>
              <w:top w:w="70" w:type="dxa"/>
              <w:start w:w="90" w:type="dxa"/>
              <w:bottom w:w="70" w:type="dxa"/>
              <w:end w:w="90" w:type="dxa"/>
            </w:tcMar>
          </w:tcPr>
          <w:p>
            <w:pPr>
              <w:pStyle w:val="Compact"/>
              <w:spacing w:before="0" w:after="0" w:line="240" w:lineRule="auto"/>
            </w:pPr>
            <w:r>
              <w:t>Additive + Interaction: temp\_max + wind\_max\_gust + interaction (smooth, linear)</w:t>
            </w:r>
          </w:p>
        </w:tc>
      </w:tr>
      <w:tr>
        <w:tc>
          <w:tcPr>
            <w:tcW w:type="dxa" w:w="1150"/>
            <w:vAlign w:val="center"/>
            <w:tcMar>
              <w:top w:w="70" w:type="dxa"/>
              <w:start w:w="90" w:type="dxa"/>
              <w:bottom w:w="70" w:type="dxa"/>
              <w:end w:w="90" w:type="dxa"/>
            </w:tcMar>
          </w:tcPr>
          <w:p>
            <w:pPr>
              <w:pStyle w:val="Compact"/>
              <w:spacing w:before="0" w:after="0" w:line="240" w:lineRule="auto"/>
            </w:pPr>
            <w:r>
              <w:t>M45, M46</w:t>
            </w:r>
          </w:p>
        </w:tc>
        <w:tc>
          <w:tcPr>
            <w:tcW w:type="dxa" w:w="8120"/>
            <w:vAlign w:val="center"/>
            <w:tcMar>
              <w:top w:w="70" w:type="dxa"/>
              <w:start w:w="90" w:type="dxa"/>
              <w:bottom w:w="70" w:type="dxa"/>
              <w:end w:w="90" w:type="dxa"/>
            </w:tcMar>
          </w:tcPr>
          <w:p>
            <w:pPr>
              <w:pStyle w:val="Compact"/>
              <w:spacing w:before="0" w:after="0" w:line="240" w:lineRule="auto"/>
            </w:pPr>
            <w:r>
              <w:t>Additive + Interaction: temp\_max + sum\_butterflies\_direct\_sun + interaction (smooth, linear)</w:t>
            </w:r>
          </w:p>
        </w:tc>
      </w:tr>
      <w:tr>
        <w:tc>
          <w:tcPr>
            <w:tcW w:type="dxa" w:w="1150"/>
            <w:vAlign w:val="center"/>
            <w:tcMar>
              <w:top w:w="70" w:type="dxa"/>
              <w:start w:w="90" w:type="dxa"/>
              <w:bottom w:w="70" w:type="dxa"/>
              <w:end w:w="90" w:type="dxa"/>
            </w:tcMar>
          </w:tcPr>
          <w:p>
            <w:pPr>
              <w:pStyle w:val="Compact"/>
              <w:spacing w:before="0" w:after="0" w:line="240" w:lineRule="auto"/>
            </w:pPr>
            <w:r>
              <w:t>M47, M48</w:t>
            </w:r>
          </w:p>
        </w:tc>
        <w:tc>
          <w:tcPr>
            <w:tcW w:type="dxa" w:w="8120"/>
            <w:vAlign w:val="center"/>
            <w:tcMar>
              <w:top w:w="70" w:type="dxa"/>
              <w:start w:w="90" w:type="dxa"/>
              <w:bottom w:w="70" w:type="dxa"/>
              <w:end w:w="90" w:type="dxa"/>
            </w:tcMar>
          </w:tcPr>
          <w:p>
            <w:pPr>
              <w:pStyle w:val="Compact"/>
              <w:spacing w:before="0" w:after="0" w:line="240" w:lineRule="auto"/>
            </w:pPr>
            <w:r>
              <w:t>Additive + Interaction: temp\_at\_max\_count\_t\_1 + wind\_max\_gust + interaction (smooth, linear)</w:t>
            </w:r>
          </w:p>
        </w:tc>
      </w:tr>
      <w:tr>
        <w:tc>
          <w:tcPr>
            <w:tcW w:type="dxa" w:w="1150"/>
            <w:vAlign w:val="center"/>
            <w:tcMar>
              <w:top w:w="70" w:type="dxa"/>
              <w:start w:w="90" w:type="dxa"/>
              <w:bottom w:w="70" w:type="dxa"/>
              <w:end w:w="90" w:type="dxa"/>
            </w:tcMar>
          </w:tcPr>
          <w:p>
            <w:pPr>
              <w:pStyle w:val="Compact"/>
              <w:spacing w:before="0" w:after="0" w:line="240" w:lineRule="auto"/>
            </w:pPr>
            <w:r>
              <w:t>M49, M50</w:t>
            </w:r>
          </w:p>
        </w:tc>
        <w:tc>
          <w:tcPr>
            <w:tcW w:type="dxa" w:w="8120"/>
            <w:vAlign w:val="center"/>
            <w:tcMar>
              <w:top w:w="70" w:type="dxa"/>
              <w:start w:w="90" w:type="dxa"/>
              <w:bottom w:w="70" w:type="dxa"/>
              <w:end w:w="90" w:type="dxa"/>
            </w:tcMar>
          </w:tcPr>
          <w:p>
            <w:pPr>
              <w:pStyle w:val="Compact"/>
              <w:spacing w:before="0" w:after="0" w:line="240" w:lineRule="auto"/>
            </w:pPr>
            <w:r>
              <w:t>Additive + Interaction: temp\_at\_max\_count\_t\_1 + sum\_butterflies\_direct\_sun + interaction (smooth, linear)</w:t>
            </w:r>
          </w:p>
        </w:tc>
      </w:tr>
      <w:tr>
        <w:tc>
          <w:tcPr>
            <w:tcW w:type="dxa" w:w="1150"/>
            <w:vAlign w:val="center"/>
            <w:tcMar>
              <w:top w:w="70" w:type="dxa"/>
              <w:start w:w="90" w:type="dxa"/>
              <w:bottom w:w="70" w:type="dxa"/>
              <w:end w:w="90" w:type="dxa"/>
            </w:tcMar>
          </w:tcPr>
          <w:p>
            <w:pPr>
              <w:pStyle w:val="Compact"/>
              <w:spacing w:before="0" w:after="0" w:line="240" w:lineRule="auto"/>
            </w:pPr>
            <w:r>
              <w:t>M51, M52</w:t>
            </w:r>
          </w:p>
        </w:tc>
        <w:tc>
          <w:tcPr>
            <w:tcW w:type="dxa" w:w="8120"/>
            <w:vAlign w:val="center"/>
            <w:tcMar>
              <w:top w:w="70" w:type="dxa"/>
              <w:start w:w="90" w:type="dxa"/>
              <w:bottom w:w="70" w:type="dxa"/>
              <w:end w:w="90" w:type="dxa"/>
            </w:tcMar>
          </w:tcPr>
          <w:p>
            <w:pPr>
              <w:pStyle w:val="Compact"/>
              <w:spacing w:before="0" w:after="0" w:line="240" w:lineRule="auto"/>
            </w:pPr>
            <w:r>
              <w:t>Additive + Interaction: wind\_max\_gust + sum\_butterflies\_direct\_sun + interaction (smooth, linear)</w:t>
            </w:r>
          </w:p>
        </w:tc>
      </w:tr>
      <w:tr>
        <w:tc>
          <w:tcPr>
            <w:tcW w:type="dxa" w:w="8120"/>
            <w:gridSpan w:val="2"/>
            <w:vAlign w:val="center"/>
            <w:tcMar>
              <w:top w:w="70" w:type="dxa"/>
              <w:start w:w="90" w:type="dxa"/>
              <w:bottom w:w="70" w:type="dxa"/>
              <w:end w:w="90" w:type="dxa"/>
            </w:tcMar>
          </w:tcPr>
          <w:p>
            <w:pPr>
              <w:pStyle w:val="Compact"/>
              <w:spacing w:before="36" w:after="36"/>
            </w:pPr>
            <w:r>
              <w:rPr>
                <w:i/>
              </w:rPr>
              <w:t>Part 5: Strategic Additive Combinations (14 models)</w:t>
            </w:r>
          </w:p>
        </w:tc>
      </w:tr>
      <w:tr>
        <w:tc>
          <w:tcPr>
            <w:tcW w:type="dxa" w:w="1150"/>
            <w:vAlign w:val="center"/>
            <w:tcMar>
              <w:top w:w="70" w:type="dxa"/>
              <w:start w:w="90" w:type="dxa"/>
              <w:bottom w:w="70" w:type="dxa"/>
              <w:end w:w="90" w:type="dxa"/>
            </w:tcMar>
          </w:tcPr>
          <w:p>
            <w:pPr>
              <w:pStyle w:val="Compact"/>
              <w:spacing w:before="0" w:after="0" w:line="240" w:lineRule="auto"/>
            </w:pPr>
            <w:r>
              <w:t>M53, M54</w:t>
            </w:r>
          </w:p>
        </w:tc>
        <w:tc>
          <w:tcPr>
            <w:tcW w:type="dxa" w:w="8120"/>
            <w:vAlign w:val="center"/>
            <w:tcMar>
              <w:top w:w="70" w:type="dxa"/>
              <w:start w:w="90" w:type="dxa"/>
              <w:bottom w:w="70" w:type="dxa"/>
              <w:end w:w="90" w:type="dxa"/>
            </w:tcMar>
          </w:tcPr>
          <w:p>
            <w:pPr>
              <w:pStyle w:val="Compact"/>
              <w:spacing w:before="0" w:after="0" w:line="240" w:lineRule="auto"/>
            </w:pPr>
            <w:r>
              <w:t>Additive: All temperature variables (smooth, linear)</w:t>
            </w:r>
          </w:p>
        </w:tc>
      </w:tr>
      <w:tr>
        <w:tc>
          <w:tcPr>
            <w:tcW w:type="dxa" w:w="1150"/>
            <w:vAlign w:val="center"/>
            <w:tcMar>
              <w:top w:w="70" w:type="dxa"/>
              <w:start w:w="90" w:type="dxa"/>
              <w:bottom w:w="70" w:type="dxa"/>
              <w:end w:w="90" w:type="dxa"/>
            </w:tcMar>
          </w:tcPr>
          <w:p>
            <w:pPr>
              <w:pStyle w:val="Compact"/>
              <w:spacing w:before="0" w:after="0" w:line="240" w:lineRule="auto"/>
            </w:pPr>
            <w:r>
              <w:t>M55, M56</w:t>
            </w:r>
          </w:p>
        </w:tc>
        <w:tc>
          <w:tcPr>
            <w:tcW w:type="dxa" w:w="8120"/>
            <w:vAlign w:val="center"/>
            <w:tcMar>
              <w:top w:w="70" w:type="dxa"/>
              <w:start w:w="90" w:type="dxa"/>
              <w:bottom w:w="70" w:type="dxa"/>
              <w:end w:w="90" w:type="dxa"/>
            </w:tcMar>
          </w:tcPr>
          <w:p>
            <w:pPr>
              <w:pStyle w:val="Compact"/>
              <w:spacing w:before="0" w:after="0" w:line="240" w:lineRule="auto"/>
            </w:pPr>
            <w:r>
              <w:t>Additive: temp\_min + temp\_max (smooth, linear)</w:t>
            </w:r>
          </w:p>
        </w:tc>
      </w:tr>
      <w:tr>
        <w:tc>
          <w:tcPr>
            <w:tcW w:type="dxa" w:w="1150"/>
            <w:vAlign w:val="center"/>
            <w:tcMar>
              <w:top w:w="70" w:type="dxa"/>
              <w:start w:w="90" w:type="dxa"/>
              <w:bottom w:w="70" w:type="dxa"/>
              <w:end w:w="90" w:type="dxa"/>
            </w:tcMar>
          </w:tcPr>
          <w:p>
            <w:pPr>
              <w:pStyle w:val="Compact"/>
              <w:spacing w:before="0" w:after="0" w:line="240" w:lineRule="auto"/>
            </w:pPr>
            <w:r>
              <w:t>M57, M58</w:t>
            </w:r>
          </w:p>
        </w:tc>
        <w:tc>
          <w:tcPr>
            <w:tcW w:type="dxa" w:w="8120"/>
            <w:vAlign w:val="center"/>
            <w:tcMar>
              <w:top w:w="70" w:type="dxa"/>
              <w:start w:w="90" w:type="dxa"/>
              <w:bottom w:w="70" w:type="dxa"/>
              <w:end w:w="90" w:type="dxa"/>
            </w:tcMar>
          </w:tcPr>
          <w:p>
            <w:pPr>
              <w:pStyle w:val="Compact"/>
              <w:spacing w:before="0" w:after="0" w:line="240" w:lineRule="auto"/>
            </w:pPr>
            <w:r>
              <w:t>Additive: temp\_min + wind\_max\_gust (smooth, linear)</w:t>
            </w:r>
          </w:p>
        </w:tc>
      </w:tr>
      <w:tr>
        <w:tc>
          <w:tcPr>
            <w:tcW w:type="dxa" w:w="1150"/>
            <w:vAlign w:val="center"/>
            <w:tcMar>
              <w:top w:w="70" w:type="dxa"/>
              <w:start w:w="90" w:type="dxa"/>
              <w:bottom w:w="70" w:type="dxa"/>
              <w:end w:w="90" w:type="dxa"/>
            </w:tcMar>
          </w:tcPr>
          <w:p>
            <w:pPr>
              <w:pStyle w:val="Compact"/>
              <w:spacing w:before="0" w:after="0" w:line="240" w:lineRule="auto"/>
            </w:pPr>
            <w:r>
              <w:t>M59, M60</w:t>
            </w:r>
          </w:p>
        </w:tc>
        <w:tc>
          <w:tcPr>
            <w:tcW w:type="dxa" w:w="8120"/>
            <w:vAlign w:val="center"/>
            <w:tcMar>
              <w:top w:w="70" w:type="dxa"/>
              <w:start w:w="90" w:type="dxa"/>
              <w:bottom w:w="70" w:type="dxa"/>
              <w:end w:w="90" w:type="dxa"/>
            </w:tcMar>
          </w:tcPr>
          <w:p>
            <w:pPr>
              <w:pStyle w:val="Compact"/>
              <w:spacing w:before="0" w:after="0" w:line="240" w:lineRule="auto"/>
            </w:pPr>
            <w:r>
              <w:t>Additive: temp\_max + wind\_max\_gust (smooth, linear)</w:t>
            </w:r>
          </w:p>
        </w:tc>
      </w:tr>
      <w:tr>
        <w:tc>
          <w:tcPr>
            <w:tcW w:type="dxa" w:w="1150"/>
            <w:vAlign w:val="center"/>
            <w:tcMar>
              <w:top w:w="70" w:type="dxa"/>
              <w:start w:w="90" w:type="dxa"/>
              <w:bottom w:w="70" w:type="dxa"/>
              <w:end w:w="90" w:type="dxa"/>
            </w:tcMar>
          </w:tcPr>
          <w:p>
            <w:pPr>
              <w:pStyle w:val="Compact"/>
              <w:spacing w:before="0" w:after="0" w:line="240" w:lineRule="auto"/>
            </w:pPr>
            <w:r>
              <w:t>M61, M62</w:t>
            </w:r>
          </w:p>
        </w:tc>
        <w:tc>
          <w:tcPr>
            <w:tcW w:type="dxa" w:w="8120"/>
            <w:vAlign w:val="center"/>
            <w:tcMar>
              <w:top w:w="70" w:type="dxa"/>
              <w:start w:w="90" w:type="dxa"/>
              <w:bottom w:w="70" w:type="dxa"/>
              <w:end w:w="90" w:type="dxa"/>
            </w:tcMar>
          </w:tcPr>
          <w:p>
            <w:pPr>
              <w:pStyle w:val="Compact"/>
              <w:spacing w:before="0" w:after="0" w:line="240" w:lineRule="auto"/>
            </w:pPr>
            <w:r>
              <w:t>Additive: temp\_at\_max\_count\_t\_1 + wind\_max\_gust (smooth, linear)</w:t>
            </w:r>
          </w:p>
        </w:tc>
      </w:tr>
      <w:tr>
        <w:tc>
          <w:tcPr>
            <w:tcW w:type="dxa" w:w="1150"/>
            <w:vAlign w:val="center"/>
            <w:tcMar>
              <w:top w:w="70" w:type="dxa"/>
              <w:start w:w="90" w:type="dxa"/>
              <w:bottom w:w="70" w:type="dxa"/>
              <w:end w:w="90" w:type="dxa"/>
            </w:tcMar>
          </w:tcPr>
          <w:p>
            <w:pPr>
              <w:pStyle w:val="Compact"/>
              <w:spacing w:before="0" w:after="0" w:line="240" w:lineRule="auto"/>
            </w:pPr>
            <w:r>
              <w:t>M63, M64</w:t>
            </w:r>
          </w:p>
        </w:tc>
        <w:tc>
          <w:tcPr>
            <w:tcW w:type="dxa" w:w="8120"/>
            <w:vAlign w:val="center"/>
            <w:tcMar>
              <w:top w:w="70" w:type="dxa"/>
              <w:start w:w="90" w:type="dxa"/>
              <w:bottom w:w="70" w:type="dxa"/>
              <w:end w:w="90" w:type="dxa"/>
            </w:tcMar>
          </w:tcPr>
          <w:p>
            <w:pPr>
              <w:pStyle w:val="Compact"/>
              <w:spacing w:before="0" w:after="0" w:line="240" w:lineRule="auto"/>
            </w:pPr>
            <w:r>
              <w:t>Additive: All temperature + wind (smooth, linear)</w:t>
            </w:r>
          </w:p>
        </w:tc>
      </w:tr>
      <w:tr>
        <w:tc>
          <w:tcPr>
            <w:tcW w:type="dxa" w:w="1150"/>
            <w:vAlign w:val="center"/>
            <w:tcMar>
              <w:top w:w="70" w:type="dxa"/>
              <w:start w:w="90" w:type="dxa"/>
              <w:bottom w:w="70" w:type="dxa"/>
              <w:end w:w="90" w:type="dxa"/>
            </w:tcMar>
          </w:tcPr>
          <w:p>
            <w:pPr>
              <w:pStyle w:val="Compact"/>
              <w:spacing w:before="0" w:after="0" w:line="240" w:lineRule="auto"/>
            </w:pPr>
            <w:r>
              <w:t>M65, M66</w:t>
            </w:r>
          </w:p>
        </w:tc>
        <w:tc>
          <w:tcPr>
            <w:tcW w:type="dxa" w:w="8120"/>
            <w:vAlign w:val="center"/>
            <w:tcMar>
              <w:top w:w="70" w:type="dxa"/>
              <w:start w:w="90" w:type="dxa"/>
              <w:bottom w:w="70" w:type="dxa"/>
              <w:end w:w="90" w:type="dxa"/>
            </w:tcMar>
          </w:tcPr>
          <w:p>
            <w:pPr>
              <w:pStyle w:val="Compact"/>
              <w:spacing w:before="0" w:after="0" w:line="240" w:lineRule="auto"/>
            </w:pPr>
            <w:r>
              <w:t>Additive: All predictors (smooth, linear)</w:t>
            </w:r>
          </w:p>
        </w:tc>
      </w:tr>
      <w:tr>
        <w:tc>
          <w:tcPr>
            <w:tcW w:type="dxa" w:w="8120"/>
            <w:gridSpan w:val="2"/>
            <w:vAlign w:val="center"/>
            <w:tcMar>
              <w:top w:w="70" w:type="dxa"/>
              <w:start w:w="90" w:type="dxa"/>
              <w:bottom w:w="70" w:type="dxa"/>
              <w:end w:w="90" w:type="dxa"/>
            </w:tcMar>
          </w:tcPr>
          <w:p>
            <w:pPr>
              <w:pStyle w:val="Compact"/>
              <w:spacing w:before="36" w:after="36"/>
            </w:pPr>
            <w:r>
              <w:rPr>
                <w:i/>
              </w:rPr>
              <w:t>Part 6: Complex Models with Multiple Interactions (6 models)</w:t>
            </w:r>
          </w:p>
        </w:tc>
      </w:tr>
      <w:tr>
        <w:tc>
          <w:tcPr>
            <w:tcW w:type="dxa" w:w="1150"/>
            <w:vAlign w:val="center"/>
            <w:tcMar>
              <w:top w:w="70" w:type="dxa"/>
              <w:start w:w="90" w:type="dxa"/>
              <w:bottom w:w="70" w:type="dxa"/>
              <w:end w:w="90" w:type="dxa"/>
            </w:tcMar>
          </w:tcPr>
          <w:p>
            <w:pPr>
              <w:pStyle w:val="Compact"/>
              <w:spacing w:before="0" w:after="0" w:line="240" w:lineRule="auto"/>
            </w:pPr>
            <w:r>
              <w:t>M67, M68</w:t>
            </w:r>
          </w:p>
        </w:tc>
        <w:tc>
          <w:tcPr>
            <w:tcW w:type="dxa" w:w="8120"/>
            <w:vAlign w:val="center"/>
            <w:tcMar>
              <w:top w:w="70" w:type="dxa"/>
              <w:start w:w="90" w:type="dxa"/>
              <w:bottom w:w="70" w:type="dxa"/>
              <w:end w:w="90" w:type="dxa"/>
            </w:tcMar>
          </w:tcPr>
          <w:p>
            <w:pPr>
              <w:pStyle w:val="Compact"/>
              <w:spacing w:before="0" w:after="0" w:line="240" w:lineRule="auto"/>
            </w:pPr>
            <w:r>
              <w:t>All temperature main effects + all temperature interactions (smooth, linear)</w:t>
            </w:r>
          </w:p>
        </w:tc>
      </w:tr>
      <w:tr>
        <w:tc>
          <w:tcPr>
            <w:tcW w:type="dxa" w:w="1150"/>
            <w:vAlign w:val="center"/>
            <w:tcMar>
              <w:top w:w="70" w:type="dxa"/>
              <w:start w:w="90" w:type="dxa"/>
              <w:bottom w:w="70" w:type="dxa"/>
              <w:end w:w="90" w:type="dxa"/>
            </w:tcMar>
          </w:tcPr>
          <w:p>
            <w:pPr>
              <w:pStyle w:val="Compact"/>
              <w:spacing w:before="0" w:after="0" w:line="240" w:lineRule="auto"/>
            </w:pPr>
            <w:r>
              <w:t>M69, M70</w:t>
            </w:r>
          </w:p>
        </w:tc>
        <w:tc>
          <w:tcPr>
            <w:tcW w:type="dxa" w:w="8120"/>
            <w:vAlign w:val="center"/>
            <w:tcMar>
              <w:top w:w="70" w:type="dxa"/>
              <w:start w:w="90" w:type="dxa"/>
              <w:bottom w:w="70" w:type="dxa"/>
              <w:end w:w="90" w:type="dxa"/>
            </w:tcMar>
          </w:tcPr>
          <w:p>
            <w:pPr>
              <w:pStyle w:val="Compact"/>
              <w:spacing w:before="0" w:after="0" w:line="240" w:lineRule="auto"/>
            </w:pPr>
            <w:r>
              <w:t>All main effects + all temperature wind interactions (smooth, linear)</w:t>
            </w:r>
          </w:p>
        </w:tc>
      </w:tr>
      <w:tr>
        <w:tc>
          <w:tcPr>
            <w:tcW w:type="dxa" w:w="1150"/>
            <w:vAlign w:val="center"/>
            <w:tcMar>
              <w:top w:w="70" w:type="dxa"/>
              <w:start w:w="90" w:type="dxa"/>
              <w:bottom w:w="70" w:type="dxa"/>
              <w:end w:w="90" w:type="dxa"/>
            </w:tcMar>
          </w:tcPr>
          <w:p>
            <w:pPr>
              <w:pStyle w:val="Compact"/>
              <w:spacing w:before="0" w:after="0" w:line="240" w:lineRule="auto"/>
            </w:pPr>
            <w:r>
              <w:t>M71, M72</w:t>
            </w:r>
          </w:p>
        </w:tc>
        <w:tc>
          <w:tcPr>
            <w:tcW w:type="dxa" w:w="8120"/>
            <w:vAlign w:val="center"/>
            <w:tcMar>
              <w:top w:w="70" w:type="dxa"/>
              <w:start w:w="90" w:type="dxa"/>
              <w:bottom w:w="70" w:type="dxa"/>
              <w:end w:w="90" w:type="dxa"/>
            </w:tcMar>
          </w:tcPr>
          <w:p>
            <w:pPr>
              <w:pStyle w:val="Compact"/>
              <w:spacing w:before="0" w:after="0" w:line="240" w:lineRule="auto"/>
            </w:pPr>
            <w:r>
              <w:t>FULL MODEL: All main effects + all two-way interactions (smooth, linear)</w:t>
            </w:r>
          </w:p>
        </w:tc>
      </w:tr>
      <w:tr>
        <w:tc>
          <w:tcPr>
            <w:tcW w:type="dxa" w:w="8120"/>
            <w:gridSpan w:val="2"/>
            <w:vAlign w:val="center"/>
            <w:tcMar>
              <w:top w:w="70" w:type="dxa"/>
              <w:start w:w="90" w:type="dxa"/>
              <w:bottom w:w="70" w:type="dxa"/>
              <w:end w:w="90" w:type="dxa"/>
            </w:tcMar>
          </w:tcPr>
          <w:p>
            <w:pPr>
              <w:pStyle w:val="Compact"/>
              <w:spacing w:before="36" w:after="36"/>
            </w:pPr>
            <w:r>
              <w:rPr>
                <w:i/>
              </w:rPr>
              <w:t>Part 7: Extra Linear Interaction Candidates (4 models)</w:t>
            </w:r>
          </w:p>
        </w:tc>
      </w:tr>
      <w:tr>
        <w:tc>
          <w:tcPr>
            <w:tcW w:type="dxa" w:w="1150"/>
            <w:vAlign w:val="center"/>
            <w:tcMar>
              <w:top w:w="70" w:type="dxa"/>
              <w:start w:w="90" w:type="dxa"/>
              <w:bottom w:w="70" w:type="dxa"/>
              <w:end w:w="90" w:type="dxa"/>
            </w:tcMar>
          </w:tcPr>
          <w:p>
            <w:pPr>
              <w:pStyle w:val="Compact"/>
              <w:spacing w:before="0" w:after="0" w:line="240" w:lineRule="auto"/>
            </w:pPr>
            <w:r>
              <w:t>M73</w:t>
            </w:r>
          </w:p>
        </w:tc>
        <w:tc>
          <w:tcPr>
            <w:tcW w:type="dxa" w:w="8120"/>
            <w:vAlign w:val="center"/>
            <w:tcMar>
              <w:top w:w="70" w:type="dxa"/>
              <w:start w:w="90" w:type="dxa"/>
              <w:bottom w:w="70" w:type="dxa"/>
              <w:end w:w="90" w:type="dxa"/>
            </w:tcMar>
          </w:tcPr>
          <w:p>
            <w:pPr>
              <w:pStyle w:val="Compact"/>
              <w:spacing w:before="0" w:after="0" w:line="240" w:lineRule="auto"/>
            </w:pPr>
            <w:r>
              <w:t>Linear interaction: wind\_max\_gust sum\_butterflies\_direct\_sun (smooth baseline)</w:t>
            </w:r>
          </w:p>
        </w:tc>
      </w:tr>
      <w:tr>
        <w:tc>
          <w:tcPr>
            <w:tcW w:type="dxa" w:w="1150"/>
            <w:vAlign w:val="center"/>
            <w:tcMar>
              <w:top w:w="70" w:type="dxa"/>
              <w:start w:w="90" w:type="dxa"/>
              <w:bottom w:w="70" w:type="dxa"/>
              <w:end w:w="90" w:type="dxa"/>
            </w:tcMar>
          </w:tcPr>
          <w:p>
            <w:pPr>
              <w:pStyle w:val="Compact"/>
              <w:spacing w:before="0" w:after="0" w:line="240" w:lineRule="auto"/>
            </w:pPr>
            <w:r>
              <w:t>M74</w:t>
            </w:r>
          </w:p>
        </w:tc>
        <w:tc>
          <w:tcPr>
            <w:tcW w:type="dxa" w:w="8120"/>
            <w:vAlign w:val="center"/>
            <w:tcMar>
              <w:top w:w="70" w:type="dxa"/>
              <w:start w:w="90" w:type="dxa"/>
              <w:bottom w:w="70" w:type="dxa"/>
              <w:end w:w="90" w:type="dxa"/>
            </w:tcMar>
          </w:tcPr>
          <w:p>
            <w:pPr>
              <w:pStyle w:val="Compact"/>
              <w:spacing w:before="0" w:after="0" w:line="240" w:lineRule="auto"/>
            </w:pPr>
            <w:r>
              <w:t>Linear interaction: wind\_max\_gust sum\_butterflies\_direct\_sun (linear baseline)</w:t>
            </w:r>
          </w:p>
        </w:tc>
      </w:tr>
      <w:tr>
        <w:tc>
          <w:tcPr>
            <w:tcW w:type="dxa" w:w="1150"/>
            <w:vAlign w:val="center"/>
            <w:tcMar>
              <w:top w:w="70" w:type="dxa"/>
              <w:start w:w="90" w:type="dxa"/>
              <w:bottom w:w="70" w:type="dxa"/>
              <w:end w:w="90" w:type="dxa"/>
            </w:tcMar>
          </w:tcPr>
          <w:p>
            <w:pPr>
              <w:pStyle w:val="Compact"/>
              <w:spacing w:before="0" w:after="0" w:line="240" w:lineRule="auto"/>
            </w:pPr>
            <w:r>
              <w:t>M75</w:t>
            </w:r>
          </w:p>
        </w:tc>
        <w:tc>
          <w:tcPr>
            <w:tcW w:type="dxa" w:w="8120"/>
            <w:vAlign w:val="center"/>
            <w:tcMar>
              <w:top w:w="70" w:type="dxa"/>
              <w:start w:w="90" w:type="dxa"/>
              <w:bottom w:w="70" w:type="dxa"/>
              <w:end w:w="90" w:type="dxa"/>
            </w:tcMar>
          </w:tcPr>
          <w:p>
            <w:pPr>
              <w:pStyle w:val="Compact"/>
              <w:spacing w:before="0" w:after="0" w:line="240" w:lineRule="auto"/>
            </w:pPr>
            <w:r>
              <w:t>Linear interaction + temp\_min + temp\_max (smooth baseline)</w:t>
            </w:r>
          </w:p>
        </w:tc>
      </w:tr>
      <w:tr>
        <w:tc>
          <w:tcPr>
            <w:tcW w:type="dxa" w:w="1150"/>
            <w:vAlign w:val="center"/>
            <w:tcMar>
              <w:top w:w="70" w:type="dxa"/>
              <w:start w:w="90" w:type="dxa"/>
              <w:bottom w:w="70" w:type="dxa"/>
              <w:end w:w="90" w:type="dxa"/>
            </w:tcMar>
          </w:tcPr>
          <w:p>
            <w:pPr>
              <w:pStyle w:val="Compact"/>
              <w:spacing w:before="0" w:after="0" w:line="240" w:lineRule="auto"/>
            </w:pPr>
            <w:r>
              <w:t>M76</w:t>
            </w:r>
          </w:p>
        </w:tc>
        <w:tc>
          <w:tcPr>
            <w:tcW w:type="dxa" w:w="8120"/>
            <w:vAlign w:val="center"/>
            <w:tcMar>
              <w:top w:w="70" w:type="dxa"/>
              <w:start w:w="90" w:type="dxa"/>
              <w:bottom w:w="70" w:type="dxa"/>
              <w:end w:w="90" w:type="dxa"/>
            </w:tcMar>
          </w:tcPr>
          <w:p>
            <w:pPr>
              <w:pStyle w:val="Compact"/>
              <w:spacing w:before="0" w:after="0" w:line="240" w:lineRule="auto"/>
            </w:pPr>
            <w:r>
              <w:t>Linear interaction + temp\_min + temp\_max (linear baseline)</w:t>
            </w:r>
          </w:p>
        </w:tc>
      </w:tr>
    </w:tbl>
    <w:p>
      <w:pPr>
        <w:pStyle w:val="BodyText"/>
      </w:pPr>
      <w:r>
        <w:t xml:space="preserve">Model M31 (Interaction: wind_max_gust</w:t>
      </w:r>
      <w:r>
        <w:t xml:space="preserve"> </w:t>
      </w:r>
      <m:oMath>
        <m:r>
          <m:rPr>
            <m:sty m:val="p"/>
          </m:rPr>
          <m:t>×</m:t>
        </m:r>
      </m:oMath>
      <w:r>
        <w:t xml:space="preserve"> </w:t>
      </w:r>
      <w:r>
        <w:t xml:space="preserve">sum_butterflies_direct_sun with smooth baseline) was identified as the best-fit model based on AICc. Of the 76 candidate models, 72 converged successfully. This analysis validated the key finding from the Next Day Window analysis: the interaction between wind and direct sun exposure is the strongest predictor of roost abandonment. Complete model selection statistics are reported in the main text.</w:t>
      </w:r>
    </w:p>
    <w:bookmarkEnd w:id="138"/>
    <w:bookmarkStart w:id="263" w:name="bibliography"/>
    <w:p>
      <w:pPr>
        <w:pStyle w:val="Heading1"/>
      </w:pPr>
      <w:r>
        <w:t xml:space="preserve">References</w:t>
      </w:r>
    </w:p>
    <w:bookmarkStart w:id="262" w:name="refs"/>
    <w:bookmarkStart w:id="140" w:name="Xb2c4490c437bc0a265b6972677987c9b614919b"/>
    <w:p>
      <w:pPr>
        <w:pStyle w:val="Bibliography"/>
      </w:pPr>
      <w:r>
        <w:t xml:space="preserve">1. C. Blois-Heulin, P. H. Crowley, M. Arrington, and D. M. Johnson. Direct and indirect effects of predators on the dominant invertebrates of two freshwater littoral communities.</w:t>
      </w:r>
      <w:r>
        <w:t xml:space="preserve"> </w:t>
      </w:r>
      <w:r>
        <w:rPr>
          <w:i/>
          <w:iCs/>
        </w:rPr>
        <w:t xml:space="preserve">Oecologia</w:t>
      </w:r>
      <w:r>
        <w:t xml:space="preserve">,</w:t>
      </w:r>
      <w:r>
        <w:t xml:space="preserve"> </w:t>
      </w:r>
      <w:r>
        <w:rPr>
          <w:b/>
          <w:bCs/>
        </w:rPr>
        <w:t xml:space="preserve">1990</w:t>
      </w:r>
      <w:r>
        <w:t xml:space="preserve">,</w:t>
      </w:r>
      <w:r>
        <w:t xml:space="preserve"> </w:t>
      </w:r>
      <w:r>
        <w:rPr>
          <w:i/>
          <w:iCs/>
        </w:rPr>
        <w:t xml:space="preserve">84</w:t>
      </w:r>
      <w:r>
        <w:t xml:space="preserve">, (3), 295–306.</w:t>
      </w:r>
      <w:r>
        <w:t xml:space="preserve"> </w:t>
      </w:r>
      <w:hyperlink r:id="rId139">
        <w:r>
          <w:rPr>
            <w:rStyle w:val="Hyperlink"/>
          </w:rPr>
          <w:t xml:space="preserve">https://doi.org/10.1007/BF00329753</w:t>
        </w:r>
      </w:hyperlink>
      <w:r>
        <w:t xml:space="preserve">.</w:t>
      </w:r>
    </w:p>
    <w:bookmarkEnd w:id="140"/>
    <w:bookmarkStart w:id="142" w:name="ref-laffertyComparingMechanismsHost2013"/>
    <w:p>
      <w:pPr>
        <w:pStyle w:val="Bibliography"/>
      </w:pPr>
      <w:r>
        <w:t xml:space="preserve">2. K. D. Lafferty and J. C. Shaw. Comparing mechanisms of host manipulation across host and parasite taxa.</w:t>
      </w:r>
      <w:r>
        <w:t xml:space="preserve"> </w:t>
      </w:r>
      <w:r>
        <w:rPr>
          <w:i/>
          <w:iCs/>
        </w:rPr>
        <w:t xml:space="preserve">Journal of Experimental Biology</w:t>
      </w:r>
      <w:r>
        <w:t xml:space="preserve">,</w:t>
      </w:r>
      <w:r>
        <w:t xml:space="preserve"> </w:t>
      </w:r>
      <w:r>
        <w:rPr>
          <w:b/>
          <w:bCs/>
        </w:rPr>
        <w:t xml:space="preserve">2013</w:t>
      </w:r>
      <w:r>
        <w:t xml:space="preserve">,</w:t>
      </w:r>
      <w:r>
        <w:t xml:space="preserve"> </w:t>
      </w:r>
      <w:r>
        <w:rPr>
          <w:i/>
          <w:iCs/>
        </w:rPr>
        <w:t xml:space="preserve">216</w:t>
      </w:r>
      <w:r>
        <w:t xml:space="preserve">, (1), 56–66.</w:t>
      </w:r>
      <w:r>
        <w:t xml:space="preserve"> </w:t>
      </w:r>
      <w:hyperlink r:id="rId141">
        <w:r>
          <w:rPr>
            <w:rStyle w:val="Hyperlink"/>
          </w:rPr>
          <w:t xml:space="preserve">https://doi.org/10.1242/jeb.073668</w:t>
        </w:r>
      </w:hyperlink>
      <w:r>
        <w:t xml:space="preserve">.</w:t>
      </w:r>
    </w:p>
    <w:bookmarkEnd w:id="142"/>
    <w:bookmarkStart w:id="144" w:name="X38aec815059cc4739f25523e51c756a23186f52"/>
    <w:p>
      <w:pPr>
        <w:pStyle w:val="Bibliography"/>
      </w:pPr>
      <w:r>
        <w:t xml:space="preserve">3. A. Miller-ter Kuile, A. Apigo, A. Bui, B. DiFiore, E. S. Forbes, M. Lee, D. Orr, D. L. Preston, R. Behm, T. Bogar, J. Childress, R. Dirzo, M. Klope, K. D. Lafferty, J. McLaughlin, M. Morse, C. Motta, K. Park, K. Plummer, D. Weber, R. Young, and H. Young. Predator–prey interactions of terrestrial invertebrates are determined by predator body size and species identity.</w:t>
      </w:r>
      <w:r>
        <w:t xml:space="preserve"> </w:t>
      </w:r>
      <w:r>
        <w:rPr>
          <w:i/>
          <w:iCs/>
        </w:rPr>
        <w:t xml:space="preserve">Ecology</w:t>
      </w:r>
      <w:r>
        <w:t xml:space="preserve">,</w:t>
      </w:r>
      <w:r>
        <w:t xml:space="preserve"> </w:t>
      </w:r>
      <w:r>
        <w:rPr>
          <w:b/>
          <w:bCs/>
        </w:rPr>
        <w:t xml:space="preserve">2022</w:t>
      </w:r>
      <w:r>
        <w:t xml:space="preserve">,</w:t>
      </w:r>
      <w:r>
        <w:t xml:space="preserve"> </w:t>
      </w:r>
      <w:r>
        <w:rPr>
          <w:i/>
          <w:iCs/>
        </w:rPr>
        <w:t xml:space="preserve">103</w:t>
      </w:r>
      <w:r>
        <w:t xml:space="preserve">, (5), e3634.</w:t>
      </w:r>
      <w:r>
        <w:t xml:space="preserve"> </w:t>
      </w:r>
      <w:hyperlink r:id="rId143">
        <w:r>
          <w:rPr>
            <w:rStyle w:val="Hyperlink"/>
          </w:rPr>
          <w:t xml:space="preserve">https://doi.org/10.1002/ecy.3634</w:t>
        </w:r>
      </w:hyperlink>
      <w:r>
        <w:t xml:space="preserve">.</w:t>
      </w:r>
    </w:p>
    <w:bookmarkEnd w:id="144"/>
    <w:bookmarkStart w:id="146" w:name="ref-sextonEvolutionEcologySpecies2009"/>
    <w:p>
      <w:pPr>
        <w:pStyle w:val="Bibliography"/>
      </w:pPr>
      <w:r>
        <w:t xml:space="preserve">4. J. P. Sexton, P. J. McIntyre, A. L. Angert, and K. J. Rice. Evolution and ecology of species range limits.</w:t>
      </w:r>
      <w:r>
        <w:t xml:space="preserve"> </w:t>
      </w:r>
      <w:r>
        <w:rPr>
          <w:i/>
          <w:iCs/>
        </w:rPr>
        <w:t xml:space="preserve">Annual Review of Ecology, Evolution, and Systematics</w:t>
      </w:r>
      <w:r>
        <w:t xml:space="preserve">,</w:t>
      </w:r>
      <w:r>
        <w:t xml:space="preserve"> </w:t>
      </w:r>
      <w:r>
        <w:rPr>
          <w:b/>
          <w:bCs/>
        </w:rPr>
        <w:t xml:space="preserve">2009</w:t>
      </w:r>
      <w:r>
        <w:t xml:space="preserve">,</w:t>
      </w:r>
      <w:r>
        <w:t xml:space="preserve"> </w:t>
      </w:r>
      <w:r>
        <w:rPr>
          <w:i/>
          <w:iCs/>
        </w:rPr>
        <w:t xml:space="preserve">40</w:t>
      </w:r>
      <w:r>
        <w:t xml:space="preserve">, 415–436.</w:t>
      </w:r>
      <w:r>
        <w:t xml:space="preserve"> </w:t>
      </w:r>
      <w:hyperlink r:id="rId145">
        <w:r>
          <w:rPr>
            <w:rStyle w:val="Hyperlink"/>
          </w:rPr>
          <w:t xml:space="preserve">https://doi.org/10.1146/annurev.ecolsys.110308.120317</w:t>
        </w:r>
      </w:hyperlink>
      <w:r>
        <w:t xml:space="preserve">.</w:t>
      </w:r>
    </w:p>
    <w:bookmarkEnd w:id="146"/>
    <w:bookmarkStart w:id="148" w:name="ref-louthanWhereWhenSpecies2015"/>
    <w:p>
      <w:pPr>
        <w:pStyle w:val="Bibliography"/>
      </w:pPr>
      <w:r>
        <w:t xml:space="preserve">5. A. M. Louthan, D. F. Doak, and A. L. Angert. Where and</w:t>
      </w:r>
      <w:r>
        <w:t xml:space="preserve"> </w:t>
      </w:r>
      <w:r>
        <w:t xml:space="preserve">When</w:t>
      </w:r>
      <w:r>
        <w:t xml:space="preserve"> </w:t>
      </w:r>
      <w:r>
        <w:t xml:space="preserve">do</w:t>
      </w:r>
      <w:r>
        <w:t xml:space="preserve"> </w:t>
      </w:r>
      <w:r>
        <w:t xml:space="preserve">Species Interactions Set Range Limits</w:t>
      </w:r>
      <w:r>
        <w:t xml:space="preserve">?</w:t>
      </w:r>
      <w:r>
        <w:t xml:space="preserve"> </w:t>
      </w:r>
      <w:r>
        <w:rPr>
          <w:i/>
          <w:iCs/>
        </w:rPr>
        <w:t xml:space="preserve">Trends in Ecology &amp; Evolution</w:t>
      </w:r>
      <w:r>
        <w:t xml:space="preserve">,</w:t>
      </w:r>
      <w:r>
        <w:t xml:space="preserve"> </w:t>
      </w:r>
      <w:r>
        <w:rPr>
          <w:b/>
          <w:bCs/>
        </w:rPr>
        <w:t xml:space="preserve">2015</w:t>
      </w:r>
      <w:r>
        <w:t xml:space="preserve">,</w:t>
      </w:r>
      <w:r>
        <w:t xml:space="preserve"> </w:t>
      </w:r>
      <w:r>
        <w:rPr>
          <w:i/>
          <w:iCs/>
        </w:rPr>
        <w:t xml:space="preserve">30</w:t>
      </w:r>
      <w:r>
        <w:t xml:space="preserve">, (12), 780–792.</w:t>
      </w:r>
      <w:r>
        <w:t xml:space="preserve"> </w:t>
      </w:r>
      <w:hyperlink r:id="rId147">
        <w:r>
          <w:rPr>
            <w:rStyle w:val="Hyperlink"/>
          </w:rPr>
          <w:t xml:space="preserve">https://doi.org/10.1016/j.tree.2015.09.011</w:t>
        </w:r>
      </w:hyperlink>
      <w:r>
        <w:t xml:space="preserve">.</w:t>
      </w:r>
    </w:p>
    <w:bookmarkEnd w:id="148"/>
    <w:bookmarkStart w:id="150" w:name="ref-thomasClimateChangeRange2010"/>
    <w:p>
      <w:pPr>
        <w:pStyle w:val="Bibliography"/>
      </w:pPr>
      <w:r>
        <w:t xml:space="preserve">6. C. D. Thomas. Climate, climate change and range boundaries.</w:t>
      </w:r>
      <w:r>
        <w:t xml:space="preserve"> </w:t>
      </w:r>
      <w:r>
        <w:rPr>
          <w:i/>
          <w:iCs/>
        </w:rPr>
        <w:t xml:space="preserve">Diversity and Distributions</w:t>
      </w:r>
      <w:r>
        <w:t xml:space="preserve">,</w:t>
      </w:r>
      <w:r>
        <w:t xml:space="preserve"> </w:t>
      </w:r>
      <w:r>
        <w:rPr>
          <w:b/>
          <w:bCs/>
        </w:rPr>
        <w:t xml:space="preserve">2010</w:t>
      </w:r>
      <w:r>
        <w:t xml:space="preserve">,</w:t>
      </w:r>
      <w:r>
        <w:t xml:space="preserve"> </w:t>
      </w:r>
      <w:r>
        <w:rPr>
          <w:i/>
          <w:iCs/>
        </w:rPr>
        <w:t xml:space="preserve">16</w:t>
      </w:r>
      <w:r>
        <w:t xml:space="preserve">, 488–495.</w:t>
      </w:r>
      <w:r>
        <w:t xml:space="preserve"> </w:t>
      </w:r>
      <w:hyperlink r:id="rId149">
        <w:r>
          <w:rPr>
            <w:rStyle w:val="Hyperlink"/>
          </w:rPr>
          <w:t xml:space="preserve">https://doi.org/10.1111/j.1472-4642.2010.00642.x</w:t>
        </w:r>
      </w:hyperlink>
      <w:r>
        <w:t xml:space="preserve">.</w:t>
      </w:r>
    </w:p>
    <w:bookmarkEnd w:id="150"/>
    <w:bookmarkStart w:id="152" w:name="X8ecab82d278731efba79f9c8857a587af02eab6"/>
    <w:p>
      <w:pPr>
        <w:pStyle w:val="Bibliography"/>
      </w:pPr>
      <w:r>
        <w:t xml:space="preserve">7. M. J. Everatt, P. Convey, J. S. Bale, M. R. Worland, and S. A. L. Hayward. Responses of invertebrates to temperature and water stress:</w:t>
      </w:r>
      <w:r>
        <w:t xml:space="preserve"> </w:t>
      </w:r>
      <w:r>
        <w:t xml:space="preserve">A</w:t>
      </w:r>
      <w:r>
        <w:t xml:space="preserve"> </w:t>
      </w:r>
      <w:r>
        <w:t xml:space="preserve">polar perspective.</w:t>
      </w:r>
      <w:r>
        <w:t xml:space="preserve"> </w:t>
      </w:r>
      <w:r>
        <w:rPr>
          <w:i/>
          <w:iCs/>
        </w:rPr>
        <w:t xml:space="preserve">Journal of Thermal Biology</w:t>
      </w:r>
      <w:r>
        <w:t xml:space="preserve">,</w:t>
      </w:r>
      <w:r>
        <w:t xml:space="preserve"> </w:t>
      </w:r>
      <w:r>
        <w:rPr>
          <w:b/>
          <w:bCs/>
        </w:rPr>
        <w:t xml:space="preserve">2015</w:t>
      </w:r>
      <w:r>
        <w:t xml:space="preserve">,</w:t>
      </w:r>
      <w:r>
        <w:t xml:space="preserve"> </w:t>
      </w:r>
      <w:r>
        <w:rPr>
          <w:i/>
          <w:iCs/>
        </w:rPr>
        <w:t xml:space="preserve">54</w:t>
      </w:r>
      <w:r>
        <w:t xml:space="preserve">, 118–132.</w:t>
      </w:r>
      <w:r>
        <w:t xml:space="preserve"> </w:t>
      </w:r>
      <w:hyperlink r:id="rId151">
        <w:r>
          <w:rPr>
            <w:rStyle w:val="Hyperlink"/>
          </w:rPr>
          <w:t xml:space="preserve">https://doi.org/10.1016/j.jtherbio.2014.05.004</w:t>
        </w:r>
      </w:hyperlink>
      <w:r>
        <w:t xml:space="preserve">.</w:t>
      </w:r>
    </w:p>
    <w:bookmarkEnd w:id="152"/>
    <w:bookmarkStart w:id="154" w:name="ref-schweizerSnailsSunStrategies2019"/>
    <w:p>
      <w:pPr>
        <w:pStyle w:val="Bibliography"/>
      </w:pPr>
      <w:r>
        <w:t xml:space="preserve">8. M. Schweizer, R. Triebskorn, and H.-R. Köhler. Snails in the sun:</w:t>
      </w:r>
      <w:r>
        <w:t xml:space="preserve"> </w:t>
      </w:r>
      <w:r>
        <w:t xml:space="preserve">Strategies</w:t>
      </w:r>
      <w:r>
        <w:t xml:space="preserve"> </w:t>
      </w:r>
      <w:r>
        <w:t xml:space="preserve">of terrestrial gastropods to cope with hot and dry conditions.</w:t>
      </w:r>
      <w:r>
        <w:t xml:space="preserve"> </w:t>
      </w:r>
      <w:r>
        <w:rPr>
          <w:i/>
          <w:iCs/>
        </w:rPr>
        <w:t xml:space="preserve">Ecology and Evolution</w:t>
      </w:r>
      <w:r>
        <w:t xml:space="preserve">,</w:t>
      </w:r>
      <w:r>
        <w:t xml:space="preserve"> </w:t>
      </w:r>
      <w:r>
        <w:rPr>
          <w:b/>
          <w:bCs/>
        </w:rPr>
        <w:t xml:space="preserve">2019</w:t>
      </w:r>
      <w:r>
        <w:t xml:space="preserve">,</w:t>
      </w:r>
      <w:r>
        <w:t xml:space="preserve"> </w:t>
      </w:r>
      <w:r>
        <w:rPr>
          <w:i/>
          <w:iCs/>
        </w:rPr>
        <w:t xml:space="preserve">9</w:t>
      </w:r>
      <w:r>
        <w:t xml:space="preserve">, (22), 12940–12960.</w:t>
      </w:r>
      <w:r>
        <w:t xml:space="preserve"> </w:t>
      </w:r>
      <w:hyperlink r:id="rId153">
        <w:r>
          <w:rPr>
            <w:rStyle w:val="Hyperlink"/>
          </w:rPr>
          <w:t xml:space="preserve">https://doi.org/10.1002/ece3.5607</w:t>
        </w:r>
      </w:hyperlink>
      <w:r>
        <w:t xml:space="preserve">.</w:t>
      </w:r>
    </w:p>
    <w:bookmarkEnd w:id="154"/>
    <w:bookmarkStart w:id="156" w:name="ref-chownWaterLossInsects2011"/>
    <w:p>
      <w:pPr>
        <w:pStyle w:val="Bibliography"/>
      </w:pPr>
      <w:r>
        <w:t xml:space="preserve">9. S. L. Chown, J. G. Sørensen, and J. S. Terblanche. Water loss in insects:</w:t>
      </w:r>
      <w:r>
        <w:t xml:space="preserve"> </w:t>
      </w:r>
      <w:r>
        <w:t xml:space="preserve">An</w:t>
      </w:r>
      <w:r>
        <w:t xml:space="preserve"> </w:t>
      </w:r>
      <w:r>
        <w:t xml:space="preserve">environmental change perspective.</w:t>
      </w:r>
      <w:r>
        <w:t xml:space="preserve"> </w:t>
      </w:r>
      <w:r>
        <w:rPr>
          <w:i/>
          <w:iCs/>
        </w:rPr>
        <w:t xml:space="preserve">Journal of Insect Physiology</w:t>
      </w:r>
      <w:r>
        <w:t xml:space="preserve">,</w:t>
      </w:r>
      <w:r>
        <w:t xml:space="preserve"> </w:t>
      </w:r>
      <w:r>
        <w:rPr>
          <w:b/>
          <w:bCs/>
        </w:rPr>
        <w:t xml:space="preserve">2011</w:t>
      </w:r>
      <w:r>
        <w:t xml:space="preserve">,</w:t>
      </w:r>
      <w:r>
        <w:t xml:space="preserve"> </w:t>
      </w:r>
      <w:r>
        <w:rPr>
          <w:i/>
          <w:iCs/>
        </w:rPr>
        <w:t xml:space="preserve">57</w:t>
      </w:r>
      <w:r>
        <w:t xml:space="preserve">, (8), 1070–1084.</w:t>
      </w:r>
      <w:r>
        <w:t xml:space="preserve"> </w:t>
      </w:r>
      <w:hyperlink r:id="rId155">
        <w:r>
          <w:rPr>
            <w:rStyle w:val="Hyperlink"/>
          </w:rPr>
          <w:t xml:space="preserve">https://doi.org/10.1016/j.jinsphys.2011.05.004</w:t>
        </w:r>
      </w:hyperlink>
      <w:r>
        <w:t xml:space="preserve">.</w:t>
      </w:r>
    </w:p>
    <w:bookmarkEnd w:id="156"/>
    <w:bookmarkStart w:id="158" w:name="ref-baudierExtremeInsolationClimatic2018"/>
    <w:p>
      <w:pPr>
        <w:pStyle w:val="Bibliography"/>
      </w:pPr>
      <w:r>
        <w:t xml:space="preserve">10. K. M. Baudier, C. L. D’Amelio, R. Malhotra, M. P. O’Connor, and S. O’Donnell. Extreme</w:t>
      </w:r>
      <w:r>
        <w:t xml:space="preserve"> </w:t>
      </w:r>
      <w:r>
        <w:t xml:space="preserve">Insolation</w:t>
      </w:r>
      <w:r>
        <w:t xml:space="preserve">:</w:t>
      </w:r>
      <w:r>
        <w:t xml:space="preserve"> </w:t>
      </w:r>
      <w:r>
        <w:t xml:space="preserve">Climatic Variation Shapes</w:t>
      </w:r>
      <w:r>
        <w:t xml:space="preserve"> </w:t>
      </w:r>
      <w:r>
        <w:t xml:space="preserve">the</w:t>
      </w:r>
      <w:r>
        <w:t xml:space="preserve"> </w:t>
      </w:r>
      <w:r>
        <w:t xml:space="preserve">Evolution</w:t>
      </w:r>
      <w:r>
        <w:t xml:space="preserve"> </w:t>
      </w:r>
      <w:r>
        <w:t xml:space="preserve">of</w:t>
      </w:r>
      <w:r>
        <w:t xml:space="preserve"> </w:t>
      </w:r>
      <w:r>
        <w:t xml:space="preserve">Thermal Tolerance</w:t>
      </w:r>
      <w:r>
        <w:t xml:space="preserve"> </w:t>
      </w:r>
      <w:r>
        <w:t xml:space="preserve">at</w:t>
      </w:r>
      <w:r>
        <w:t xml:space="preserve"> </w:t>
      </w:r>
      <w:r>
        <w:t xml:space="preserve">Multiple Scales</w:t>
      </w:r>
      <w:r>
        <w:t xml:space="preserve">.</w:t>
      </w:r>
      <w:r>
        <w:t xml:space="preserve"> </w:t>
      </w:r>
      <w:r>
        <w:rPr>
          <w:i/>
          <w:iCs/>
        </w:rPr>
        <w:t xml:space="preserve">The American Naturalist</w:t>
      </w:r>
      <w:r>
        <w:t xml:space="preserve">,</w:t>
      </w:r>
      <w:r>
        <w:t xml:space="preserve"> </w:t>
      </w:r>
      <w:r>
        <w:rPr>
          <w:b/>
          <w:bCs/>
        </w:rPr>
        <w:t xml:space="preserve">2018</w:t>
      </w:r>
      <w:r>
        <w:t xml:space="preserve">,</w:t>
      </w:r>
      <w:r>
        <w:t xml:space="preserve"> </w:t>
      </w:r>
      <w:r>
        <w:rPr>
          <w:i/>
          <w:iCs/>
        </w:rPr>
        <w:t xml:space="preserve">192</w:t>
      </w:r>
      <w:r>
        <w:t xml:space="preserve">, (3), 347–359.</w:t>
      </w:r>
      <w:r>
        <w:t xml:space="preserve"> </w:t>
      </w:r>
      <w:hyperlink r:id="rId157">
        <w:r>
          <w:rPr>
            <w:rStyle w:val="Hyperlink"/>
          </w:rPr>
          <w:t xml:space="preserve">https://doi.org/10.1086/698656</w:t>
        </w:r>
      </w:hyperlink>
      <w:r>
        <w:t xml:space="preserve">.</w:t>
      </w:r>
    </w:p>
    <w:bookmarkEnd w:id="158"/>
    <w:bookmarkStart w:id="160" w:name="ref-bellSearchAnemotacticOrientation1979"/>
    <w:p>
      <w:pPr>
        <w:pStyle w:val="Bibliography"/>
      </w:pPr>
      <w:r>
        <w:t xml:space="preserve">11. W. J. Bell and E. Kramer. Search and anemotactic orientation of cockroaches.</w:t>
      </w:r>
      <w:r>
        <w:t xml:space="preserve"> </w:t>
      </w:r>
      <w:r>
        <w:rPr>
          <w:i/>
          <w:iCs/>
        </w:rPr>
        <w:t xml:space="preserve">Journal of Insect Physiology</w:t>
      </w:r>
      <w:r>
        <w:t xml:space="preserve">,</w:t>
      </w:r>
      <w:r>
        <w:t xml:space="preserve"> </w:t>
      </w:r>
      <w:r>
        <w:rPr>
          <w:b/>
          <w:bCs/>
        </w:rPr>
        <w:t xml:space="preserve">1979</w:t>
      </w:r>
      <w:r>
        <w:t xml:space="preserve">,</w:t>
      </w:r>
      <w:r>
        <w:t xml:space="preserve"> </w:t>
      </w:r>
      <w:r>
        <w:rPr>
          <w:i/>
          <w:iCs/>
        </w:rPr>
        <w:t xml:space="preserve">25</w:t>
      </w:r>
      <w:r>
        <w:t xml:space="preserve">, (8), 631–640.</w:t>
      </w:r>
      <w:r>
        <w:t xml:space="preserve"> </w:t>
      </w:r>
      <w:hyperlink r:id="rId159">
        <w:r>
          <w:rPr>
            <w:rStyle w:val="Hyperlink"/>
          </w:rPr>
          <w:t xml:space="preserve">https://doi.org/10.1016/0022-1910(79)90112-4</w:t>
        </w:r>
      </w:hyperlink>
      <w:r>
        <w:t xml:space="preserve">.</w:t>
      </w:r>
    </w:p>
    <w:bookmarkEnd w:id="160"/>
    <w:bookmarkStart w:id="162" w:name="ref-bidlingmayerEffectWindVelocity1995"/>
    <w:p>
      <w:pPr>
        <w:pStyle w:val="Bibliography"/>
      </w:pPr>
      <w:r>
        <w:t xml:space="preserve">12. W. L. Bidlingmayer, J. F. Day, and D. G. Evans. Effect of wind velocity on suction trap catches of some</w:t>
      </w:r>
      <w:r>
        <w:t xml:space="preserve"> </w:t>
      </w:r>
      <w:r>
        <w:t xml:space="preserve">Florida</w:t>
      </w:r>
      <w:r>
        <w:t xml:space="preserve"> </w:t>
      </w:r>
      <w:r>
        <w:t xml:space="preserve">mosquitoes.</w:t>
      </w:r>
      <w:r>
        <w:t xml:space="preserve"> </w:t>
      </w:r>
      <w:r>
        <w:rPr>
          <w:i/>
          <w:iCs/>
        </w:rPr>
        <w:t xml:space="preserve">Journal of the American Mosquito Control Association</w:t>
      </w:r>
      <w:r>
        <w:t xml:space="preserve">,</w:t>
      </w:r>
      <w:r>
        <w:t xml:space="preserve"> </w:t>
      </w:r>
      <w:r>
        <w:rPr>
          <w:b/>
          <w:bCs/>
        </w:rPr>
        <w:t xml:space="preserve">1995</w:t>
      </w:r>
      <w:r>
        <w:t xml:space="preserve">,</w:t>
      </w:r>
      <w:r>
        <w:t xml:space="preserve"> </w:t>
      </w:r>
      <w:r>
        <w:rPr>
          <w:i/>
          <w:iCs/>
        </w:rPr>
        <w:t xml:space="preserve">11</w:t>
      </w:r>
      <w:r>
        <w:t xml:space="preserve">, (3), 295–301.</w:t>
      </w:r>
      <w:r>
        <w:t xml:space="preserve"> </w:t>
      </w:r>
      <w:hyperlink r:id="rId161">
        <w:r>
          <w:rPr>
            <w:rStyle w:val="Hyperlink"/>
          </w:rPr>
          <w:t xml:space="preserve">https://www.ncbi.nlm.nih.gov/pubmed/8551296</w:t>
        </w:r>
      </w:hyperlink>
      <w:r>
        <w:t xml:space="preserve">.</w:t>
      </w:r>
    </w:p>
    <w:bookmarkEnd w:id="162"/>
    <w:bookmarkStart w:id="163" w:name="Xfaceca4560909836181741b7257b18f38b02a99"/>
    <w:p>
      <w:pPr>
        <w:pStyle w:val="Bibliography"/>
      </w:pPr>
      <w:r>
        <w:t xml:space="preserve">13. D. Bonte and L. Lens. Heritability of spider ballooning motivation under different wind velocities.</w:t>
      </w:r>
      <w:r>
        <w:t xml:space="preserve"> </w:t>
      </w:r>
      <w:r>
        <w:rPr>
          <w:i/>
          <w:iCs/>
        </w:rPr>
        <w:t xml:space="preserve">Evolutionary Ecology Research</w:t>
      </w:r>
      <w:r>
        <w:t xml:space="preserve">,</w:t>
      </w:r>
      <w:r>
        <w:t xml:space="preserve"> </w:t>
      </w:r>
      <w:r>
        <w:rPr>
          <w:b/>
          <w:bCs/>
        </w:rPr>
        <w:t xml:space="preserve">2007</w:t>
      </w:r>
      <w:r>
        <w:t xml:space="preserve">,</w:t>
      </w:r>
      <w:r>
        <w:t xml:space="preserve"> </w:t>
      </w:r>
      <w:r>
        <w:rPr>
          <w:i/>
          <w:iCs/>
        </w:rPr>
        <w:t xml:space="preserve">9</w:t>
      </w:r>
      <w:r>
        <w:t xml:space="preserve">, 817–827.</w:t>
      </w:r>
    </w:p>
    <w:bookmarkEnd w:id="163"/>
    <w:bookmarkStart w:id="165" w:name="ref-leonardExposureWindAlters2016"/>
    <w:p>
      <w:pPr>
        <w:pStyle w:val="Bibliography"/>
      </w:pPr>
      <w:r>
        <w:t xml:space="preserve">14. R. J. Leonard, C. McArthur, and D. F. Hochuli. Exposure to wind alters insect herbivore behaviour in larvae of</w:t>
      </w:r>
      <w:r>
        <w:t xml:space="preserve"> </w:t>
      </w:r>
      <w:r>
        <w:t xml:space="preserve">Uraba</w:t>
      </w:r>
      <w:r>
        <w:t xml:space="preserve"> </w:t>
      </w:r>
      <w:r>
        <w:t xml:space="preserve">lugens (</w:t>
      </w:r>
      <w:r>
        <w:t xml:space="preserve">Lepidoptera</w:t>
      </w:r>
      <w:r>
        <w:t xml:space="preserve">:</w:t>
      </w:r>
      <w:r>
        <w:t xml:space="preserve"> </w:t>
      </w:r>
      <w:r>
        <w:t xml:space="preserve">Nolidae</w:t>
      </w:r>
      <w:r>
        <w:t xml:space="preserve">).</w:t>
      </w:r>
      <w:r>
        <w:t xml:space="preserve"> </w:t>
      </w:r>
      <w:r>
        <w:rPr>
          <w:i/>
          <w:iCs/>
        </w:rPr>
        <w:t xml:space="preserve">Austral Entomology</w:t>
      </w:r>
      <w:r>
        <w:t xml:space="preserve">,</w:t>
      </w:r>
      <w:r>
        <w:t xml:space="preserve"> </w:t>
      </w:r>
      <w:r>
        <w:rPr>
          <w:b/>
          <w:bCs/>
        </w:rPr>
        <w:t xml:space="preserve">2016</w:t>
      </w:r>
      <w:r>
        <w:t xml:space="preserve">,</w:t>
      </w:r>
      <w:r>
        <w:t xml:space="preserve"> </w:t>
      </w:r>
      <w:r>
        <w:rPr>
          <w:i/>
          <w:iCs/>
        </w:rPr>
        <w:t xml:space="preserve">55</w:t>
      </w:r>
      <w:r>
        <w:t xml:space="preserve">, (3), 242–246.</w:t>
      </w:r>
      <w:r>
        <w:t xml:space="preserve"> </w:t>
      </w:r>
      <w:hyperlink r:id="rId164">
        <w:r>
          <w:rPr>
            <w:rStyle w:val="Hyperlink"/>
          </w:rPr>
          <w:t xml:space="preserve">https://doi.org/10.1111/aen.12175</w:t>
        </w:r>
      </w:hyperlink>
      <w:r>
        <w:t xml:space="preserve">.</w:t>
      </w:r>
    </w:p>
    <w:bookmarkEnd w:id="165"/>
    <w:bookmarkStart w:id="167" w:name="ref-riddellWindNicheThermal2025"/>
    <w:p>
      <w:pPr>
        <w:pStyle w:val="Bibliography"/>
      </w:pPr>
      <w:r>
        <w:t xml:space="preserve">15. E. A. Riddell and C. K. Porter. The</w:t>
      </w:r>
      <w:r>
        <w:t xml:space="preserve"> </w:t>
      </w:r>
      <w:r>
        <w:t xml:space="preserve">Wind Niche</w:t>
      </w:r>
      <w:r>
        <w:t xml:space="preserve">:</w:t>
      </w:r>
      <w:r>
        <w:t xml:space="preserve"> </w:t>
      </w:r>
      <w:r>
        <w:t xml:space="preserve">The Thermal</w:t>
      </w:r>
      <w:r>
        <w:t xml:space="preserve"> </w:t>
      </w:r>
      <w:r>
        <w:t xml:space="preserve">and</w:t>
      </w:r>
      <w:r>
        <w:t xml:space="preserve"> </w:t>
      </w:r>
      <w:r>
        <w:t xml:space="preserve">Hydric Effects</w:t>
      </w:r>
      <w:r>
        <w:t xml:space="preserve"> </w:t>
      </w:r>
      <w:r>
        <w:t xml:space="preserve">of</w:t>
      </w:r>
      <w:r>
        <w:t xml:space="preserve"> </w:t>
      </w:r>
      <w:r>
        <w:t xml:space="preserve">Wind Speed</w:t>
      </w:r>
      <w:r>
        <w:t xml:space="preserve"> </w:t>
      </w:r>
      <w:r>
        <w:t xml:space="preserve">on</w:t>
      </w:r>
      <w:r>
        <w:t xml:space="preserve"> </w:t>
      </w:r>
      <w:r>
        <w:t xml:space="preserve">Terrestrial Organisms</w:t>
      </w:r>
      <w:r>
        <w:t xml:space="preserve">.</w:t>
      </w:r>
      <w:r>
        <w:t xml:space="preserve"> </w:t>
      </w:r>
      <w:r>
        <w:rPr>
          <w:i/>
          <w:iCs/>
        </w:rPr>
        <w:t xml:space="preserve">Integrative and Comparative Biology</w:t>
      </w:r>
      <w:r>
        <w:t xml:space="preserve">,</w:t>
      </w:r>
      <w:r>
        <w:t xml:space="preserve"> </w:t>
      </w:r>
      <w:r>
        <w:rPr>
          <w:b/>
          <w:bCs/>
        </w:rPr>
        <w:t xml:space="preserve">2025</w:t>
      </w:r>
      <w:r>
        <w:t xml:space="preserve">, icaf025.</w:t>
      </w:r>
      <w:r>
        <w:t xml:space="preserve"> </w:t>
      </w:r>
      <w:hyperlink r:id="rId166">
        <w:r>
          <w:rPr>
            <w:rStyle w:val="Hyperlink"/>
          </w:rPr>
          <w:t xml:space="preserve">https://doi.org/10.1093/icb/icaf025</w:t>
        </w:r>
      </w:hyperlink>
      <w:r>
        <w:t xml:space="preserve">.</w:t>
      </w:r>
    </w:p>
    <w:bookmarkEnd w:id="167"/>
    <w:bookmarkStart w:id="169" w:name="ref-munroClimateStrongPredictor2019"/>
    <w:p>
      <w:pPr>
        <w:pStyle w:val="Bibliography"/>
      </w:pPr>
      <w:r>
        <w:t xml:space="preserve">16. J. T. Munro, I. Medina, K. Walker, A. Moussalli, M. R. Kearney, A. G. Dyer, J. Garcia, K. J. Rankin, and D. Stuart-Fox. Climate is a strong predictor of near-infrared reflectance but a poor predictor of colour in butterflies.</w:t>
      </w:r>
      <w:r>
        <w:t xml:space="preserve"> </w:t>
      </w:r>
      <w:r>
        <w:rPr>
          <w:i/>
          <w:iCs/>
        </w:rPr>
        <w:t xml:space="preserve">Proceedings of the Royal Society B: Biological Sciences</w:t>
      </w:r>
      <w:r>
        <w:t xml:space="preserve">,</w:t>
      </w:r>
      <w:r>
        <w:t xml:space="preserve"> </w:t>
      </w:r>
      <w:r>
        <w:rPr>
          <w:b/>
          <w:bCs/>
        </w:rPr>
        <w:t xml:space="preserve">2019</w:t>
      </w:r>
      <w:r>
        <w:t xml:space="preserve">,</w:t>
      </w:r>
      <w:r>
        <w:t xml:space="preserve"> </w:t>
      </w:r>
      <w:r>
        <w:rPr>
          <w:i/>
          <w:iCs/>
        </w:rPr>
        <w:t xml:space="preserve">286</w:t>
      </w:r>
      <w:r>
        <w:t xml:space="preserve">, (1898), 20190234.</w:t>
      </w:r>
      <w:r>
        <w:t xml:space="preserve"> </w:t>
      </w:r>
      <w:hyperlink r:id="rId168">
        <w:r>
          <w:rPr>
            <w:rStyle w:val="Hyperlink"/>
          </w:rPr>
          <w:t xml:space="preserve">https://doi.org/10.1098/rspb.2019.0234</w:t>
        </w:r>
      </w:hyperlink>
      <w:r>
        <w:t xml:space="preserve">.</w:t>
      </w:r>
    </w:p>
    <w:bookmarkEnd w:id="169"/>
    <w:bookmarkStart w:id="171" w:name="Xb8840aa8334542706c4f54558101e78b6e571d3"/>
    <w:p>
      <w:pPr>
        <w:pStyle w:val="Bibliography"/>
      </w:pPr>
      <w:r>
        <w:t xml:space="preserve">17. C.-C. Tsai, R. A. Childers, N. Nan Shi, C. Ren, J. N. Pelaez, G. D. Bernard, N. E. Pierce, and N. Yu. Physical and behavioral adaptations to prevent overheating of the living wings of butterflies.</w:t>
      </w:r>
      <w:r>
        <w:t xml:space="preserve"> </w:t>
      </w:r>
      <w:r>
        <w:rPr>
          <w:i/>
          <w:iCs/>
        </w:rPr>
        <w:t xml:space="preserve">Nature Communications</w:t>
      </w:r>
      <w:r>
        <w:t xml:space="preserve">,</w:t>
      </w:r>
      <w:r>
        <w:t xml:space="preserve"> </w:t>
      </w:r>
      <w:r>
        <w:rPr>
          <w:b/>
          <w:bCs/>
        </w:rPr>
        <w:t xml:space="preserve">2020</w:t>
      </w:r>
      <w:r>
        <w:t xml:space="preserve">,</w:t>
      </w:r>
      <w:r>
        <w:t xml:space="preserve"> </w:t>
      </w:r>
      <w:r>
        <w:rPr>
          <w:i/>
          <w:iCs/>
        </w:rPr>
        <w:t xml:space="preserve">11</w:t>
      </w:r>
      <w:r>
        <w:t xml:space="preserve">, (1), 551.</w:t>
      </w:r>
      <w:r>
        <w:t xml:space="preserve"> </w:t>
      </w:r>
      <w:hyperlink r:id="rId170">
        <w:r>
          <w:rPr>
            <w:rStyle w:val="Hyperlink"/>
          </w:rPr>
          <w:t xml:space="preserve">https://doi.org/10.1038/s41467-020-14408-8</w:t>
        </w:r>
      </w:hyperlink>
      <w:r>
        <w:t xml:space="preserve">.</w:t>
      </w:r>
    </w:p>
    <w:bookmarkEnd w:id="171"/>
    <w:bookmarkStart w:id="173" w:name="ref-krishnaAirTemperatureDrives2021"/>
    <w:p>
      <w:pPr>
        <w:pStyle w:val="Bibliography"/>
      </w:pPr>
      <w:r>
        <w:t xml:space="preserve">18. A. Krishna, X. Nie, A. D. Briscoe, and J. Lee. Air temperature drives the evolution of mid-infrared optical properties of butterfly wings.</w:t>
      </w:r>
      <w:r>
        <w:t xml:space="preserve"> </w:t>
      </w:r>
      <w:r>
        <w:rPr>
          <w:i/>
          <w:iCs/>
        </w:rPr>
        <w:t xml:space="preserve">Scientific Reports</w:t>
      </w:r>
      <w:r>
        <w:t xml:space="preserve">,</w:t>
      </w:r>
      <w:r>
        <w:t xml:space="preserve"> </w:t>
      </w:r>
      <w:r>
        <w:rPr>
          <w:b/>
          <w:bCs/>
        </w:rPr>
        <w:t xml:space="preserve">2021</w:t>
      </w:r>
      <w:r>
        <w:t xml:space="preserve">,</w:t>
      </w:r>
      <w:r>
        <w:t xml:space="preserve"> </w:t>
      </w:r>
      <w:r>
        <w:rPr>
          <w:i/>
          <w:iCs/>
        </w:rPr>
        <w:t xml:space="preserve">11</w:t>
      </w:r>
      <w:r>
        <w:t xml:space="preserve">, (1), 24143.</w:t>
      </w:r>
      <w:r>
        <w:t xml:space="preserve"> </w:t>
      </w:r>
      <w:hyperlink r:id="rId172">
        <w:r>
          <w:rPr>
            <w:rStyle w:val="Hyperlink"/>
          </w:rPr>
          <w:t xml:space="preserve">https://doi.org/10.1038/s41598-021-02810-1</w:t>
        </w:r>
      </w:hyperlink>
      <w:r>
        <w:t xml:space="preserve">.</w:t>
      </w:r>
    </w:p>
    <w:bookmarkEnd w:id="173"/>
    <w:bookmarkStart w:id="175" w:name="X4f9fcd08a29276e76a41ed172f465032bf17885"/>
    <w:p>
      <w:pPr>
        <w:pStyle w:val="Bibliography"/>
      </w:pPr>
      <w:r>
        <w:t xml:space="preserve">19. S. M. Reppert and J. C. de Roode. Demystifying</w:t>
      </w:r>
      <w:r>
        <w:t xml:space="preserve"> </w:t>
      </w:r>
      <w:r>
        <w:t xml:space="preserve">Monarch Butterfly Migration</w:t>
      </w:r>
      <w:r>
        <w:t xml:space="preserve">.</w:t>
      </w:r>
      <w:r>
        <w:t xml:space="preserve"> </w:t>
      </w:r>
      <w:r>
        <w:rPr>
          <w:i/>
          <w:iCs/>
        </w:rPr>
        <w:t xml:space="preserve">Current Biology</w:t>
      </w:r>
      <w:r>
        <w:t xml:space="preserve">,</w:t>
      </w:r>
      <w:r>
        <w:t xml:space="preserve"> </w:t>
      </w:r>
      <w:r>
        <w:rPr>
          <w:b/>
          <w:bCs/>
        </w:rPr>
        <w:t xml:space="preserve">2018</w:t>
      </w:r>
      <w:r>
        <w:t xml:space="preserve">,</w:t>
      </w:r>
      <w:r>
        <w:t xml:space="preserve"> </w:t>
      </w:r>
      <w:r>
        <w:rPr>
          <w:i/>
          <w:iCs/>
        </w:rPr>
        <w:t xml:space="preserve">28</w:t>
      </w:r>
      <w:r>
        <w:t xml:space="preserve">, (17), R1009–R1022.</w:t>
      </w:r>
      <w:r>
        <w:t xml:space="preserve"> </w:t>
      </w:r>
      <w:hyperlink r:id="rId174">
        <w:r>
          <w:rPr>
            <w:rStyle w:val="Hyperlink"/>
          </w:rPr>
          <w:t xml:space="preserve">https://doi.org/10.1016/j.cub.2018.02.067</w:t>
        </w:r>
      </w:hyperlink>
      <w:r>
        <w:t xml:space="preserve">.</w:t>
      </w:r>
    </w:p>
    <w:bookmarkEnd w:id="175"/>
    <w:bookmarkStart w:id="177" w:name="X013b2c057f214905504f1c57b189fce57010325"/>
    <w:p>
      <w:pPr>
        <w:pStyle w:val="Bibliography"/>
      </w:pPr>
      <w:r>
        <w:t xml:space="preserve">20. L. Goehring and K. S. Oberhauser. Effects of photoperiod, temperature, and host plant age on induction of reproductive diapause and development time in</w:t>
      </w:r>
      <w:r>
        <w:t xml:space="preserve"> </w:t>
      </w:r>
      <w:r>
        <w:t xml:space="preserve">Danaus</w:t>
      </w:r>
      <w:r>
        <w:t xml:space="preserve"> </w:t>
      </w:r>
      <w:r>
        <w:t xml:space="preserve">plexippus.</w:t>
      </w:r>
      <w:r>
        <w:t xml:space="preserve"> </w:t>
      </w:r>
      <w:r>
        <w:rPr>
          <w:i/>
          <w:iCs/>
        </w:rPr>
        <w:t xml:space="preserve">Ecological Entomology</w:t>
      </w:r>
      <w:r>
        <w:t xml:space="preserve">,</w:t>
      </w:r>
      <w:r>
        <w:t xml:space="preserve"> </w:t>
      </w:r>
      <w:r>
        <w:rPr>
          <w:b/>
          <w:bCs/>
        </w:rPr>
        <w:t xml:space="preserve">2002</w:t>
      </w:r>
      <w:r>
        <w:t xml:space="preserve">,</w:t>
      </w:r>
      <w:r>
        <w:t xml:space="preserve"> </w:t>
      </w:r>
      <w:r>
        <w:rPr>
          <w:i/>
          <w:iCs/>
        </w:rPr>
        <w:t xml:space="preserve">27</w:t>
      </w:r>
      <w:r>
        <w:t xml:space="preserve">, (6), 674–685.</w:t>
      </w:r>
      <w:r>
        <w:t xml:space="preserve"> </w:t>
      </w:r>
      <w:hyperlink r:id="rId176">
        <w:r>
          <w:rPr>
            <w:rStyle w:val="Hyperlink"/>
          </w:rPr>
          <w:t xml:space="preserve">https://doi.org/10.1046/j.1365-2311.2002.00454.x</w:t>
        </w:r>
      </w:hyperlink>
      <w:r>
        <w:t xml:space="preserve">.</w:t>
      </w:r>
    </w:p>
    <w:bookmarkEnd w:id="177"/>
    <w:bookmarkStart w:id="179" w:name="ref-hermanJuvenileHormoneRegulation2001"/>
    <w:p>
      <w:pPr>
        <w:pStyle w:val="Bibliography"/>
      </w:pPr>
      <w:r>
        <w:t xml:space="preserve">21. W. S. Herman and M. Tatar. Juvenile hormone regulation of longevity in the migratory monarch butterfly.</w:t>
      </w:r>
      <w:r>
        <w:t xml:space="preserve"> </w:t>
      </w:r>
      <w:r>
        <w:rPr>
          <w:i/>
          <w:iCs/>
        </w:rPr>
        <w:t xml:space="preserve">Proceedings of the Royal Society B: Biological Sciences</w:t>
      </w:r>
      <w:r>
        <w:t xml:space="preserve">,</w:t>
      </w:r>
      <w:r>
        <w:t xml:space="preserve"> </w:t>
      </w:r>
      <w:r>
        <w:rPr>
          <w:b/>
          <w:bCs/>
        </w:rPr>
        <w:t xml:space="preserve">2001</w:t>
      </w:r>
      <w:r>
        <w:t xml:space="preserve">,</w:t>
      </w:r>
      <w:r>
        <w:t xml:space="preserve"> </w:t>
      </w:r>
      <w:r>
        <w:rPr>
          <w:i/>
          <w:iCs/>
        </w:rPr>
        <w:t xml:space="preserve">268</w:t>
      </w:r>
      <w:r>
        <w:t xml:space="preserve">, (1485), 2509–2514.</w:t>
      </w:r>
      <w:r>
        <w:t xml:space="preserve"> </w:t>
      </w:r>
      <w:hyperlink r:id="rId178">
        <w:r>
          <w:rPr>
            <w:rStyle w:val="Hyperlink"/>
          </w:rPr>
          <w:t xml:space="preserve">https://doi.org/10.1098/rspb.2001.1765</w:t>
        </w:r>
      </w:hyperlink>
      <w:r>
        <w:t xml:space="preserve">.</w:t>
      </w:r>
    </w:p>
    <w:bookmarkEnd w:id="179"/>
    <w:bookmarkStart w:id="181" w:name="Xf48f463a7940173e81863489e6f683e9c9260eb"/>
    <w:p>
      <w:pPr>
        <w:pStyle w:val="Bibliography"/>
      </w:pPr>
      <w:r>
        <w:t xml:space="preserve">22. J. F. Barker and W. S. Herman. Effect of photoperiod and temperature on reproduction of the monarch butterfly,</w:t>
      </w:r>
      <w:r>
        <w:t xml:space="preserve"> </w:t>
      </w:r>
      <w:r>
        <w:t xml:space="preserve">Danaus</w:t>
      </w:r>
      <w:r>
        <w:t xml:space="preserve"> </w:t>
      </w:r>
      <w:r>
        <w:t xml:space="preserve">Plexippus</w:t>
      </w:r>
      <w:r>
        <w:t xml:space="preserve">.</w:t>
      </w:r>
      <w:r>
        <w:t xml:space="preserve"> </w:t>
      </w:r>
      <w:r>
        <w:rPr>
          <w:i/>
          <w:iCs/>
        </w:rPr>
        <w:t xml:space="preserve">Journal of Insect Physiology</w:t>
      </w:r>
      <w:r>
        <w:t xml:space="preserve">,</w:t>
      </w:r>
      <w:r>
        <w:t xml:space="preserve"> </w:t>
      </w:r>
      <w:r>
        <w:rPr>
          <w:b/>
          <w:bCs/>
        </w:rPr>
        <w:t xml:space="preserve">1976</w:t>
      </w:r>
      <w:r>
        <w:t xml:space="preserve">,</w:t>
      </w:r>
      <w:r>
        <w:t xml:space="preserve"> </w:t>
      </w:r>
      <w:r>
        <w:rPr>
          <w:i/>
          <w:iCs/>
        </w:rPr>
        <w:t xml:space="preserve">22</w:t>
      </w:r>
      <w:r>
        <w:t xml:space="preserve">, (12), 1565–1568.</w:t>
      </w:r>
      <w:r>
        <w:t xml:space="preserve"> </w:t>
      </w:r>
      <w:hyperlink r:id="rId180">
        <w:r>
          <w:rPr>
            <w:rStyle w:val="Hyperlink"/>
          </w:rPr>
          <w:t xml:space="preserve">https://doi.org/10.1016/0022-1910(76)90046-9</w:t>
        </w:r>
      </w:hyperlink>
      <w:r>
        <w:t xml:space="preserve">.</w:t>
      </w:r>
    </w:p>
    <w:bookmarkEnd w:id="181"/>
    <w:bookmarkStart w:id="183" w:name="Xcb6650d11f9aa2ba06aca5a06d06562d008ccdf"/>
    <w:p>
      <w:pPr>
        <w:pStyle w:val="Bibliography"/>
      </w:pPr>
      <w:r>
        <w:t xml:space="preserve">23. L. H. Yang, D. Ostrovsky, M. C. Rogers, and J. M. Welker. Intra‐population variation in the natal origins and wing morphology of overwintering western monarch butterflies</w:t>
      </w:r>
      <w:r>
        <w:t xml:space="preserve"> </w:t>
      </w:r>
      <w:r>
        <w:t xml:space="preserve">Danaus</w:t>
      </w:r>
      <w:r>
        <w:t xml:space="preserve"> </w:t>
      </w:r>
      <w:r>
        <w:t xml:space="preserve">Plexippus</w:t>
      </w:r>
      <w:r>
        <w:t xml:space="preserve">.</w:t>
      </w:r>
      <w:r>
        <w:t xml:space="preserve"> </w:t>
      </w:r>
      <w:r>
        <w:rPr>
          <w:i/>
          <w:iCs/>
        </w:rPr>
        <w:t xml:space="preserve">Ecography</w:t>
      </w:r>
      <w:r>
        <w:t xml:space="preserve">,</w:t>
      </w:r>
      <w:r>
        <w:t xml:space="preserve"> </w:t>
      </w:r>
      <w:r>
        <w:rPr>
          <w:b/>
          <w:bCs/>
        </w:rPr>
        <w:t xml:space="preserve">2016</w:t>
      </w:r>
      <w:r>
        <w:t xml:space="preserve">,</w:t>
      </w:r>
      <w:r>
        <w:t xml:space="preserve"> </w:t>
      </w:r>
      <w:r>
        <w:rPr>
          <w:i/>
          <w:iCs/>
        </w:rPr>
        <w:t xml:space="preserve">39</w:t>
      </w:r>
      <w:r>
        <w:t xml:space="preserve">, (10), 998–1007.</w:t>
      </w:r>
      <w:r>
        <w:t xml:space="preserve"> </w:t>
      </w:r>
      <w:hyperlink r:id="rId182">
        <w:r>
          <w:rPr>
            <w:rStyle w:val="Hyperlink"/>
          </w:rPr>
          <w:t xml:space="preserve">https://doi.org/10.1111/ecog.01994</w:t>
        </w:r>
      </w:hyperlink>
      <w:r>
        <w:t xml:space="preserve">.</w:t>
      </w:r>
    </w:p>
    <w:bookmarkEnd w:id="183"/>
    <w:bookmarkStart w:id="185" w:name="X1046fd071f1f4ee466ab0602a852035520c9ac1"/>
    <w:p>
      <w:pPr>
        <w:pStyle w:val="Bibliography"/>
      </w:pPr>
      <w:r>
        <w:t xml:space="preserve">24. P. M. Tuskes and L. P. Brower. Overwintering ecology of the monarch butterfly,</w:t>
      </w:r>
      <w:r>
        <w:t xml:space="preserve"> </w:t>
      </w:r>
      <w:r>
        <w:t xml:space="preserve">Danaus</w:t>
      </w:r>
      <w:r>
        <w:t xml:space="preserve"> </w:t>
      </w:r>
      <w:r>
        <w:t xml:space="preserve">plexippus</w:t>
      </w:r>
      <w:r>
        <w:t xml:space="preserve"> </w:t>
      </w:r>
      <w:r>
        <w:t xml:space="preserve">L</w:t>
      </w:r>
      <w:r>
        <w:t xml:space="preserve">., in</w:t>
      </w:r>
      <w:r>
        <w:t xml:space="preserve"> </w:t>
      </w:r>
      <w:r>
        <w:t xml:space="preserve">California</w:t>
      </w:r>
      <w:r>
        <w:t xml:space="preserve">.</w:t>
      </w:r>
      <w:r>
        <w:t xml:space="preserve"> </w:t>
      </w:r>
      <w:r>
        <w:rPr>
          <w:i/>
          <w:iCs/>
        </w:rPr>
        <w:t xml:space="preserve">Ecological Entomology</w:t>
      </w:r>
      <w:r>
        <w:t xml:space="preserve">,</w:t>
      </w:r>
      <w:r>
        <w:t xml:space="preserve"> </w:t>
      </w:r>
      <w:r>
        <w:rPr>
          <w:b/>
          <w:bCs/>
        </w:rPr>
        <w:t xml:space="preserve">1978</w:t>
      </w:r>
      <w:r>
        <w:t xml:space="preserve">,</w:t>
      </w:r>
      <w:r>
        <w:t xml:space="preserve"> </w:t>
      </w:r>
      <w:r>
        <w:rPr>
          <w:i/>
          <w:iCs/>
        </w:rPr>
        <w:t xml:space="preserve">3</w:t>
      </w:r>
      <w:r>
        <w:t xml:space="preserve">, (2), 141–153.</w:t>
      </w:r>
      <w:r>
        <w:t xml:space="preserve"> </w:t>
      </w:r>
      <w:hyperlink r:id="rId184">
        <w:r>
          <w:rPr>
            <w:rStyle w:val="Hyperlink"/>
          </w:rPr>
          <w:t xml:space="preserve">https://doi.org/10.1111/j.1365-2311.1978.tb00912.x</w:t>
        </w:r>
      </w:hyperlink>
      <w:r>
        <w:t xml:space="preserve">.</w:t>
      </w:r>
    </w:p>
    <w:bookmarkEnd w:id="185"/>
    <w:bookmarkStart w:id="187" w:name="ref-chaplinEnergyReservesMetabolic1982"/>
    <w:p>
      <w:pPr>
        <w:pStyle w:val="Bibliography"/>
      </w:pPr>
      <w:r>
        <w:t xml:space="preserve">25. S. B. Chaplin and P. H. Wells. Energy reserves and metabolic expenditures of monarch butterflies overwintering in southern</w:t>
      </w:r>
      <w:r>
        <w:t xml:space="preserve"> </w:t>
      </w:r>
      <w:r>
        <w:t xml:space="preserve">California</w:t>
      </w:r>
      <w:r>
        <w:t xml:space="preserve">.</w:t>
      </w:r>
      <w:r>
        <w:t xml:space="preserve"> </w:t>
      </w:r>
      <w:r>
        <w:rPr>
          <w:i/>
          <w:iCs/>
        </w:rPr>
        <w:t xml:space="preserve">Ecological Entomology</w:t>
      </w:r>
      <w:r>
        <w:t xml:space="preserve">,</w:t>
      </w:r>
      <w:r>
        <w:t xml:space="preserve"> </w:t>
      </w:r>
      <w:r>
        <w:rPr>
          <w:b/>
          <w:bCs/>
        </w:rPr>
        <w:t xml:space="preserve">1982</w:t>
      </w:r>
      <w:r>
        <w:t xml:space="preserve">,</w:t>
      </w:r>
      <w:r>
        <w:t xml:space="preserve"> </w:t>
      </w:r>
      <w:r>
        <w:rPr>
          <w:i/>
          <w:iCs/>
        </w:rPr>
        <w:t xml:space="preserve">7</w:t>
      </w:r>
      <w:r>
        <w:t xml:space="preserve">, (3), 249–256.</w:t>
      </w:r>
      <w:r>
        <w:t xml:space="preserve"> </w:t>
      </w:r>
      <w:hyperlink r:id="rId186">
        <w:r>
          <w:rPr>
            <w:rStyle w:val="Hyperlink"/>
          </w:rPr>
          <w:t xml:space="preserve">https://doi.org/10.1111/j.1365-2311.1982.tb00664.x</w:t>
        </w:r>
      </w:hyperlink>
      <w:r>
        <w:t xml:space="preserve">.</w:t>
      </w:r>
    </w:p>
    <w:bookmarkEnd w:id="187"/>
    <w:bookmarkStart w:id="188" w:name="ref-Urquhart1978Autumnal"/>
    <w:p>
      <w:pPr>
        <w:pStyle w:val="Bibliography"/>
      </w:pPr>
      <w:r>
        <w:t xml:space="preserve">26. F. A. Urquhart and N. R. Urquhart. Autumnal migration routes of the eastern population of the monarch butterfly (</w:t>
      </w:r>
      <w:r>
        <w:t xml:space="preserve">Danaus p</w:t>
      </w:r>
      <w:r>
        <w:t xml:space="preserve">.</w:t>
      </w:r>
      <w:r>
        <w:t xml:space="preserve"> </w:t>
      </w:r>
      <w:r>
        <w:t xml:space="preserve">plexippus</w:t>
      </w:r>
      <w:r>
        <w:t xml:space="preserve"> </w:t>
      </w:r>
      <w:r>
        <w:t xml:space="preserve">L</w:t>
      </w:r>
      <w:r>
        <w:t xml:space="preserve">.;</w:t>
      </w:r>
      <w:r>
        <w:t xml:space="preserve"> </w:t>
      </w:r>
      <w:r>
        <w:t xml:space="preserve">Danaidae</w:t>
      </w:r>
      <w:r>
        <w:t xml:space="preserve">;</w:t>
      </w:r>
      <w:r>
        <w:t xml:space="preserve"> </w:t>
      </w:r>
      <w:r>
        <w:t xml:space="preserve">Lepidoptera</w:t>
      </w:r>
      <w:r>
        <w:t xml:space="preserve">) in</w:t>
      </w:r>
      <w:r>
        <w:t xml:space="preserve"> </w:t>
      </w:r>
      <w:r>
        <w:t xml:space="preserve">North America</w:t>
      </w:r>
      <w:r>
        <w:t xml:space="preserve"> </w:t>
      </w:r>
      <w:r>
        <w:t xml:space="preserve">to the overwintering site in the</w:t>
      </w:r>
      <w:r>
        <w:t xml:space="preserve"> </w:t>
      </w:r>
      <w:r>
        <w:t xml:space="preserve">Neovolcanic Plateau</w:t>
      </w:r>
      <w:r>
        <w:t xml:space="preserve"> </w:t>
      </w:r>
      <w:r>
        <w:t xml:space="preserve">of</w:t>
      </w:r>
      <w:r>
        <w:t xml:space="preserve"> </w:t>
      </w:r>
      <w:r>
        <w:t xml:space="preserve">Mexico</w:t>
      </w:r>
      <w:r>
        <w:t xml:space="preserve">.</w:t>
      </w:r>
      <w:r>
        <w:t xml:space="preserve"> </w:t>
      </w:r>
      <w:r>
        <w:rPr>
          <w:i/>
          <w:iCs/>
        </w:rPr>
        <w:t xml:space="preserve">Canadian Journal of Zoology</w:t>
      </w:r>
      <w:r>
        <w:t xml:space="preserve">,</w:t>
      </w:r>
      <w:r>
        <w:t xml:space="preserve"> </w:t>
      </w:r>
      <w:r>
        <w:rPr>
          <w:b/>
          <w:bCs/>
        </w:rPr>
        <w:t xml:space="preserve">1978</w:t>
      </w:r>
      <w:r>
        <w:t xml:space="preserve">,</w:t>
      </w:r>
      <w:r>
        <w:t xml:space="preserve"> </w:t>
      </w:r>
      <w:r>
        <w:rPr>
          <w:i/>
          <w:iCs/>
        </w:rPr>
        <w:t xml:space="preserve">56</w:t>
      </w:r>
      <w:r>
        <w:t xml:space="preserve">, (8), 1759–1764.</w:t>
      </w:r>
    </w:p>
    <w:bookmarkEnd w:id="188"/>
    <w:bookmarkStart w:id="190" w:name="X1f3dbbfaa7b2ad76256cee892ba2f445cd68f9d"/>
    <w:p>
      <w:pPr>
        <w:pStyle w:val="Bibliography"/>
      </w:pPr>
      <w:r>
        <w:t xml:space="preserve">27. L. Brower. Understanding and misunderstanding the migration of the monarch butterfly (</w:t>
      </w:r>
      <w:r>
        <w:t xml:space="preserve">Nymphalidae</w:t>
      </w:r>
      <w:r>
        <w:t xml:space="preserve">) in</w:t>
      </w:r>
      <w:r>
        <w:t xml:space="preserve"> </w:t>
      </w:r>
      <w:r>
        <w:t xml:space="preserve">North America</w:t>
      </w:r>
      <w:r>
        <w:t xml:space="preserve">: 1857-1995.</w:t>
      </w:r>
      <w:r>
        <w:t xml:space="preserve"> </w:t>
      </w:r>
      <w:r>
        <w:rPr>
          <w:i/>
          <w:iCs/>
        </w:rPr>
        <w:t xml:space="preserve">Journal of The Lepidopterists Society</w:t>
      </w:r>
      <w:r>
        <w:t xml:space="preserve">,</w:t>
      </w:r>
      <w:r>
        <w:t xml:space="preserve"> </w:t>
      </w:r>
      <w:r>
        <w:rPr>
          <w:b/>
          <w:bCs/>
        </w:rPr>
        <w:t xml:space="preserve">1995</w:t>
      </w:r>
      <w:r>
        <w:t xml:space="preserve">.</w:t>
      </w:r>
      <w:r>
        <w:t xml:space="preserve"> </w:t>
      </w:r>
      <w:hyperlink r:id="rId189">
        <w:r>
          <w:rPr>
            <w:rStyle w:val="Hyperlink"/>
          </w:rPr>
          <w:t xml:space="preserve">https://www.semanticscholar.org/paper/Understanding-and-misunderstanding-the-migration-of-Brower/79380ddbf559e310fef9bb8919c03c63ccddecb7</w:t>
        </w:r>
      </w:hyperlink>
      <w:r>
        <w:t xml:space="preserve">.</w:t>
      </w:r>
    </w:p>
    <w:bookmarkEnd w:id="190"/>
    <w:bookmarkStart w:id="192" w:name="ref-mastersMonarchButterflyDanaus1988"/>
    <w:p>
      <w:pPr>
        <w:pStyle w:val="Bibliography"/>
      </w:pPr>
      <w:r>
        <w:t xml:space="preserve">28. A. R. Masters, S. B. Malcolm, and L. P. Brower. Monarch</w:t>
      </w:r>
      <w:r>
        <w:t xml:space="preserve"> </w:t>
      </w:r>
      <w:r>
        <w:t xml:space="preserve">Butterfly</w:t>
      </w:r>
      <w:r>
        <w:t xml:space="preserve"> </w:t>
      </w:r>
      <w:r>
        <w:t xml:space="preserve">(</w:t>
      </w:r>
      <w:r>
        <w:t xml:space="preserve">Danaus Plexippus</w:t>
      </w:r>
      <w:r>
        <w:t xml:space="preserve">)</w:t>
      </w:r>
      <w:r>
        <w:t xml:space="preserve"> </w:t>
      </w:r>
      <w:r>
        <w:t xml:space="preserve">Thermoregulatory Behavior</w:t>
      </w:r>
      <w:r>
        <w:t xml:space="preserve"> </w:t>
      </w:r>
      <w:r>
        <w:t xml:space="preserve">and</w:t>
      </w:r>
      <w:r>
        <w:t xml:space="preserve"> </w:t>
      </w:r>
      <w:r>
        <w:t xml:space="preserve">Adaptations</w:t>
      </w:r>
      <w:r>
        <w:t xml:space="preserve"> </w:t>
      </w:r>
      <w:r>
        <w:t xml:space="preserve">for</w:t>
      </w:r>
      <w:r>
        <w:t xml:space="preserve"> </w:t>
      </w:r>
      <w:r>
        <w:t xml:space="preserve">Overwintering</w:t>
      </w:r>
      <w:r>
        <w:t xml:space="preserve"> </w:t>
      </w:r>
      <w:r>
        <w:t xml:space="preserve">in</w:t>
      </w:r>
      <w:r>
        <w:t xml:space="preserve"> </w:t>
      </w:r>
      <w:r>
        <w:t xml:space="preserve">Mexico</w:t>
      </w:r>
      <w:r>
        <w:t xml:space="preserve">.</w:t>
      </w:r>
      <w:r>
        <w:t xml:space="preserve"> </w:t>
      </w:r>
      <w:r>
        <w:rPr>
          <w:i/>
          <w:iCs/>
        </w:rPr>
        <w:t xml:space="preserve">Ecology</w:t>
      </w:r>
      <w:r>
        <w:t xml:space="preserve">,</w:t>
      </w:r>
      <w:r>
        <w:t xml:space="preserve"> </w:t>
      </w:r>
      <w:r>
        <w:rPr>
          <w:b/>
          <w:bCs/>
        </w:rPr>
        <w:t xml:space="preserve">1988</w:t>
      </w:r>
      <w:r>
        <w:t xml:space="preserve">,</w:t>
      </w:r>
      <w:r>
        <w:t xml:space="preserve"> </w:t>
      </w:r>
      <w:r>
        <w:rPr>
          <w:i/>
          <w:iCs/>
        </w:rPr>
        <w:t xml:space="preserve">69</w:t>
      </w:r>
      <w:r>
        <w:t xml:space="preserve">, (2), 458–467.</w:t>
      </w:r>
      <w:r>
        <w:t xml:space="preserve"> </w:t>
      </w:r>
      <w:hyperlink r:id="rId191">
        <w:r>
          <w:rPr>
            <w:rStyle w:val="Hyperlink"/>
          </w:rPr>
          <w:t xml:space="preserve">https://doi.org/10.2307/1940444</w:t>
        </w:r>
      </w:hyperlink>
      <w:r>
        <w:t xml:space="preserve">.</w:t>
      </w:r>
    </w:p>
    <w:bookmarkEnd w:id="192"/>
    <w:bookmarkStart w:id="194" w:name="X72b251cc870f2078b0e3501110397c1b6027b2f"/>
    <w:p>
      <w:pPr>
        <w:pStyle w:val="Bibliography"/>
      </w:pPr>
      <w:r>
        <w:t xml:space="preserve">29. A. E. Kammer. Thoracic temperature, shivering, and flight in the monarch butterfly,</w:t>
      </w:r>
      <w:r>
        <w:t xml:space="preserve"> </w:t>
      </w:r>
      <w:r>
        <w:t xml:space="preserve">Danaus</w:t>
      </w:r>
      <w:r>
        <w:t xml:space="preserve"> </w:t>
      </w:r>
      <w:r>
        <w:t xml:space="preserve">plexippus (</w:t>
      </w:r>
      <w:r>
        <w:t xml:space="preserve">L</w:t>
      </w:r>
      <w:r>
        <w:t xml:space="preserve">.).</w:t>
      </w:r>
      <w:r>
        <w:t xml:space="preserve"> </w:t>
      </w:r>
      <w:r>
        <w:rPr>
          <w:i/>
          <w:iCs/>
        </w:rPr>
        <w:t xml:space="preserve">Zeitschrift für vergleichende Physiologie</w:t>
      </w:r>
      <w:r>
        <w:t xml:space="preserve">,</w:t>
      </w:r>
      <w:r>
        <w:t xml:space="preserve"> </w:t>
      </w:r>
      <w:r>
        <w:rPr>
          <w:b/>
          <w:bCs/>
        </w:rPr>
        <w:t xml:space="preserve">1970</w:t>
      </w:r>
      <w:r>
        <w:t xml:space="preserve">,</w:t>
      </w:r>
      <w:r>
        <w:t xml:space="preserve"> </w:t>
      </w:r>
      <w:r>
        <w:rPr>
          <w:i/>
          <w:iCs/>
        </w:rPr>
        <w:t xml:space="preserve">68</w:t>
      </w:r>
      <w:r>
        <w:t xml:space="preserve">, (3), 334–344.</w:t>
      </w:r>
      <w:r>
        <w:t xml:space="preserve"> </w:t>
      </w:r>
      <w:hyperlink r:id="rId193">
        <w:r>
          <w:rPr>
            <w:rStyle w:val="Hyperlink"/>
          </w:rPr>
          <w:t xml:space="preserve">https://doi.org/10.1007/BF00298260</w:t>
        </w:r>
      </w:hyperlink>
      <w:r>
        <w:t xml:space="preserve">.</w:t>
      </w:r>
    </w:p>
    <w:bookmarkEnd w:id="194"/>
    <w:bookmarkStart w:id="196" w:name="Xffa57fe2d4179832de4aae7f55825d81419881f"/>
    <w:p>
      <w:pPr>
        <w:pStyle w:val="Bibliography"/>
      </w:pPr>
      <w:r>
        <w:t xml:space="preserve">30. A. Alonso-Mejia and A. Arellano-Guillermo. Influence of</w:t>
      </w:r>
      <w:r>
        <w:t xml:space="preserve"> </w:t>
      </w:r>
      <w:r>
        <w:t xml:space="preserve">Temperature</w:t>
      </w:r>
      <w:r>
        <w:t xml:space="preserve">,</w:t>
      </w:r>
      <w:r>
        <w:t xml:space="preserve"> </w:t>
      </w:r>
      <w:r>
        <w:t xml:space="preserve">Surface Body Moisture</w:t>
      </w:r>
      <w:r>
        <w:t xml:space="preserve"> </w:t>
      </w:r>
      <w:r>
        <w:t xml:space="preserve">and</w:t>
      </w:r>
      <w:r>
        <w:t xml:space="preserve"> </w:t>
      </w:r>
      <w:r>
        <w:t xml:space="preserve">Height Aboveground</w:t>
      </w:r>
      <w:r>
        <w:t xml:space="preserve"> </w:t>
      </w:r>
      <w:r>
        <w:t xml:space="preserve">on</w:t>
      </w:r>
      <w:r>
        <w:t xml:space="preserve"> </w:t>
      </w:r>
      <w:r>
        <w:t xml:space="preserve">Survival</w:t>
      </w:r>
      <w:r>
        <w:t xml:space="preserve"> </w:t>
      </w:r>
      <w:r>
        <w:t xml:space="preserve">of</w:t>
      </w:r>
      <w:r>
        <w:t xml:space="preserve"> </w:t>
      </w:r>
      <w:r>
        <w:t xml:space="preserve">Monarch Butterflies Overwintering</w:t>
      </w:r>
      <w:r>
        <w:t xml:space="preserve"> </w:t>
      </w:r>
      <w:r>
        <w:t xml:space="preserve">in</w:t>
      </w:r>
      <w:r>
        <w:t xml:space="preserve"> </w:t>
      </w:r>
      <w:r>
        <w:t xml:space="preserve">Mexico</w:t>
      </w:r>
      <w:r>
        <w:t xml:space="preserve">.</w:t>
      </w:r>
      <w:r>
        <w:t xml:space="preserve"> </w:t>
      </w:r>
      <w:r>
        <w:rPr>
          <w:i/>
          <w:iCs/>
        </w:rPr>
        <w:t xml:space="preserve">Biotropica</w:t>
      </w:r>
      <w:r>
        <w:t xml:space="preserve">,</w:t>
      </w:r>
      <w:r>
        <w:t xml:space="preserve"> </w:t>
      </w:r>
      <w:r>
        <w:rPr>
          <w:b/>
          <w:bCs/>
        </w:rPr>
        <w:t xml:space="preserve">1992</w:t>
      </w:r>
      <w:r>
        <w:t xml:space="preserve">,</w:t>
      </w:r>
      <w:r>
        <w:t xml:space="preserve"> </w:t>
      </w:r>
      <w:r>
        <w:rPr>
          <w:i/>
          <w:iCs/>
        </w:rPr>
        <w:t xml:space="preserve">24</w:t>
      </w:r>
      <w:r>
        <w:t xml:space="preserve">, (3), 415–419.</w:t>
      </w:r>
      <w:r>
        <w:t xml:space="preserve"> </w:t>
      </w:r>
      <w:hyperlink r:id="rId195">
        <w:r>
          <w:rPr>
            <w:rStyle w:val="Hyperlink"/>
          </w:rPr>
          <w:t xml:space="preserve">https://doi.org/10.2307/2388612</w:t>
        </w:r>
      </w:hyperlink>
      <w:r>
        <w:t xml:space="preserve">.</w:t>
      </w:r>
    </w:p>
    <w:bookmarkEnd w:id="196"/>
    <w:bookmarkStart w:id="198" w:name="ref-calvertEffectRainSnow1983"/>
    <w:p>
      <w:pPr>
        <w:pStyle w:val="Bibliography"/>
      </w:pPr>
      <w:r>
        <w:t xml:space="preserve">31. W. H. Calvert, W. Zuchowski, and L. P. Brower. The</w:t>
      </w:r>
      <w:r>
        <w:t xml:space="preserve"> </w:t>
      </w:r>
      <w:r>
        <w:t xml:space="preserve">Effect</w:t>
      </w:r>
      <w:r>
        <w:t xml:space="preserve"> </w:t>
      </w:r>
      <w:r>
        <w:t xml:space="preserve">of</w:t>
      </w:r>
      <w:r>
        <w:t xml:space="preserve"> </w:t>
      </w:r>
      <w:r>
        <w:t xml:space="preserve">Rain</w:t>
      </w:r>
      <w:r>
        <w:t xml:space="preserve">,</w:t>
      </w:r>
      <w:r>
        <w:t xml:space="preserve"> </w:t>
      </w:r>
      <w:r>
        <w:t xml:space="preserve">Snow</w:t>
      </w:r>
      <w:r>
        <w:t xml:space="preserve"> </w:t>
      </w:r>
      <w:r>
        <w:t xml:space="preserve">and</w:t>
      </w:r>
      <w:r>
        <w:t xml:space="preserve"> </w:t>
      </w:r>
      <w:r>
        <w:t xml:space="preserve">Freezing Temperatures</w:t>
      </w:r>
      <w:r>
        <w:t xml:space="preserve"> </w:t>
      </w:r>
      <w:r>
        <w:t xml:space="preserve">on</w:t>
      </w:r>
      <w:r>
        <w:t xml:space="preserve"> </w:t>
      </w:r>
      <w:r>
        <w:t xml:space="preserve">Overwintering Monarch Butterflies</w:t>
      </w:r>
      <w:r>
        <w:t xml:space="preserve"> </w:t>
      </w:r>
      <w:r>
        <w:t xml:space="preserve">in</w:t>
      </w:r>
      <w:r>
        <w:t xml:space="preserve"> </w:t>
      </w:r>
      <w:r>
        <w:t xml:space="preserve">Mexico</w:t>
      </w:r>
      <w:r>
        <w:t xml:space="preserve">.</w:t>
      </w:r>
      <w:r>
        <w:t xml:space="preserve"> </w:t>
      </w:r>
      <w:r>
        <w:rPr>
          <w:i/>
          <w:iCs/>
        </w:rPr>
        <w:t xml:space="preserve">Biotropica</w:t>
      </w:r>
      <w:r>
        <w:t xml:space="preserve">,</w:t>
      </w:r>
      <w:r>
        <w:t xml:space="preserve"> </w:t>
      </w:r>
      <w:r>
        <w:rPr>
          <w:b/>
          <w:bCs/>
        </w:rPr>
        <w:t xml:space="preserve">1983</w:t>
      </w:r>
      <w:r>
        <w:t xml:space="preserve">,</w:t>
      </w:r>
      <w:r>
        <w:t xml:space="preserve"> </w:t>
      </w:r>
      <w:r>
        <w:rPr>
          <w:i/>
          <w:iCs/>
        </w:rPr>
        <w:t xml:space="preserve">15</w:t>
      </w:r>
      <w:r>
        <w:t xml:space="preserve">, (1), 42–47.</w:t>
      </w:r>
      <w:r>
        <w:t xml:space="preserve"> </w:t>
      </w:r>
      <w:hyperlink r:id="rId197">
        <w:r>
          <w:rPr>
            <w:rStyle w:val="Hyperlink"/>
          </w:rPr>
          <w:t xml:space="preserve">https://doi.org/10.2307/2387997</w:t>
        </w:r>
      </w:hyperlink>
      <w:r>
        <w:t xml:space="preserve">.</w:t>
      </w:r>
    </w:p>
    <w:bookmarkEnd w:id="198"/>
    <w:bookmarkStart w:id="200" w:name="Xbe493e5c033e1c67ff84a16426ca957066d9860"/>
    <w:p>
      <w:pPr>
        <w:pStyle w:val="Bibliography"/>
      </w:pPr>
      <w:r>
        <w:t xml:space="preserve">32. J. B. Anderson and L. P. Brower. Freeze-protection of overwintering monarch butterflies in</w:t>
      </w:r>
      <w:r>
        <w:t xml:space="preserve"> </w:t>
      </w:r>
      <w:r>
        <w:t xml:space="preserve">Mexico</w:t>
      </w:r>
      <w:r>
        <w:t xml:space="preserve">: Critical role of the forest as a blanket and an umbrella.</w:t>
      </w:r>
      <w:r>
        <w:t xml:space="preserve"> </w:t>
      </w:r>
      <w:r>
        <w:rPr>
          <w:i/>
          <w:iCs/>
        </w:rPr>
        <w:t xml:space="preserve">Ecological Entomology</w:t>
      </w:r>
      <w:r>
        <w:t xml:space="preserve">,</w:t>
      </w:r>
      <w:r>
        <w:t xml:space="preserve"> </w:t>
      </w:r>
      <w:r>
        <w:rPr>
          <w:b/>
          <w:bCs/>
        </w:rPr>
        <w:t xml:space="preserve">1996</w:t>
      </w:r>
      <w:r>
        <w:t xml:space="preserve">,</w:t>
      </w:r>
      <w:r>
        <w:t xml:space="preserve"> </w:t>
      </w:r>
      <w:r>
        <w:rPr>
          <w:i/>
          <w:iCs/>
        </w:rPr>
        <w:t xml:space="preserve">21</w:t>
      </w:r>
      <w:r>
        <w:t xml:space="preserve">, (2), 107–116.</w:t>
      </w:r>
      <w:r>
        <w:t xml:space="preserve"> </w:t>
      </w:r>
      <w:hyperlink r:id="rId199">
        <w:r>
          <w:rPr>
            <w:rStyle w:val="Hyperlink"/>
          </w:rPr>
          <w:t xml:space="preserve">https://doi.org/10.1111/j.1365-2311.1996.tb01177.x</w:t>
        </w:r>
      </w:hyperlink>
      <w:r>
        <w:t xml:space="preserve">.</w:t>
      </w:r>
    </w:p>
    <w:bookmarkEnd w:id="200"/>
    <w:bookmarkStart w:id="202" w:name="X30d658292c164d3bce7e540f086edd6f7c4eae1"/>
    <w:p>
      <w:pPr>
        <w:pStyle w:val="Bibliography"/>
      </w:pPr>
      <w:r>
        <w:t xml:space="preserve">33. K. L. H. Leong. Microenvironmental</w:t>
      </w:r>
      <w:r>
        <w:t xml:space="preserve"> </w:t>
      </w:r>
      <w:r>
        <w:t xml:space="preserve">Factors Associated</w:t>
      </w:r>
      <w:r>
        <w:t xml:space="preserve"> </w:t>
      </w:r>
      <w:r>
        <w:t xml:space="preserve">with the</w:t>
      </w:r>
      <w:r>
        <w:t xml:space="preserve"> </w:t>
      </w:r>
      <w:r>
        <w:t xml:space="preserve">Winter Habitat</w:t>
      </w:r>
      <w:r>
        <w:t xml:space="preserve"> </w:t>
      </w:r>
      <w:r>
        <w:t xml:space="preserve">of the</w:t>
      </w:r>
      <w:r>
        <w:t xml:space="preserve"> </w:t>
      </w:r>
      <w:r>
        <w:t xml:space="preserve">Monarch Butterfly</w:t>
      </w:r>
      <w:r>
        <w:t xml:space="preserve"> </w:t>
      </w:r>
      <w:r>
        <w:t xml:space="preserve">(</w:t>
      </w:r>
      <w:r>
        <w:t xml:space="preserve">Lepidoptera</w:t>
      </w:r>
      <w:r>
        <w:t xml:space="preserve">:</w:t>
      </w:r>
      <w:r>
        <w:t xml:space="preserve"> </w:t>
      </w:r>
      <w:r>
        <w:t xml:space="preserve">Danaidae</w:t>
      </w:r>
      <w:r>
        <w:t xml:space="preserve">) in</w:t>
      </w:r>
      <w:r>
        <w:t xml:space="preserve"> </w:t>
      </w:r>
      <w:r>
        <w:t xml:space="preserve">Central California</w:t>
      </w:r>
      <w:r>
        <w:t xml:space="preserve">.</w:t>
      </w:r>
      <w:r>
        <w:t xml:space="preserve"> </w:t>
      </w:r>
      <w:r>
        <w:rPr>
          <w:i/>
          <w:iCs/>
        </w:rPr>
        <w:t xml:space="preserve">Annals of the Entomological Society of America</w:t>
      </w:r>
      <w:r>
        <w:t xml:space="preserve">,</w:t>
      </w:r>
      <w:r>
        <w:t xml:space="preserve"> </w:t>
      </w:r>
      <w:r>
        <w:rPr>
          <w:b/>
          <w:bCs/>
        </w:rPr>
        <w:t xml:space="preserve">1990</w:t>
      </w:r>
      <w:r>
        <w:t xml:space="preserve">,</w:t>
      </w:r>
      <w:r>
        <w:t xml:space="preserve"> </w:t>
      </w:r>
      <w:r>
        <w:rPr>
          <w:i/>
          <w:iCs/>
        </w:rPr>
        <w:t xml:space="preserve">83</w:t>
      </w:r>
      <w:r>
        <w:t xml:space="preserve">, (5), 906–910.</w:t>
      </w:r>
      <w:r>
        <w:t xml:space="preserve"> </w:t>
      </w:r>
      <w:hyperlink r:id="rId201">
        <w:r>
          <w:rPr>
            <w:rStyle w:val="Hyperlink"/>
          </w:rPr>
          <w:t xml:space="preserve">https://doi.org/10.1093/aesa/83.5.906</w:t>
        </w:r>
      </w:hyperlink>
      <w:r>
        <w:t xml:space="preserve">.</w:t>
      </w:r>
    </w:p>
    <w:bookmarkEnd w:id="202"/>
    <w:bookmarkStart w:id="204" w:name="ref-leongUseMultivariateAnalyses1991"/>
    <w:p>
      <w:pPr>
        <w:pStyle w:val="Bibliography"/>
      </w:pPr>
      <w:r>
        <w:t xml:space="preserve">34. K. L. H. Leong, D. Frey, G. Brenner, S. Baker, and D. Fox. Use of</w:t>
      </w:r>
      <w:r>
        <w:t xml:space="preserve"> </w:t>
      </w:r>
      <w:r>
        <w:t xml:space="preserve">Multivariate Analyses</w:t>
      </w:r>
      <w:r>
        <w:t xml:space="preserve"> </w:t>
      </w:r>
      <w:r>
        <w:t xml:space="preserve">to</w:t>
      </w:r>
      <w:r>
        <w:t xml:space="preserve"> </w:t>
      </w:r>
      <w:r>
        <w:t xml:space="preserve">Characterize</w:t>
      </w:r>
      <w:r>
        <w:t xml:space="preserve"> </w:t>
      </w:r>
      <w:r>
        <w:t xml:space="preserve">the</w:t>
      </w:r>
      <w:r>
        <w:t xml:space="preserve"> </w:t>
      </w:r>
      <w:r>
        <w:t xml:space="preserve">Monarch Butterfly</w:t>
      </w:r>
      <w:r>
        <w:t xml:space="preserve"> </w:t>
      </w:r>
      <w:r>
        <w:t xml:space="preserve">(</w:t>
      </w:r>
      <w:r>
        <w:t xml:space="preserve">Lepidoptera</w:t>
      </w:r>
      <w:r>
        <w:t xml:space="preserve">:</w:t>
      </w:r>
      <w:r>
        <w:t xml:space="preserve"> </w:t>
      </w:r>
      <w:r>
        <w:t xml:space="preserve">Danaidae</w:t>
      </w:r>
      <w:r>
        <w:t xml:space="preserve">)</w:t>
      </w:r>
      <w:r>
        <w:t xml:space="preserve"> </w:t>
      </w:r>
      <w:r>
        <w:t xml:space="preserve">Winter Habitat</w:t>
      </w:r>
      <w:r>
        <w:t xml:space="preserve">.</w:t>
      </w:r>
      <w:r>
        <w:t xml:space="preserve"> </w:t>
      </w:r>
      <w:r>
        <w:rPr>
          <w:i/>
          <w:iCs/>
        </w:rPr>
        <w:t xml:space="preserve">Annals of the Entomological Society of America</w:t>
      </w:r>
      <w:r>
        <w:t xml:space="preserve">,</w:t>
      </w:r>
      <w:r>
        <w:t xml:space="preserve"> </w:t>
      </w:r>
      <w:r>
        <w:rPr>
          <w:b/>
          <w:bCs/>
        </w:rPr>
        <w:t xml:space="preserve">1991</w:t>
      </w:r>
      <w:r>
        <w:t xml:space="preserve">,</w:t>
      </w:r>
      <w:r>
        <w:t xml:space="preserve"> </w:t>
      </w:r>
      <w:r>
        <w:rPr>
          <w:i/>
          <w:iCs/>
        </w:rPr>
        <w:t xml:space="preserve">84</w:t>
      </w:r>
      <w:r>
        <w:t xml:space="preserve">, (3), 263–267.</w:t>
      </w:r>
      <w:r>
        <w:t xml:space="preserve"> </w:t>
      </w:r>
      <w:hyperlink r:id="rId203">
        <w:r>
          <w:rPr>
            <w:rStyle w:val="Hyperlink"/>
          </w:rPr>
          <w:t xml:space="preserve">https://doi.org/10.1093/aesa/84.3.263</w:t>
        </w:r>
      </w:hyperlink>
      <w:r>
        <w:t xml:space="preserve">.</w:t>
      </w:r>
    </w:p>
    <w:bookmarkEnd w:id="204"/>
    <w:bookmarkStart w:id="205" w:name="Xf1ef243cb1da9314ec8f56baaddca270b25ea50"/>
    <w:p>
      <w:pPr>
        <w:pStyle w:val="Bibliography"/>
      </w:pPr>
      <w:r>
        <w:t xml:space="preserve">35. K. L. H. Leong. Restoration of an overwintering grove in</w:t>
      </w:r>
      <w:r>
        <w:t xml:space="preserve"> </w:t>
      </w:r>
      <w:r>
        <w:t xml:space="preserve">Los Osos</w:t>
      </w:r>
      <w:r>
        <w:t xml:space="preserve">,</w:t>
      </w:r>
      <w:r>
        <w:t xml:space="preserve"> </w:t>
      </w:r>
      <w:r>
        <w:t xml:space="preserve">San Luis Obispo County</w:t>
      </w:r>
      <w:r>
        <w:t xml:space="preserve">,</w:t>
      </w:r>
      <w:r>
        <w:t xml:space="preserve"> </w:t>
      </w:r>
      <w:r>
        <w:t xml:space="preserve">California</w:t>
      </w:r>
      <w:r>
        <w:t xml:space="preserve">. In 1997</w:t>
      </w:r>
      <w:r>
        <w:t xml:space="preserve"> </w:t>
      </w:r>
      <w:r>
        <w:t xml:space="preserve">North American Conference</w:t>
      </w:r>
      <w:r>
        <w:t xml:space="preserve"> </w:t>
      </w:r>
      <w:r>
        <w:t xml:space="preserve">on the</w:t>
      </w:r>
      <w:r>
        <w:t xml:space="preserve"> </w:t>
      </w:r>
      <w:r>
        <w:t xml:space="preserve">Monarch Butterfly</w:t>
      </w:r>
      <w:r>
        <w:t xml:space="preserve">.</w:t>
      </w:r>
      <w:r>
        <w:t xml:space="preserve"> </w:t>
      </w:r>
      <w:r>
        <w:t xml:space="preserve">Eds</w:t>
      </w:r>
      <w:r>
        <w:t xml:space="preserve">.</w:t>
      </w:r>
      <w:r>
        <w:t xml:space="preserve"> </w:t>
      </w:r>
      <w:r>
        <w:t xml:space="preserve">J</w:t>
      </w:r>
      <w:r>
        <w:t xml:space="preserve">.</w:t>
      </w:r>
      <w:r>
        <w:t xml:space="preserve"> </w:t>
      </w:r>
      <w:r>
        <w:t xml:space="preserve">Hoth</w:t>
      </w:r>
      <w:r>
        <w:t xml:space="preserve">,</w:t>
      </w:r>
      <w:r>
        <w:t xml:space="preserve"> </w:t>
      </w:r>
      <w:r>
        <w:t xml:space="preserve">L</w:t>
      </w:r>
      <w:r>
        <w:t xml:space="preserve">.</w:t>
      </w:r>
      <w:r>
        <w:t xml:space="preserve"> </w:t>
      </w:r>
      <w:r>
        <w:t xml:space="preserve">Merino</w:t>
      </w:r>
      <w:r>
        <w:t xml:space="preserve">,</w:t>
      </w:r>
      <w:r>
        <w:t xml:space="preserve"> </w:t>
      </w:r>
      <w:r>
        <w:t xml:space="preserve">K</w:t>
      </w:r>
      <w:r>
        <w:t xml:space="preserve">.</w:t>
      </w:r>
      <w:r>
        <w:t xml:space="preserve"> </w:t>
      </w:r>
      <w:r>
        <w:t xml:space="preserve">Oberhauser</w:t>
      </w:r>
      <w:r>
        <w:t xml:space="preserve">,</w:t>
      </w:r>
      <w:r>
        <w:t xml:space="preserve"> </w:t>
      </w:r>
      <w:r>
        <w:t xml:space="preserve">I</w:t>
      </w:r>
      <w:r>
        <w:t xml:space="preserve">.</w:t>
      </w:r>
      <w:r>
        <w:t xml:space="preserve"> </w:t>
      </w:r>
      <w:r>
        <w:t xml:space="preserve">Pisanty</w:t>
      </w:r>
      <w:r>
        <w:t xml:space="preserve">,</w:t>
      </w:r>
      <w:r>
        <w:t xml:space="preserve"> </w:t>
      </w:r>
      <w:r>
        <w:t xml:space="preserve">S</w:t>
      </w:r>
      <w:r>
        <w:t xml:space="preserve">.</w:t>
      </w:r>
      <w:r>
        <w:t xml:space="preserve"> </w:t>
      </w:r>
      <w:r>
        <w:t xml:space="preserve">Price</w:t>
      </w:r>
      <w:r>
        <w:t xml:space="preserve">, and</w:t>
      </w:r>
      <w:r>
        <w:t xml:space="preserve"> </w:t>
      </w:r>
      <w:r>
        <w:t xml:space="preserve">T</w:t>
      </w:r>
      <w:r>
        <w:t xml:space="preserve">.</w:t>
      </w:r>
      <w:r>
        <w:t xml:space="preserve"> </w:t>
      </w:r>
      <w:r>
        <w:t xml:space="preserve">Wilkinson</w:t>
      </w:r>
      <w:r>
        <w:t xml:space="preserve">, 1999, pp. 221–218.</w:t>
      </w:r>
    </w:p>
    <w:bookmarkEnd w:id="205"/>
    <w:bookmarkStart w:id="206" w:name="X02fdcfa2478680f8cfd4503b63a8fd1122fffd4"/>
    <w:p>
      <w:pPr>
        <w:pStyle w:val="Bibliography"/>
      </w:pPr>
      <w:r>
        <w:t xml:space="preserve">36. K. L. H. Leong. Evaluation and</w:t>
      </w:r>
      <w:r>
        <w:t xml:space="preserve"> </w:t>
      </w:r>
      <w:r>
        <w:t xml:space="preserve">Management</w:t>
      </w:r>
      <w:r>
        <w:t xml:space="preserve"> </w:t>
      </w:r>
      <w:r>
        <w:t xml:space="preserve">of</w:t>
      </w:r>
      <w:r>
        <w:t xml:space="preserve"> </w:t>
      </w:r>
      <w:r>
        <w:t xml:space="preserve">California Monarch Winter Sites</w:t>
      </w:r>
      <w:r>
        <w:t xml:space="preserve">. California Department of Fish; Wildlife, 2016.</w:t>
      </w:r>
    </w:p>
    <w:bookmarkEnd w:id="206"/>
    <w:bookmarkStart w:id="208" w:name="X47fc10ad90cfd19e2fde7b440ba45ebe622ae98"/>
    <w:p>
      <w:pPr>
        <w:pStyle w:val="Bibliography"/>
      </w:pPr>
      <w:r>
        <w:t xml:space="preserve">37. Xerces Society. State of the</w:t>
      </w:r>
      <w:r>
        <w:t xml:space="preserve"> </w:t>
      </w:r>
      <w:r>
        <w:t xml:space="preserve">Monarch Overwintering Sites</w:t>
      </w:r>
      <w:r>
        <w:t xml:space="preserve"> </w:t>
      </w:r>
      <w:r>
        <w:t xml:space="preserve">in</w:t>
      </w:r>
      <w:r>
        <w:t xml:space="preserve"> </w:t>
      </w:r>
      <w:r>
        <w:t xml:space="preserve">California</w:t>
      </w:r>
      <w:r>
        <w:t xml:space="preserve">. The Xerces Society for Invertebrate Conservation, Portland, OR, 2016.</w:t>
      </w:r>
      <w:r>
        <w:t xml:space="preserve"> </w:t>
      </w:r>
      <w:hyperlink r:id="rId207">
        <w:r>
          <w:rPr>
            <w:rStyle w:val="Hyperlink"/>
          </w:rPr>
          <w:t xml:space="preserve">https://www.xerces.org/sites/default/files/2018-05/16-015_01_XercesSoc_State-of-Monarch-Overwintering-Sites-in-California_web.pdf</w:t>
        </w:r>
      </w:hyperlink>
      <w:r>
        <w:t xml:space="preserve">.</w:t>
      </w:r>
    </w:p>
    <w:bookmarkEnd w:id="208"/>
    <w:bookmarkStart w:id="210" w:name="X9b5035f75c92c8d8354333584e44314b69b36ad"/>
    <w:p>
      <w:pPr>
        <w:pStyle w:val="Bibliography"/>
      </w:pPr>
      <w:r>
        <w:t xml:space="preserve">38. S. Jepsen, E. Pelton, S. H. Black, C. Fallon, C. Voight, and S. B. Weiss. Protecting</w:t>
      </w:r>
      <w:r>
        <w:t xml:space="preserve"> </w:t>
      </w:r>
      <w:r>
        <w:t xml:space="preserve">California</w:t>
      </w:r>
      <w:r>
        <w:t xml:space="preserve">’s</w:t>
      </w:r>
      <w:r>
        <w:t xml:space="preserve"> </w:t>
      </w:r>
      <w:r>
        <w:t xml:space="preserve">Butterfly Groves</w:t>
      </w:r>
      <w:r>
        <w:t xml:space="preserve">:</w:t>
      </w:r>
      <w:r>
        <w:t xml:space="preserve"> </w:t>
      </w:r>
      <w:r>
        <w:t xml:space="preserve">Management Guidelines</w:t>
      </w:r>
      <w:r>
        <w:t xml:space="preserve"> </w:t>
      </w:r>
      <w:r>
        <w:t xml:space="preserve">for</w:t>
      </w:r>
      <w:r>
        <w:t xml:space="preserve"> </w:t>
      </w:r>
      <w:r>
        <w:t xml:space="preserve">Monarch Butterfly Overwintering Habitat</w:t>
      </w:r>
      <w:r>
        <w:t xml:space="preserve">. The Xerces Society for Invertebrate Conservation, Portland, OR, 2017, 32 + vi pp.</w:t>
      </w:r>
      <w:r>
        <w:t xml:space="preserve"> </w:t>
      </w:r>
      <w:hyperlink r:id="rId209">
        <w:r>
          <w:rPr>
            <w:rStyle w:val="Hyperlink"/>
          </w:rPr>
          <w:t xml:space="preserve">https://xerces.org/protecting-californias-butterfly-groves</w:t>
        </w:r>
      </w:hyperlink>
      <w:r>
        <w:t xml:space="preserve">.</w:t>
      </w:r>
    </w:p>
    <w:bookmarkEnd w:id="210"/>
    <w:bookmarkStart w:id="211" w:name="X1c7eb8e691f75425cf3cf58ce9a8454df87c465"/>
    <w:p>
      <w:pPr>
        <w:pStyle w:val="Bibliography"/>
      </w:pPr>
      <w:r>
        <w:t xml:space="preserve">39. E. Pelton. Monarch</w:t>
      </w:r>
      <w:r>
        <w:t xml:space="preserve"> </w:t>
      </w:r>
      <w:r>
        <w:t xml:space="preserve">Butterfly Overwintering Site Management Plan</w:t>
      </w:r>
      <w:r>
        <w:t xml:space="preserve"> </w:t>
      </w:r>
      <w:r>
        <w:t xml:space="preserve">for</w:t>
      </w:r>
      <w:r>
        <w:t xml:space="preserve"> </w:t>
      </w:r>
      <w:r>
        <w:t xml:space="preserve">Pismo State Beach</w:t>
      </w:r>
      <w:r>
        <w:t xml:space="preserve">:</w:t>
      </w:r>
      <w:r>
        <w:t xml:space="preserve"> </w:t>
      </w:r>
      <w:r>
        <w:t xml:space="preserve">North Beach Campground Site</w:t>
      </w:r>
      <w:r>
        <w:t xml:space="preserve">. The Xerces Society for Invertebrate Conservation, Pismo State Beach, California, 2020, 120 pp.</w:t>
      </w:r>
    </w:p>
    <w:bookmarkEnd w:id="211"/>
    <w:bookmarkStart w:id="213" w:name="Xc01bdb20da0c7c9ca7e98c0d45667aaa343d54a"/>
    <w:p>
      <w:pPr>
        <w:pStyle w:val="Bibliography"/>
      </w:pPr>
      <w:r>
        <w:t xml:space="preserve">40. S. B. Weiss and P. M. Rich. Recommendations for</w:t>
      </w:r>
      <w:r>
        <w:t xml:space="preserve"> </w:t>
      </w:r>
      <w:r>
        <w:t xml:space="preserve">Restoration</w:t>
      </w:r>
      <w:r>
        <w:t xml:space="preserve"> </w:t>
      </w:r>
      <w:r>
        <w:t xml:space="preserve">of</w:t>
      </w:r>
      <w:r>
        <w:t xml:space="preserve"> </w:t>
      </w:r>
      <w:r>
        <w:t xml:space="preserve">Monarch Butterfly Winter Habitat</w:t>
      </w:r>
      <w:r>
        <w:t xml:space="preserve"> </w:t>
      </w:r>
      <w:r>
        <w:t xml:space="preserve">at</w:t>
      </w:r>
      <w:r>
        <w:t xml:space="preserve"> </w:t>
      </w:r>
      <w:r>
        <w:t xml:space="preserve">Norma B</w:t>
      </w:r>
      <w:r>
        <w:t xml:space="preserve">.</w:t>
      </w:r>
      <w:r>
        <w:t xml:space="preserve"> </w:t>
      </w:r>
      <w:r>
        <w:t xml:space="preserve">Gibbs Park</w:t>
      </w:r>
      <w:r>
        <w:t xml:space="preserve">,</w:t>
      </w:r>
      <w:r>
        <w:t xml:space="preserve"> </w:t>
      </w:r>
      <w:r>
        <w:t xml:space="preserve">Huntington Beach</w:t>
      </w:r>
      <w:r>
        <w:t xml:space="preserve">,</w:t>
      </w:r>
      <w:r>
        <w:t xml:space="preserve"> </w:t>
      </w:r>
      <w:r>
        <w:t xml:space="preserve">CA</w:t>
      </w:r>
      <w:r>
        <w:t xml:space="preserve">. Creekside Center for Earth Observation, Menlo Park, CA, 2008, 15 pp.</w:t>
      </w:r>
      <w:r>
        <w:t xml:space="preserve"> </w:t>
      </w:r>
      <w:hyperlink r:id="rId212">
        <w:r>
          <w:rPr>
            <w:rStyle w:val="Hyperlink"/>
          </w:rPr>
          <w:t xml:space="preserve">http://www.creeksidescience.com</w:t>
        </w:r>
      </w:hyperlink>
      <w:r>
        <w:t xml:space="preserve">.</w:t>
      </w:r>
    </w:p>
    <w:bookmarkEnd w:id="213"/>
    <w:bookmarkStart w:id="214" w:name="X63568f551c17312e6e30ca2d78871f819f2e018"/>
    <w:p>
      <w:pPr>
        <w:pStyle w:val="Bibliography"/>
      </w:pPr>
      <w:r>
        <w:t xml:space="preserve">41. Althouse &amp; Meade, Inc. and Creekside Science. Ellwood</w:t>
      </w:r>
      <w:r>
        <w:t xml:space="preserve"> </w:t>
      </w:r>
      <w:r>
        <w:t xml:space="preserve">Mesa</w:t>
      </w:r>
      <w:r>
        <w:t xml:space="preserve">/</w:t>
      </w:r>
      <w:r>
        <w:t xml:space="preserve">Sperling Preserve Open Space Monarch Butterfly Overwintering Habitat Analysis</w:t>
      </w:r>
      <w:r>
        <w:t xml:space="preserve"> </w:t>
      </w:r>
      <w:r>
        <w:t xml:space="preserve">and</w:t>
      </w:r>
      <w:r>
        <w:t xml:space="preserve"> </w:t>
      </w:r>
      <w:r>
        <w:t xml:space="preserve">Recommendations For Restoration</w:t>
      </w:r>
      <w:r>
        <w:t xml:space="preserve">. City of Goleta - Public Works Department, Goleta, CA, 2023.</w:t>
      </w:r>
    </w:p>
    <w:bookmarkEnd w:id="214"/>
    <w:bookmarkStart w:id="216" w:name="ref-sanieeHierarchyScaleInfluence2022"/>
    <w:p>
      <w:pPr>
        <w:pStyle w:val="Bibliography"/>
      </w:pPr>
      <w:r>
        <w:t xml:space="preserve">42. K. Saniee and F. Villablanca. Hierarchy and</w:t>
      </w:r>
      <w:r>
        <w:t xml:space="preserve"> </w:t>
      </w:r>
      <w:r>
        <w:t xml:space="preserve">Scale Influence</w:t>
      </w:r>
      <w:r>
        <w:t xml:space="preserve"> </w:t>
      </w:r>
      <w:r>
        <w:t xml:space="preserve">the</w:t>
      </w:r>
      <w:r>
        <w:t xml:space="preserve"> </w:t>
      </w:r>
      <w:r>
        <w:t xml:space="preserve">Western Monarch Butterfly Overwintering Microclimate</w:t>
      </w:r>
      <w:r>
        <w:t xml:space="preserve">.</w:t>
      </w:r>
      <w:r>
        <w:t xml:space="preserve"> </w:t>
      </w:r>
      <w:r>
        <w:rPr>
          <w:i/>
          <w:iCs/>
        </w:rPr>
        <w:t xml:space="preserve">Frontiers in Conservation Science</w:t>
      </w:r>
      <w:r>
        <w:t xml:space="preserve">,</w:t>
      </w:r>
      <w:r>
        <w:t xml:space="preserve"> </w:t>
      </w:r>
      <w:r>
        <w:rPr>
          <w:b/>
          <w:bCs/>
        </w:rPr>
        <w:t xml:space="preserve">2022</w:t>
      </w:r>
      <w:r>
        <w:t xml:space="preserve">,</w:t>
      </w:r>
      <w:r>
        <w:t xml:space="preserve"> </w:t>
      </w:r>
      <w:r>
        <w:rPr>
          <w:i/>
          <w:iCs/>
        </w:rPr>
        <w:t xml:space="preserve">3</w:t>
      </w:r>
      <w:r>
        <w:t xml:space="preserve">.</w:t>
      </w:r>
      <w:r>
        <w:t xml:space="preserve"> </w:t>
      </w:r>
      <w:hyperlink r:id="rId215">
        <w:r>
          <w:rPr>
            <w:rStyle w:val="Hyperlink"/>
          </w:rPr>
          <w:t xml:space="preserve">https://www.frontiersin.org/articles/10.3389/fcosc.2022.844299</w:t>
        </w:r>
      </w:hyperlink>
      <w:r>
        <w:t xml:space="preserve">.</w:t>
      </w:r>
    </w:p>
    <w:bookmarkEnd w:id="216"/>
    <w:bookmarkStart w:id="218" w:name="X0e48a30d6515b033fea15e0af52b8aa09fa9f0f"/>
    <w:p>
      <w:pPr>
        <w:pStyle w:val="Bibliography"/>
      </w:pPr>
      <w:r>
        <w:t xml:space="preserve">43. A. R. Fisher, W. T. Bean, and F. X. Villablanca. A multi-scale species distribution model for migrating and overwintering</w:t>
      </w:r>
      <w:r>
        <w:t xml:space="preserve"> </w:t>
      </w:r>
      <w:r>
        <w:t xml:space="preserve">Western</w:t>
      </w:r>
      <w:r>
        <w:t xml:space="preserve"> </w:t>
      </w:r>
      <w:r>
        <w:t xml:space="preserve">monarch butterflies: Climate is the best predictor.</w:t>
      </w:r>
      <w:r>
        <w:t xml:space="preserve"> </w:t>
      </w:r>
      <w:r>
        <w:rPr>
          <w:i/>
          <w:iCs/>
        </w:rPr>
        <w:t xml:space="preserve">Diversity</w:t>
      </w:r>
      <w:r>
        <w:t xml:space="preserve">,</w:t>
      </w:r>
      <w:r>
        <w:t xml:space="preserve"> </w:t>
      </w:r>
      <w:r>
        <w:rPr>
          <w:b/>
          <w:bCs/>
        </w:rPr>
        <w:t xml:space="preserve">2024</w:t>
      </w:r>
      <w:r>
        <w:t xml:space="preserve">,</w:t>
      </w:r>
      <w:r>
        <w:t xml:space="preserve"> </w:t>
      </w:r>
      <w:r>
        <w:rPr>
          <w:i/>
          <w:iCs/>
        </w:rPr>
        <w:t xml:space="preserve">16</w:t>
      </w:r>
      <w:r>
        <w:t xml:space="preserve">, (10), 640.</w:t>
      </w:r>
      <w:r>
        <w:t xml:space="preserve"> </w:t>
      </w:r>
      <w:hyperlink r:id="rId217">
        <w:r>
          <w:rPr>
            <w:rStyle w:val="Hyperlink"/>
          </w:rPr>
          <w:t xml:space="preserve">https://doi.org/10.3390/d16100640</w:t>
        </w:r>
      </w:hyperlink>
      <w:r>
        <w:t xml:space="preserve">.</w:t>
      </w:r>
    </w:p>
    <w:bookmarkEnd w:id="218"/>
    <w:bookmarkStart w:id="220" w:name="ref-weissForestCanopyStructure1991"/>
    <w:p>
      <w:pPr>
        <w:pStyle w:val="Bibliography"/>
      </w:pPr>
      <w:r>
        <w:t xml:space="preserve">44. S. B. Weiss, P. M. Rich, D. D. Murphy, W. H. Calvert, and P. R. Ehrlich. Forest</w:t>
      </w:r>
      <w:r>
        <w:t xml:space="preserve"> </w:t>
      </w:r>
      <w:r>
        <w:t xml:space="preserve">Canopy Structure</w:t>
      </w:r>
      <w:r>
        <w:t xml:space="preserve"> </w:t>
      </w:r>
      <w:r>
        <w:t xml:space="preserve">at</w:t>
      </w:r>
      <w:r>
        <w:t xml:space="preserve"> </w:t>
      </w:r>
      <w:r>
        <w:t xml:space="preserve">Overwintering Monarch Butterfly Sites</w:t>
      </w:r>
      <w:r>
        <w:t xml:space="preserve">:</w:t>
      </w:r>
      <w:r>
        <w:t xml:space="preserve"> </w:t>
      </w:r>
      <w:r>
        <w:t xml:space="preserve">Measurements</w:t>
      </w:r>
      <w:r>
        <w:t xml:space="preserve"> </w:t>
      </w:r>
      <w:r>
        <w:t xml:space="preserve">with</w:t>
      </w:r>
      <w:r>
        <w:t xml:space="preserve"> </w:t>
      </w:r>
      <w:r>
        <w:t xml:space="preserve">Hemispherical Photography</w:t>
      </w:r>
      <w:r>
        <w:t xml:space="preserve">.</w:t>
      </w:r>
      <w:r>
        <w:t xml:space="preserve"> </w:t>
      </w:r>
      <w:r>
        <w:rPr>
          <w:i/>
          <w:iCs/>
        </w:rPr>
        <w:t xml:space="preserve">Conservation Biology</w:t>
      </w:r>
      <w:r>
        <w:t xml:space="preserve">,</w:t>
      </w:r>
      <w:r>
        <w:t xml:space="preserve"> </w:t>
      </w:r>
      <w:r>
        <w:rPr>
          <w:b/>
          <w:bCs/>
        </w:rPr>
        <w:t xml:space="preserve">1991</w:t>
      </w:r>
      <w:r>
        <w:t xml:space="preserve">,</w:t>
      </w:r>
      <w:r>
        <w:t xml:space="preserve"> </w:t>
      </w:r>
      <w:r>
        <w:rPr>
          <w:i/>
          <w:iCs/>
        </w:rPr>
        <w:t xml:space="preserve">5</w:t>
      </w:r>
      <w:r>
        <w:t xml:space="preserve">, (2), 165–175.</w:t>
      </w:r>
      <w:r>
        <w:t xml:space="preserve"> </w:t>
      </w:r>
      <w:hyperlink r:id="rId219">
        <w:r>
          <w:rPr>
            <w:rStyle w:val="Hyperlink"/>
          </w:rPr>
          <w:t xml:space="preserve">https://doi.org/10.1111/j.1523-1739.1991.tb00121.x</w:t>
        </w:r>
      </w:hyperlink>
      <w:r>
        <w:t xml:space="preserve">.</w:t>
      </w:r>
    </w:p>
    <w:bookmarkEnd w:id="220"/>
    <w:bookmarkStart w:id="222" w:name="ref-ibsenDensityDependenceHabitat2026"/>
    <w:p>
      <w:pPr>
        <w:pStyle w:val="Bibliography"/>
      </w:pPr>
      <w:r>
        <w:t xml:space="preserve">45. P. C. Ibsen, Z. H. Ancona, E. Pelton, S. Little, and J. E. Diffendorfer. Density dependence and habitat selection affect overwintering abundance of monarch butterflies at regional and site scales in</w:t>
      </w:r>
      <w:r>
        <w:t xml:space="preserve"> </w:t>
      </w:r>
      <w:r>
        <w:t xml:space="preserve">California</w:t>
      </w:r>
      <w:r>
        <w:t xml:space="preserve">.</w:t>
      </w:r>
      <w:r>
        <w:t xml:space="preserve"> </w:t>
      </w:r>
      <w:r>
        <w:rPr>
          <w:i/>
          <w:iCs/>
        </w:rPr>
        <w:t xml:space="preserve">Conservation Science and Practice</w:t>
      </w:r>
      <w:r>
        <w:t xml:space="preserve">,</w:t>
      </w:r>
      <w:r>
        <w:t xml:space="preserve"> </w:t>
      </w:r>
      <w:r>
        <w:rPr>
          <w:b/>
          <w:bCs/>
        </w:rPr>
        <w:t xml:space="preserve">2026</w:t>
      </w:r>
      <w:r>
        <w:t xml:space="preserve">.</w:t>
      </w:r>
      <w:r>
        <w:t xml:space="preserve"> </w:t>
      </w:r>
      <w:hyperlink r:id="rId221">
        <w:r>
          <w:rPr>
            <w:rStyle w:val="Hyperlink"/>
          </w:rPr>
          <w:t xml:space="preserve">https://doi.org/10.1111/csp2.70253</w:t>
        </w:r>
      </w:hyperlink>
      <w:r>
        <w:t xml:space="preserve">.</w:t>
      </w:r>
    </w:p>
    <w:bookmarkEnd w:id="222"/>
    <w:bookmarkStart w:id="224" w:name="Xcd4032f8c0c54cadb36d3bed142b2e58516b915"/>
    <w:p>
      <w:pPr>
        <w:pStyle w:val="Bibliography"/>
      </w:pPr>
      <w:r>
        <w:t xml:space="preserve">46. Xerces Society. Managing for</w:t>
      </w:r>
      <w:r>
        <w:t xml:space="preserve"> </w:t>
      </w:r>
      <w:r>
        <w:t xml:space="preserve">Monarchs</w:t>
      </w:r>
      <w:r>
        <w:t xml:space="preserve"> </w:t>
      </w:r>
      <w:r>
        <w:t xml:space="preserve">in the</w:t>
      </w:r>
      <w:r>
        <w:t xml:space="preserve"> </w:t>
      </w:r>
      <w:r>
        <w:t xml:space="preserve">West</w:t>
      </w:r>
      <w:r>
        <w:t xml:space="preserve">:</w:t>
      </w:r>
      <w:r>
        <w:t xml:space="preserve"> </w:t>
      </w:r>
      <w:r>
        <w:t xml:space="preserve">Best Management Practices</w:t>
      </w:r>
      <w:r>
        <w:t xml:space="preserve"> </w:t>
      </w:r>
      <w:r>
        <w:t xml:space="preserve">for</w:t>
      </w:r>
      <w:r>
        <w:t xml:space="preserve"> </w:t>
      </w:r>
      <w:r>
        <w:t xml:space="preserve">Conserving</w:t>
      </w:r>
      <w:r>
        <w:t xml:space="preserve"> </w:t>
      </w:r>
      <w:r>
        <w:t xml:space="preserve">the</w:t>
      </w:r>
      <w:r>
        <w:t xml:space="preserve"> </w:t>
      </w:r>
      <w:r>
        <w:t xml:space="preserve">Monarch Butterfly</w:t>
      </w:r>
      <w:r>
        <w:t xml:space="preserve"> </w:t>
      </w:r>
      <w:r>
        <w:t xml:space="preserve">and its</w:t>
      </w:r>
      <w:r>
        <w:t xml:space="preserve"> </w:t>
      </w:r>
      <w:r>
        <w:t xml:space="preserve">Habitat</w:t>
      </w:r>
      <w:r>
        <w:t xml:space="preserve">. The Xerces Society for Invertebrate Conservation, Portland, OR, 2018, 106+vi pp.</w:t>
      </w:r>
      <w:r>
        <w:t xml:space="preserve"> </w:t>
      </w:r>
      <w:hyperlink r:id="rId223">
        <w:r>
          <w:rPr>
            <w:rStyle w:val="Hyperlink"/>
          </w:rPr>
          <w:t xml:space="preserve">www.xerces.org</w:t>
        </w:r>
      </w:hyperlink>
      <w:r>
        <w:t xml:space="preserve">.</w:t>
      </w:r>
    </w:p>
    <w:bookmarkEnd w:id="224"/>
    <w:bookmarkStart w:id="226" w:name="Xd783142e221c1f498e1a166269e53da562bf4b0"/>
    <w:p>
      <w:pPr>
        <w:pStyle w:val="Bibliography"/>
      </w:pPr>
      <w:r>
        <w:t xml:space="preserve">47. U.S. Fish and Wildlife Service. Monarch (</w:t>
      </w:r>
      <w:r>
        <w:t xml:space="preserve">Danaus</w:t>
      </w:r>
      <w:r>
        <w:t xml:space="preserve"> </w:t>
      </w:r>
      <w:r>
        <w:t xml:space="preserve">plexippus)</w:t>
      </w:r>
      <w:r>
        <w:t xml:space="preserve"> </w:t>
      </w:r>
      <w:r>
        <w:t xml:space="preserve">Species Status Assessment Report</w:t>
      </w:r>
      <w:r>
        <w:t xml:space="preserve">.</w:t>
      </w:r>
      <w:r>
        <w:t xml:space="preserve"> </w:t>
      </w:r>
      <w:r>
        <w:t xml:space="preserve">U.S. Fish and Wildlife Service</w:t>
      </w:r>
      <w:r>
        <w:t xml:space="preserve">, Washington, DC, 2024.</w:t>
      </w:r>
      <w:r>
        <w:t xml:space="preserve"> </w:t>
      </w:r>
      <w:hyperlink r:id="rId225">
        <w:r>
          <w:rPr>
            <w:rStyle w:val="Hyperlink"/>
          </w:rPr>
          <w:t xml:space="preserve">https://www.fws.gov/media/monarch-butterfly-danaus-plexippus-species-status-assessment-report-version-23</w:t>
        </w:r>
      </w:hyperlink>
      <w:r>
        <w:t xml:space="preserve">.</w:t>
      </w:r>
    </w:p>
    <w:bookmarkEnd w:id="226"/>
    <w:bookmarkStart w:id="227" w:name="ref-weissAlbanyHillMonarch2018"/>
    <w:p>
      <w:pPr>
        <w:pStyle w:val="Bibliography"/>
      </w:pPr>
      <w:r>
        <w:t xml:space="preserve">48. S. B. Weiss. Albany</w:t>
      </w:r>
      <w:r>
        <w:t xml:space="preserve"> </w:t>
      </w:r>
      <w:r>
        <w:t xml:space="preserve">Hill Monarch Habitat Assessment</w:t>
      </w:r>
      <w:r>
        <w:t xml:space="preserve">. Creekside Science, 2018, 25.</w:t>
      </w:r>
    </w:p>
    <w:bookmarkEnd w:id="227"/>
    <w:bookmarkStart w:id="229" w:name="ref-schultzCitizenScienceMonitoring2017"/>
    <w:p>
      <w:pPr>
        <w:pStyle w:val="Bibliography"/>
      </w:pPr>
      <w:r>
        <w:t xml:space="preserve">49. C. B. Schultz, L. M. Brown, E. Pelton, and E. E. Crone. Citizen science monitoring demonstrates dramatic declines of monarch butterflies in western</w:t>
      </w:r>
      <w:r>
        <w:t xml:space="preserve"> </w:t>
      </w:r>
      <w:r>
        <w:t xml:space="preserve">North America</w:t>
      </w:r>
      <w:r>
        <w:t xml:space="preserve">.</w:t>
      </w:r>
      <w:r>
        <w:t xml:space="preserve"> </w:t>
      </w:r>
      <w:r>
        <w:rPr>
          <w:i/>
          <w:iCs/>
        </w:rPr>
        <w:t xml:space="preserve">Biological Conservation</w:t>
      </w:r>
      <w:r>
        <w:t xml:space="preserve">,</w:t>
      </w:r>
      <w:r>
        <w:t xml:space="preserve"> </w:t>
      </w:r>
      <w:r>
        <w:rPr>
          <w:b/>
          <w:bCs/>
        </w:rPr>
        <w:t xml:space="preserve">2017</w:t>
      </w:r>
      <w:r>
        <w:t xml:space="preserve">,</w:t>
      </w:r>
      <w:r>
        <w:t xml:space="preserve"> </w:t>
      </w:r>
      <w:r>
        <w:rPr>
          <w:i/>
          <w:iCs/>
        </w:rPr>
        <w:t xml:space="preserve">214</w:t>
      </w:r>
      <w:r>
        <w:t xml:space="preserve">, 343–346.</w:t>
      </w:r>
      <w:r>
        <w:t xml:space="preserve"> </w:t>
      </w:r>
      <w:hyperlink r:id="rId228">
        <w:r>
          <w:rPr>
            <w:rStyle w:val="Hyperlink"/>
          </w:rPr>
          <w:t xml:space="preserve">https://doi.org/10.1016/j.biocon.2017.08.019</w:t>
        </w:r>
      </w:hyperlink>
      <w:r>
        <w:t xml:space="preserve">.</w:t>
      </w:r>
    </w:p>
    <w:bookmarkEnd w:id="229"/>
    <w:bookmarkStart w:id="231" w:name="ref-peltonWesternMonarchPopulation2019"/>
    <w:p>
      <w:pPr>
        <w:pStyle w:val="Bibliography"/>
      </w:pPr>
      <w:r>
        <w:t xml:space="preserve">50. E. M. Pelton, C. B. Schultz, S. J. Jepsen, S. H. Black, and E. E. Crone. Western</w:t>
      </w:r>
      <w:r>
        <w:t xml:space="preserve"> </w:t>
      </w:r>
      <w:r>
        <w:t xml:space="preserve">Monarch Population Plummets</w:t>
      </w:r>
      <w:r>
        <w:t xml:space="preserve">:</w:t>
      </w:r>
      <w:r>
        <w:t xml:space="preserve"> </w:t>
      </w:r>
      <w:r>
        <w:t xml:space="preserve">Status</w:t>
      </w:r>
      <w:r>
        <w:t xml:space="preserve">,</w:t>
      </w:r>
      <w:r>
        <w:t xml:space="preserve"> </w:t>
      </w:r>
      <w:r>
        <w:t xml:space="preserve">Probable Causes</w:t>
      </w:r>
      <w:r>
        <w:t xml:space="preserve">, and</w:t>
      </w:r>
      <w:r>
        <w:t xml:space="preserve"> </w:t>
      </w:r>
      <w:r>
        <w:t xml:space="preserve">Recommended Conservation Actions</w:t>
      </w:r>
      <w:r>
        <w:t xml:space="preserve">.</w:t>
      </w:r>
      <w:r>
        <w:t xml:space="preserve"> </w:t>
      </w:r>
      <w:r>
        <w:rPr>
          <w:i/>
          <w:iCs/>
        </w:rPr>
        <w:t xml:space="preserve">Frontiers in Ecology and Evolution</w:t>
      </w:r>
      <w:r>
        <w:t xml:space="preserve">,</w:t>
      </w:r>
      <w:r>
        <w:t xml:space="preserve"> </w:t>
      </w:r>
      <w:r>
        <w:rPr>
          <w:b/>
          <w:bCs/>
        </w:rPr>
        <w:t xml:space="preserve">2019</w:t>
      </w:r>
      <w:r>
        <w:t xml:space="preserve">,</w:t>
      </w:r>
      <w:r>
        <w:t xml:space="preserve"> </w:t>
      </w:r>
      <w:r>
        <w:rPr>
          <w:i/>
          <w:iCs/>
        </w:rPr>
        <w:t xml:space="preserve">7</w:t>
      </w:r>
      <w:r>
        <w:t xml:space="preserve">.</w:t>
      </w:r>
      <w:r>
        <w:t xml:space="preserve"> </w:t>
      </w:r>
      <w:hyperlink r:id="rId230">
        <w:r>
          <w:rPr>
            <w:rStyle w:val="Hyperlink"/>
          </w:rPr>
          <w:t xml:space="preserve">https://www.frontiersin.org/articles/10.3389/fevo.2019.00258</w:t>
        </w:r>
      </w:hyperlink>
      <w:r>
        <w:t xml:space="preserve">.</w:t>
      </w:r>
    </w:p>
    <w:bookmarkEnd w:id="231"/>
    <w:bookmarkStart w:id="233" w:name="Xe450b06c6d1a85d78d67f1c710156611fcbfe9f"/>
    <w:p>
      <w:pPr>
        <w:pStyle w:val="Bibliography"/>
      </w:pPr>
      <w:r>
        <w:t xml:space="preserve">51. Xerces Society. Western</w:t>
      </w:r>
      <w:r>
        <w:t xml:space="preserve"> </w:t>
      </w:r>
      <w:r>
        <w:t xml:space="preserve">Monarch Butterfly Population Declines</w:t>
      </w:r>
      <w:r>
        <w:t xml:space="preserve"> </w:t>
      </w:r>
      <w:r>
        <w:t xml:space="preserve">to</w:t>
      </w:r>
      <w:r>
        <w:t xml:space="preserve"> </w:t>
      </w:r>
      <w:r>
        <w:t xml:space="preserve">Near Record Low</w:t>
      </w:r>
      <w:r>
        <w:t xml:space="preserve">. 2025.</w:t>
      </w:r>
      <w:r>
        <w:t xml:space="preserve"> </w:t>
      </w:r>
      <w:hyperlink r:id="rId232">
        <w:r>
          <w:rPr>
            <w:rStyle w:val="Hyperlink"/>
          </w:rPr>
          <w:t xml:space="preserve">https://www.xerces.org/press/western-monarch-butterfly-population-declines-to-near-record-low</w:t>
        </w:r>
      </w:hyperlink>
      <w:r>
        <w:t xml:space="preserve">.</w:t>
      </w:r>
    </w:p>
    <w:bookmarkEnd w:id="233"/>
    <w:bookmarkStart w:id="235" w:name="ref-croneWhyAreMonarch2019"/>
    <w:p>
      <w:pPr>
        <w:pStyle w:val="Bibliography"/>
      </w:pPr>
      <w:r>
        <w:t xml:space="preserve">52. E. E. Crone, E. M. Pelton, L. M. Brown, C. C. Thomas, and C. B. Schultz. Why are monarch butterflies declining in the</w:t>
      </w:r>
      <w:r>
        <w:t xml:space="preserve"> </w:t>
      </w:r>
      <w:r>
        <w:t xml:space="preserve">West</w:t>
      </w:r>
      <w:r>
        <w:t xml:space="preserve">?</w:t>
      </w:r>
      <w:r>
        <w:t xml:space="preserve"> </w:t>
      </w:r>
      <w:r>
        <w:t xml:space="preserve">Understanding</w:t>
      </w:r>
      <w:r>
        <w:t xml:space="preserve"> </w:t>
      </w:r>
      <w:r>
        <w:t xml:space="preserve">the importance of multiple correlated drivers.</w:t>
      </w:r>
      <w:r>
        <w:t xml:space="preserve"> </w:t>
      </w:r>
      <w:r>
        <w:rPr>
          <w:i/>
          <w:iCs/>
        </w:rPr>
        <w:t xml:space="preserve">Ecological Applications</w:t>
      </w:r>
      <w:r>
        <w:t xml:space="preserve">,</w:t>
      </w:r>
      <w:r>
        <w:t xml:space="preserve"> </w:t>
      </w:r>
      <w:r>
        <w:rPr>
          <w:b/>
          <w:bCs/>
        </w:rPr>
        <w:t xml:space="preserve">2019</w:t>
      </w:r>
      <w:r>
        <w:t xml:space="preserve">,</w:t>
      </w:r>
      <w:r>
        <w:t xml:space="preserve"> </w:t>
      </w:r>
      <w:r>
        <w:rPr>
          <w:i/>
          <w:iCs/>
        </w:rPr>
        <w:t xml:space="preserve">29</w:t>
      </w:r>
      <w:r>
        <w:t xml:space="preserve">, (7).</w:t>
      </w:r>
      <w:r>
        <w:t xml:space="preserve"> </w:t>
      </w:r>
      <w:hyperlink r:id="rId234">
        <w:r>
          <w:rPr>
            <w:rStyle w:val="Hyperlink"/>
          </w:rPr>
          <w:t xml:space="preserve">https://doi.org/10.1002/eap.1975</w:t>
        </w:r>
      </w:hyperlink>
      <w:r>
        <w:t xml:space="preserve">.</w:t>
      </w:r>
    </w:p>
    <w:bookmarkEnd w:id="235"/>
    <w:bookmarkStart w:id="237" w:name="ref-oberhauser2026MonarchConservation"/>
    <w:p>
      <w:pPr>
        <w:pStyle w:val="Bibliography"/>
      </w:pPr>
      <w:r>
        <w:t xml:space="preserve">53. K. S. Oberhauser. Monarch butterfly conservation: Current status and future directions.</w:t>
      </w:r>
      <w:r>
        <w:t xml:space="preserve"> </w:t>
      </w:r>
      <w:r>
        <w:rPr>
          <w:i/>
          <w:iCs/>
        </w:rPr>
        <w:t xml:space="preserve">Insects</w:t>
      </w:r>
      <w:r>
        <w:t xml:space="preserve">,</w:t>
      </w:r>
      <w:r>
        <w:t xml:space="preserve"> </w:t>
      </w:r>
      <w:r>
        <w:rPr>
          <w:b/>
          <w:bCs/>
        </w:rPr>
        <w:t xml:space="preserve">2026</w:t>
      </w:r>
      <w:r>
        <w:t xml:space="preserve">,</w:t>
      </w:r>
      <w:r>
        <w:t xml:space="preserve"> </w:t>
      </w:r>
      <w:r>
        <w:rPr>
          <w:i/>
          <w:iCs/>
        </w:rPr>
        <w:t xml:space="preserve">17</w:t>
      </w:r>
      <w:r>
        <w:t xml:space="preserve">, (3), 235.</w:t>
      </w:r>
      <w:r>
        <w:t xml:space="preserve"> </w:t>
      </w:r>
      <w:hyperlink r:id="rId236">
        <w:r>
          <w:rPr>
            <w:rStyle w:val="Hyperlink"/>
          </w:rPr>
          <w:t xml:space="preserve">https://doi.org/10.3390/insects17030235</w:t>
        </w:r>
      </w:hyperlink>
      <w:r>
        <w:t xml:space="preserve">.</w:t>
      </w:r>
    </w:p>
    <w:bookmarkEnd w:id="237"/>
    <w:bookmarkStart w:id="239" w:name="X90be9b641f8b8d65e6ff46ad3ba4a0e4197a200"/>
    <w:p>
      <w:pPr>
        <w:pStyle w:val="Bibliography"/>
      </w:pPr>
      <w:r>
        <w:t xml:space="preserve">54. L. Marini and M. P. Zalucki. Density-dependence in the declining population of the monarch butterfly.</w:t>
      </w:r>
      <w:r>
        <w:t xml:space="preserve"> </w:t>
      </w:r>
      <w:r>
        <w:rPr>
          <w:i/>
          <w:iCs/>
        </w:rPr>
        <w:t xml:space="preserve">Scientific Reports</w:t>
      </w:r>
      <w:r>
        <w:t xml:space="preserve">,</w:t>
      </w:r>
      <w:r>
        <w:t xml:space="preserve"> </w:t>
      </w:r>
      <w:r>
        <w:rPr>
          <w:b/>
          <w:bCs/>
        </w:rPr>
        <w:t xml:space="preserve">2017</w:t>
      </w:r>
      <w:r>
        <w:t xml:space="preserve">,</w:t>
      </w:r>
      <w:r>
        <w:t xml:space="preserve"> </w:t>
      </w:r>
      <w:r>
        <w:rPr>
          <w:i/>
          <w:iCs/>
        </w:rPr>
        <w:t xml:space="preserve">7</w:t>
      </w:r>
      <w:r>
        <w:t xml:space="preserve">.</w:t>
      </w:r>
      <w:r>
        <w:t xml:space="preserve"> </w:t>
      </w:r>
      <w:hyperlink r:id="rId238">
        <w:r>
          <w:rPr>
            <w:rStyle w:val="Hyperlink"/>
          </w:rPr>
          <w:t xml:space="preserve">https://doi.org/10.1038/s41598-017-14510-w</w:t>
        </w:r>
      </w:hyperlink>
      <w:r>
        <w:t xml:space="preserve">.</w:t>
      </w:r>
    </w:p>
    <w:bookmarkEnd w:id="239"/>
    <w:bookmarkStart w:id="241" w:name="Xa3c1b4d22cf555735f3af6df57617ee0ad52730"/>
    <w:p>
      <w:pPr>
        <w:pStyle w:val="Bibliography"/>
      </w:pPr>
      <w:r>
        <w:t xml:space="preserve">55. H. Mouritsen and B. J. Frost. Virtual migration in tethered flying monarch butterflies reveals their orientation mechanisms.</w:t>
      </w:r>
      <w:r>
        <w:t xml:space="preserve"> </w:t>
      </w:r>
      <w:r>
        <w:rPr>
          <w:i/>
          <w:iCs/>
        </w:rPr>
        <w:t xml:space="preserve">Proceedings of the National Academy of Sciences of the United States of America</w:t>
      </w:r>
      <w:r>
        <w:t xml:space="preserve">,</w:t>
      </w:r>
      <w:r>
        <w:t xml:space="preserve"> </w:t>
      </w:r>
      <w:r>
        <w:rPr>
          <w:b/>
          <w:bCs/>
        </w:rPr>
        <w:t xml:space="preserve">2002</w:t>
      </w:r>
      <w:r>
        <w:t xml:space="preserve">,</w:t>
      </w:r>
      <w:r>
        <w:t xml:space="preserve"> </w:t>
      </w:r>
      <w:r>
        <w:rPr>
          <w:i/>
          <w:iCs/>
        </w:rPr>
        <w:t xml:space="preserve">99</w:t>
      </w:r>
      <w:r>
        <w:t xml:space="preserve">, (15), 10162–10166.</w:t>
      </w:r>
      <w:r>
        <w:t xml:space="preserve"> </w:t>
      </w:r>
      <w:hyperlink r:id="rId240">
        <w:r>
          <w:rPr>
            <w:rStyle w:val="Hyperlink"/>
          </w:rPr>
          <w:t xml:space="preserve">https://doi.org/10.1073/pnas.152137299</w:t>
        </w:r>
      </w:hyperlink>
      <w:r>
        <w:t xml:space="preserve">.</w:t>
      </w:r>
    </w:p>
    <w:bookmarkEnd w:id="241"/>
    <w:bookmarkStart w:id="243" w:name="X94a05d6c1796941a22489b3a2d4fa9c498a5ca2"/>
    <w:p>
      <w:pPr>
        <w:pStyle w:val="Bibliography"/>
      </w:pPr>
      <w:r>
        <w:t xml:space="preserve">56. R. Nathan, N. Sapir, A. Trakhtenbrot, G. G. Katul, G. Bohrer, M. Otte, R. Avissar, M. B. Soons, H. S. Horn, M. Wikelski, and S. A. Levin. Long-distance biological transport processes through the air: Can nature’s complexity be unfolded in silico?</w:t>
      </w:r>
      <w:r>
        <w:t xml:space="preserve"> </w:t>
      </w:r>
      <w:r>
        <w:rPr>
          <w:i/>
          <w:iCs/>
        </w:rPr>
        <w:t xml:space="preserve">Diversity and Distributions</w:t>
      </w:r>
      <w:r>
        <w:t xml:space="preserve">,</w:t>
      </w:r>
      <w:r>
        <w:t xml:space="preserve"> </w:t>
      </w:r>
      <w:r>
        <w:rPr>
          <w:b/>
          <w:bCs/>
        </w:rPr>
        <w:t xml:space="preserve">2005</w:t>
      </w:r>
      <w:r>
        <w:t xml:space="preserve">,</w:t>
      </w:r>
      <w:r>
        <w:t xml:space="preserve"> </w:t>
      </w:r>
      <w:r>
        <w:rPr>
          <w:i/>
          <w:iCs/>
        </w:rPr>
        <w:t xml:space="preserve">11</w:t>
      </w:r>
      <w:r>
        <w:t xml:space="preserve">, (2), 131–137.</w:t>
      </w:r>
      <w:r>
        <w:t xml:space="preserve"> </w:t>
      </w:r>
      <w:hyperlink r:id="rId242">
        <w:r>
          <w:rPr>
            <w:rStyle w:val="Hyperlink"/>
          </w:rPr>
          <w:t xml:space="preserve">https://doi.org/10.1111/j.1366-9516.2005.00146.x</w:t>
        </w:r>
      </w:hyperlink>
      <w:r>
        <w:t xml:space="preserve">.</w:t>
      </w:r>
    </w:p>
    <w:bookmarkEnd w:id="243"/>
    <w:bookmarkStart w:id="245" w:name="X237d14614a4d6f4d9de640dcd653ce86ed77ba6"/>
    <w:p>
      <w:pPr>
        <w:pStyle w:val="Bibliography"/>
      </w:pPr>
      <w:r>
        <w:t xml:space="preserve">57. Xerces Society. Western</w:t>
      </w:r>
      <w:r>
        <w:t xml:space="preserve"> </w:t>
      </w:r>
      <w:r>
        <w:t xml:space="preserve">Monarch Thanksgiving Count</w:t>
      </w:r>
      <w:r>
        <w:t xml:space="preserve"> </w:t>
      </w:r>
      <w:r>
        <w:t xml:space="preserve">and</w:t>
      </w:r>
      <w:r>
        <w:t xml:space="preserve"> </w:t>
      </w:r>
      <w:r>
        <w:t xml:space="preserve">New Year</w:t>
      </w:r>
      <w:r>
        <w:t xml:space="preserve">’s</w:t>
      </w:r>
      <w:r>
        <w:t xml:space="preserve"> </w:t>
      </w:r>
      <w:r>
        <w:t xml:space="preserve">Count Data</w:t>
      </w:r>
      <w:r>
        <w:t xml:space="preserve">, 1997-2025. 2025.</w:t>
      </w:r>
      <w:r>
        <w:t xml:space="preserve"> </w:t>
      </w:r>
      <w:hyperlink r:id="rId244">
        <w:r>
          <w:rPr>
            <w:rStyle w:val="Hyperlink"/>
          </w:rPr>
          <w:t xml:space="preserve">https://westernmonarchcount.org/</w:t>
        </w:r>
      </w:hyperlink>
      <w:r>
        <w:t xml:space="preserve">.</w:t>
      </w:r>
    </w:p>
    <w:bookmarkEnd w:id="245"/>
    <w:bookmarkStart w:id="247" w:name="X3ce32df873ae1f48bad3701e176990c99a21576"/>
    <w:p>
      <w:pPr>
        <w:pStyle w:val="Bibliography"/>
      </w:pPr>
      <w:r>
        <w:t xml:space="preserve">58. N. I. Hristov, D. Nikolaidis, T. Y. Hubel, and L. C. Allen. Estimating</w:t>
      </w:r>
      <w:r>
        <w:t xml:space="preserve"> </w:t>
      </w:r>
      <w:r>
        <w:t xml:space="preserve">Overwintering Monarch Butterfly Populations Using Terrestrial LiDAR Scanning</w:t>
      </w:r>
      <w:r>
        <w:t xml:space="preserve">.</w:t>
      </w:r>
      <w:r>
        <w:t xml:space="preserve"> </w:t>
      </w:r>
      <w:r>
        <w:rPr>
          <w:i/>
          <w:iCs/>
        </w:rPr>
        <w:t xml:space="preserve">Frontiers in Ecology and Evolution</w:t>
      </w:r>
      <w:r>
        <w:t xml:space="preserve">,</w:t>
      </w:r>
      <w:r>
        <w:t xml:space="preserve"> </w:t>
      </w:r>
      <w:r>
        <w:rPr>
          <w:b/>
          <w:bCs/>
        </w:rPr>
        <w:t xml:space="preserve">2019</w:t>
      </w:r>
      <w:r>
        <w:t xml:space="preserve">,</w:t>
      </w:r>
      <w:r>
        <w:t xml:space="preserve"> </w:t>
      </w:r>
      <w:r>
        <w:rPr>
          <w:i/>
          <w:iCs/>
        </w:rPr>
        <w:t xml:space="preserve">7</w:t>
      </w:r>
      <w:r>
        <w:t xml:space="preserve">.</w:t>
      </w:r>
      <w:r>
        <w:t xml:space="preserve"> </w:t>
      </w:r>
      <w:hyperlink r:id="rId246">
        <w:r>
          <w:rPr>
            <w:rStyle w:val="Hyperlink"/>
          </w:rPr>
          <w:t xml:space="preserve">https://www.frontiersin.org/articles/10.3389/fevo.2019.00266</w:t>
        </w:r>
      </w:hyperlink>
      <w:r>
        <w:t xml:space="preserve">.</w:t>
      </w:r>
    </w:p>
    <w:bookmarkEnd w:id="247"/>
    <w:bookmarkStart w:id="248" w:name="ref-gatesSpectralPropertiesPlants1965"/>
    <w:p>
      <w:pPr>
        <w:pStyle w:val="Bibliography"/>
      </w:pPr>
      <w:r>
        <w:t xml:space="preserve">59. D. M. Gates, H. J. Keegan, J. C. Schleter, and V. R. Weidner. Spectral properties of plants.</w:t>
      </w:r>
      <w:r>
        <w:t xml:space="preserve"> </w:t>
      </w:r>
      <w:r>
        <w:rPr>
          <w:i/>
          <w:iCs/>
        </w:rPr>
        <w:t xml:space="preserve">Applied Optics</w:t>
      </w:r>
      <w:r>
        <w:t xml:space="preserve">,</w:t>
      </w:r>
      <w:r>
        <w:t xml:space="preserve"> </w:t>
      </w:r>
      <w:r>
        <w:rPr>
          <w:b/>
          <w:bCs/>
        </w:rPr>
        <w:t xml:space="preserve">1965</w:t>
      </w:r>
      <w:r>
        <w:t xml:space="preserve">,</w:t>
      </w:r>
      <w:r>
        <w:t xml:space="preserve"> </w:t>
      </w:r>
      <w:r>
        <w:rPr>
          <w:i/>
          <w:iCs/>
        </w:rPr>
        <w:t xml:space="preserve">4</w:t>
      </w:r>
      <w:r>
        <w:t xml:space="preserve">, (1), 11–20.</w:t>
      </w:r>
    </w:p>
    <w:bookmarkEnd w:id="248"/>
    <w:bookmarkStart w:id="250" w:name="ref-thajAnalysisOpticalProperties2025"/>
    <w:p>
      <w:pPr>
        <w:pStyle w:val="Bibliography"/>
      </w:pPr>
      <w:r>
        <w:t xml:space="preserve">60. A. Thaj and G. Prasad. Analysis of the optical properties of butterflies using ultraviolet–visible near-infrared spectroscopy.</w:t>
      </w:r>
      <w:r>
        <w:t xml:space="preserve"> </w:t>
      </w:r>
      <w:r>
        <w:rPr>
          <w:i/>
          <w:iCs/>
        </w:rPr>
        <w:t xml:space="preserve">Applied Spectroscopy</w:t>
      </w:r>
      <w:r>
        <w:t xml:space="preserve">,</w:t>
      </w:r>
      <w:r>
        <w:t xml:space="preserve"> </w:t>
      </w:r>
      <w:r>
        <w:rPr>
          <w:b/>
          <w:bCs/>
        </w:rPr>
        <w:t xml:space="preserve">2025</w:t>
      </w:r>
      <w:r>
        <w:t xml:space="preserve">,</w:t>
      </w:r>
      <w:r>
        <w:t xml:space="preserve"> </w:t>
      </w:r>
      <w:r>
        <w:rPr>
          <w:i/>
          <w:iCs/>
        </w:rPr>
        <w:t xml:space="preserve">80</w:t>
      </w:r>
      <w:r>
        <w:t xml:space="preserve">, 198–207.</w:t>
      </w:r>
      <w:r>
        <w:t xml:space="preserve"> </w:t>
      </w:r>
      <w:hyperlink r:id="rId249">
        <w:r>
          <w:rPr>
            <w:rStyle w:val="Hyperlink"/>
          </w:rPr>
          <w:t xml:space="preserve">https://doi.org/10.1177/00037028251397426</w:t>
        </w:r>
      </w:hyperlink>
      <w:r>
        <w:t xml:space="preserve">.</w:t>
      </w:r>
    </w:p>
    <w:bookmarkEnd w:id="250"/>
    <w:bookmarkStart w:id="251" w:name="ref-browerMonarchButterflyClusters2008"/>
    <w:p>
      <w:pPr>
        <w:pStyle w:val="Bibliography"/>
      </w:pPr>
      <w:r>
        <w:t xml:space="preserve">61. L. P. Brower, E. Williams, L. Fink, R. Zubieta, and M. Ramírez. Monarch butterfly clusters provide microclimatic advantages during the overwintering season in</w:t>
      </w:r>
      <w:r>
        <w:t xml:space="preserve"> </w:t>
      </w:r>
      <w:r>
        <w:t xml:space="preserve">Mexico</w:t>
      </w:r>
      <w:r>
        <w:t xml:space="preserve">.</w:t>
      </w:r>
      <w:r>
        <w:t xml:space="preserve"> </w:t>
      </w:r>
      <w:r>
        <w:rPr>
          <w:i/>
          <w:iCs/>
        </w:rPr>
        <w:t xml:space="preserve">Journal of the Lepidopterists’ Society</w:t>
      </w:r>
      <w:r>
        <w:t xml:space="preserve">,</w:t>
      </w:r>
      <w:r>
        <w:t xml:space="preserve"> </w:t>
      </w:r>
      <w:r>
        <w:rPr>
          <w:b/>
          <w:bCs/>
        </w:rPr>
        <w:t xml:space="preserve">2008</w:t>
      </w:r>
      <w:r>
        <w:t xml:space="preserve">,</w:t>
      </w:r>
      <w:r>
        <w:t xml:space="preserve"> </w:t>
      </w:r>
      <w:r>
        <w:rPr>
          <w:i/>
          <w:iCs/>
        </w:rPr>
        <w:t xml:space="preserve">62</w:t>
      </w:r>
      <w:r>
        <w:t xml:space="preserve">, 177–188.</w:t>
      </w:r>
    </w:p>
    <w:bookmarkEnd w:id="251"/>
    <w:bookmarkStart w:id="253" w:name="ref-kingsolver_thermoregulation_1983"/>
    <w:p>
      <w:pPr>
        <w:pStyle w:val="Bibliography"/>
      </w:pPr>
      <w:r>
        <w:t xml:space="preserve">62. J. G. Kingsolver. Thermoregulation and flight in</w:t>
      </w:r>
      <w:r>
        <w:t xml:space="preserve"> </w:t>
      </w:r>
      <w:r>
        <w:t xml:space="preserve">Colias</w:t>
      </w:r>
      <w:r>
        <w:t xml:space="preserve"> </w:t>
      </w:r>
      <w:r>
        <w:t xml:space="preserve">butterflies: Elevational patterns and mechanistic limitations.</w:t>
      </w:r>
      <w:r>
        <w:t xml:space="preserve"> </w:t>
      </w:r>
      <w:r>
        <w:rPr>
          <w:i/>
          <w:iCs/>
        </w:rPr>
        <w:t xml:space="preserve">Ecology</w:t>
      </w:r>
      <w:r>
        <w:t xml:space="preserve">,</w:t>
      </w:r>
      <w:r>
        <w:t xml:space="preserve"> </w:t>
      </w:r>
      <w:r>
        <w:rPr>
          <w:b/>
          <w:bCs/>
        </w:rPr>
        <w:t xml:space="preserve">1983</w:t>
      </w:r>
      <w:r>
        <w:t xml:space="preserve">,</w:t>
      </w:r>
      <w:r>
        <w:t xml:space="preserve"> </w:t>
      </w:r>
      <w:r>
        <w:rPr>
          <w:i/>
          <w:iCs/>
        </w:rPr>
        <w:t xml:space="preserve">64</w:t>
      </w:r>
      <w:r>
        <w:t xml:space="preserve">, (3), 534–545.</w:t>
      </w:r>
      <w:r>
        <w:t xml:space="preserve"> </w:t>
      </w:r>
      <w:hyperlink r:id="rId252">
        <w:r>
          <w:rPr>
            <w:rStyle w:val="Hyperlink"/>
          </w:rPr>
          <w:t xml:space="preserve">https://doi.org/10.2307/1939973</w:t>
        </w:r>
      </w:hyperlink>
      <w:r>
        <w:t xml:space="preserve">.</w:t>
      </w:r>
    </w:p>
    <w:bookmarkEnd w:id="253"/>
    <w:bookmarkStart w:id="255" w:name="ref-wells_importance_1990"/>
    <w:p>
      <w:pPr>
        <w:pStyle w:val="Bibliography"/>
      </w:pPr>
      <w:r>
        <w:t xml:space="preserve">63. H. Wells, P. H. Wells, and P. Cook. The importance of overwinter aggregation for reproductive success of monarch butterflies (</w:t>
      </w:r>
      <w:r>
        <w:t xml:space="preserve">Danaus</w:t>
      </w:r>
      <w:r>
        <w:t xml:space="preserve"> </w:t>
      </w:r>
      <w:r>
        <w:t xml:space="preserve">plexippus</w:t>
      </w:r>
      <w:r>
        <w:t xml:space="preserve"> </w:t>
      </w:r>
      <w:r>
        <w:t xml:space="preserve">L</w:t>
      </w:r>
      <w:r>
        <w:t xml:space="preserve">.).</w:t>
      </w:r>
      <w:r>
        <w:t xml:space="preserve"> </w:t>
      </w:r>
      <w:r>
        <w:rPr>
          <w:i/>
          <w:iCs/>
        </w:rPr>
        <w:t xml:space="preserve">Journal of Theoretical Biology</w:t>
      </w:r>
      <w:r>
        <w:t xml:space="preserve">,</w:t>
      </w:r>
      <w:r>
        <w:t xml:space="preserve"> </w:t>
      </w:r>
      <w:r>
        <w:rPr>
          <w:b/>
          <w:bCs/>
        </w:rPr>
        <w:t xml:space="preserve">1990</w:t>
      </w:r>
      <w:r>
        <w:t xml:space="preserve">,</w:t>
      </w:r>
      <w:r>
        <w:t xml:space="preserve"> </w:t>
      </w:r>
      <w:r>
        <w:rPr>
          <w:i/>
          <w:iCs/>
        </w:rPr>
        <w:t xml:space="preserve">147</w:t>
      </w:r>
      <w:r>
        <w:t xml:space="preserve">, (1), 115–131.</w:t>
      </w:r>
      <w:r>
        <w:t xml:space="preserve"> </w:t>
      </w:r>
      <w:hyperlink r:id="rId254">
        <w:r>
          <w:rPr>
            <w:rStyle w:val="Hyperlink"/>
          </w:rPr>
          <w:t xml:space="preserve">https://doi.org/10.1016/S0022-5193(05)80255-3</w:t>
        </w:r>
      </w:hyperlink>
      <w:r>
        <w:t xml:space="preserve">.</w:t>
      </w:r>
    </w:p>
    <w:bookmarkEnd w:id="255"/>
    <w:bookmarkStart w:id="257" w:name="ref-freyClusteringPatternsMonarch1992"/>
    <w:p>
      <w:pPr>
        <w:pStyle w:val="Bibliography"/>
      </w:pPr>
      <w:r>
        <w:t xml:space="preserve">64. D. Frey, K. L. H. Leong, D. Fredericks, and S. Raskowitz. Clustering</w:t>
      </w:r>
      <w:r>
        <w:t xml:space="preserve"> </w:t>
      </w:r>
      <w:r>
        <w:t xml:space="preserve">Patterns</w:t>
      </w:r>
      <w:r>
        <w:t xml:space="preserve"> </w:t>
      </w:r>
      <w:r>
        <w:t xml:space="preserve">of</w:t>
      </w:r>
      <w:r>
        <w:t xml:space="preserve"> </w:t>
      </w:r>
      <w:r>
        <w:t xml:space="preserve">Monarch Butterflies</w:t>
      </w:r>
      <w:r>
        <w:t xml:space="preserve"> </w:t>
      </w:r>
      <w:r>
        <w:t xml:space="preserve">(</w:t>
      </w:r>
      <w:r>
        <w:t xml:space="preserve">Lepidoptera</w:t>
      </w:r>
      <w:r>
        <w:t xml:space="preserve">:</w:t>
      </w:r>
      <w:r>
        <w:t xml:space="preserve"> </w:t>
      </w:r>
      <w:r>
        <w:t xml:space="preserve">Danaidae</w:t>
      </w:r>
      <w:r>
        <w:t xml:space="preserve">) at</w:t>
      </w:r>
      <w:r>
        <w:t xml:space="preserve"> </w:t>
      </w:r>
      <w:r>
        <w:t xml:space="preserve">Two California Central Coast Overwintering Sites</w:t>
      </w:r>
      <w:r>
        <w:t xml:space="preserve">.</w:t>
      </w:r>
      <w:r>
        <w:t xml:space="preserve"> </w:t>
      </w:r>
      <w:r>
        <w:rPr>
          <w:i/>
          <w:iCs/>
        </w:rPr>
        <w:t xml:space="preserve">Annals of the Entomological Society of America</w:t>
      </w:r>
      <w:r>
        <w:t xml:space="preserve">,</w:t>
      </w:r>
      <w:r>
        <w:t xml:space="preserve"> </w:t>
      </w:r>
      <w:r>
        <w:rPr>
          <w:b/>
          <w:bCs/>
        </w:rPr>
        <w:t xml:space="preserve">1992</w:t>
      </w:r>
      <w:r>
        <w:t xml:space="preserve">,</w:t>
      </w:r>
      <w:r>
        <w:t xml:space="preserve"> </w:t>
      </w:r>
      <w:r>
        <w:rPr>
          <w:i/>
          <w:iCs/>
        </w:rPr>
        <w:t xml:space="preserve">85</w:t>
      </w:r>
      <w:r>
        <w:t xml:space="preserve">, (2), 148–153.</w:t>
      </w:r>
      <w:r>
        <w:t xml:space="preserve"> </w:t>
      </w:r>
      <w:hyperlink r:id="rId256">
        <w:r>
          <w:rPr>
            <w:rStyle w:val="Hyperlink"/>
          </w:rPr>
          <w:t xml:space="preserve">https://doi.org/10.1093/aesa/85.2.148</w:t>
        </w:r>
      </w:hyperlink>
      <w:r>
        <w:t xml:space="preserve">.</w:t>
      </w:r>
    </w:p>
    <w:bookmarkEnd w:id="257"/>
    <w:bookmarkStart w:id="259" w:name="ref-berdahlEmergentSensingComplex2013"/>
    <w:p>
      <w:pPr>
        <w:pStyle w:val="Bibliography"/>
      </w:pPr>
      <w:r>
        <w:t xml:space="preserve">65. A. Berdahl, C. J. Torney, C. C. Ioannou, J. J. Faria, and I. D. Couzin. Emergent</w:t>
      </w:r>
      <w:r>
        <w:t xml:space="preserve"> </w:t>
      </w:r>
      <w:r>
        <w:t xml:space="preserve">Sensing</w:t>
      </w:r>
      <w:r>
        <w:t xml:space="preserve"> </w:t>
      </w:r>
      <w:r>
        <w:t xml:space="preserve">of</w:t>
      </w:r>
      <w:r>
        <w:t xml:space="preserve"> </w:t>
      </w:r>
      <w:r>
        <w:t xml:space="preserve">Complex Environments</w:t>
      </w:r>
      <w:r>
        <w:t xml:space="preserve"> </w:t>
      </w:r>
      <w:r>
        <w:t xml:space="preserve">by</w:t>
      </w:r>
      <w:r>
        <w:t xml:space="preserve"> </w:t>
      </w:r>
      <w:r>
        <w:t xml:space="preserve">Mobile Animal Groups</w:t>
      </w:r>
      <w:r>
        <w:t xml:space="preserve">.</w:t>
      </w:r>
      <w:r>
        <w:t xml:space="preserve"> </w:t>
      </w:r>
      <w:r>
        <w:rPr>
          <w:i/>
          <w:iCs/>
        </w:rPr>
        <w:t xml:space="preserve">Science</w:t>
      </w:r>
      <w:r>
        <w:t xml:space="preserve">,</w:t>
      </w:r>
      <w:r>
        <w:t xml:space="preserve"> </w:t>
      </w:r>
      <w:r>
        <w:rPr>
          <w:b/>
          <w:bCs/>
        </w:rPr>
        <w:t xml:space="preserve">2013</w:t>
      </w:r>
      <w:r>
        <w:t xml:space="preserve">,</w:t>
      </w:r>
      <w:r>
        <w:t xml:space="preserve"> </w:t>
      </w:r>
      <w:r>
        <w:rPr>
          <w:i/>
          <w:iCs/>
        </w:rPr>
        <w:t xml:space="preserve">339</w:t>
      </w:r>
      <w:r>
        <w:t xml:space="preserve">, (6119), 574–576.</w:t>
      </w:r>
      <w:r>
        <w:t xml:space="preserve"> </w:t>
      </w:r>
      <w:hyperlink r:id="rId258">
        <w:r>
          <w:rPr>
            <w:rStyle w:val="Hyperlink"/>
          </w:rPr>
          <w:t xml:space="preserve">https://doi.org/10.1126/science.1225883</w:t>
        </w:r>
      </w:hyperlink>
      <w:r>
        <w:t xml:space="preserve">.</w:t>
      </w:r>
    </w:p>
    <w:bookmarkEnd w:id="259"/>
    <w:bookmarkStart w:id="261" w:name="ref-sears_configuration_2016"/>
    <w:p>
      <w:pPr>
        <w:pStyle w:val="Bibliography"/>
      </w:pPr>
      <w:r>
        <w:t xml:space="preserve">66. M. W. Sears, M. J. Angilletta Jr., M. S. Schuler, J. Borchert, K. F. Dilliplane, M. Stegman, T. W. Rusch, and W. A. Mitchell. Configuration of the thermal landscape determines thermoregulatory performance of ectotherms.</w:t>
      </w:r>
      <w:r>
        <w:t xml:space="preserve"> </w:t>
      </w:r>
      <w:r>
        <w:rPr>
          <w:i/>
          <w:iCs/>
        </w:rPr>
        <w:t xml:space="preserve">Proceedings of the National Academy of Sciences</w:t>
      </w:r>
      <w:r>
        <w:t xml:space="preserve">,</w:t>
      </w:r>
      <w:r>
        <w:t xml:space="preserve"> </w:t>
      </w:r>
      <w:r>
        <w:rPr>
          <w:b/>
          <w:bCs/>
        </w:rPr>
        <w:t xml:space="preserve">2016</w:t>
      </w:r>
      <w:r>
        <w:t xml:space="preserve">,</w:t>
      </w:r>
      <w:r>
        <w:t xml:space="preserve"> </w:t>
      </w:r>
      <w:r>
        <w:rPr>
          <w:i/>
          <w:iCs/>
        </w:rPr>
        <w:t xml:space="preserve">113</w:t>
      </w:r>
      <w:r>
        <w:t xml:space="preserve">, (38), 10595–10600.</w:t>
      </w:r>
      <w:r>
        <w:t xml:space="preserve"> </w:t>
      </w:r>
      <w:hyperlink r:id="rId260">
        <w:r>
          <w:rPr>
            <w:rStyle w:val="Hyperlink"/>
          </w:rPr>
          <w:t xml:space="preserve">https://doi.org/10.1073/pnas.1604824113</w:t>
        </w:r>
      </w:hyperlink>
      <w:r>
        <w:t xml:space="preserve">.</w:t>
      </w:r>
    </w:p>
    <w:bookmarkEnd w:id="261"/>
    <w:bookmarkEnd w:id="262"/>
    <w:bookmarkEnd w:id="263"/>
    <w:sectPr w:rsidR="008E5555">
      <w:footnotePr>
        <w:numRestart w:val="eachSect"/>
      </w:footnotePr>
      <w:pgSz w:h="15840" w:w="12240"/>
      <w:pgMar w:bottom="1440" w:footer="720" w:gutter="0" w:header="720" w:left="1440" w:right="1440" w:top="144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Times">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39062618"/>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79FC4302"/>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789935694" w:numId="1">
    <w:abstractNumId w:val="0"/>
  </w:num>
  <w:num w16cid:durableId="793906812" w:numId="2">
    <w:abstractNumId w:val="1"/>
  </w:num>
  <w:num w16cid:durableId="630867764" w:numId="3">
    <w:abstractNumId w:val="1"/>
  </w:num>
  <w:num w16cid:durableId="2047097011" w:numId="4">
    <w:abstractNumId w:val="1"/>
  </w:num>
  <w:num w16cid:durableId="545485087" w:numId="5">
    <w:abstractNumId w:val="1"/>
  </w:num>
  <w:num w16cid:durableId="98333144" w:numId="6">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555"/>
    <w:rsid w:val="000018D3"/>
    <w:rsid w:val="00104F8F"/>
    <w:rsid w:val="002023A9"/>
    <w:rsid w:val="0025485C"/>
    <w:rsid w:val="00400BAB"/>
    <w:rsid w:val="004214DC"/>
    <w:rsid w:val="004A1908"/>
    <w:rsid w:val="004B7AB2"/>
    <w:rsid w:val="00510F41"/>
    <w:rsid w:val="005163EA"/>
    <w:rsid w:val="005A40CC"/>
    <w:rsid w:val="005BD6E7"/>
    <w:rsid w:val="00626422"/>
    <w:rsid w:val="0068D73E"/>
    <w:rsid w:val="006B28FA"/>
    <w:rsid w:val="00796EDB"/>
    <w:rsid w:val="007C40DB"/>
    <w:rsid w:val="0086E478"/>
    <w:rsid w:val="008E5555"/>
    <w:rsid w:val="008F4949"/>
    <w:rsid w:val="00A2297A"/>
    <w:rsid w:val="00A77334"/>
    <w:rsid w:val="00AB4CEF"/>
    <w:rsid w:val="00AD5B64"/>
    <w:rsid w:val="00B51A34"/>
    <w:rsid w:val="00B57DB4"/>
    <w:rsid w:val="00B94F59"/>
    <w:rsid w:val="00BE6C75"/>
    <w:rsid w:val="00C47982"/>
    <w:rsid w:val="00CA72DF"/>
    <w:rsid w:val="00CB5D2C"/>
    <w:rsid w:val="00CD7E59"/>
    <w:rsid w:val="00D105E7"/>
    <w:rsid w:val="00D214D3"/>
    <w:rsid w:val="00D349C4"/>
    <w:rsid w:val="00DC6E55"/>
    <w:rsid w:val="00E3F91B"/>
    <w:rsid w:val="00E67DE8"/>
    <w:rsid w:val="00F25946"/>
    <w:rsid w:val="01061285"/>
    <w:rsid w:val="0129D193"/>
    <w:rsid w:val="0132AC6D"/>
    <w:rsid w:val="014C372B"/>
    <w:rsid w:val="0152CC0E"/>
    <w:rsid w:val="01551FE8"/>
    <w:rsid w:val="01554276"/>
    <w:rsid w:val="0155EABE"/>
    <w:rsid w:val="015DF562"/>
    <w:rsid w:val="01A8EEB4"/>
    <w:rsid w:val="01BEB781"/>
    <w:rsid w:val="01E8DAD0"/>
    <w:rsid w:val="01FDAE78"/>
    <w:rsid w:val="021B22B4"/>
    <w:rsid w:val="0243F1C9"/>
    <w:rsid w:val="02556B16"/>
    <w:rsid w:val="0280C725"/>
    <w:rsid w:val="02957FD3"/>
    <w:rsid w:val="02A83B23"/>
    <w:rsid w:val="02AECB01"/>
    <w:rsid w:val="02B7E63B"/>
    <w:rsid w:val="02D202E1"/>
    <w:rsid w:val="02DB5C7D"/>
    <w:rsid w:val="02DBFCCD"/>
    <w:rsid w:val="02DE4DC2"/>
    <w:rsid w:val="02E409B4"/>
    <w:rsid w:val="030AD080"/>
    <w:rsid w:val="031A1F6E"/>
    <w:rsid w:val="031C14B8"/>
    <w:rsid w:val="031FCB70"/>
    <w:rsid w:val="03437BCA"/>
    <w:rsid w:val="034709A3"/>
    <w:rsid w:val="03749A62"/>
    <w:rsid w:val="0374E7CA"/>
    <w:rsid w:val="038C606B"/>
    <w:rsid w:val="03D9177D"/>
    <w:rsid w:val="040E7163"/>
    <w:rsid w:val="0415CB81"/>
    <w:rsid w:val="041AB33F"/>
    <w:rsid w:val="041CA534"/>
    <w:rsid w:val="0425863C"/>
    <w:rsid w:val="0464899F"/>
    <w:rsid w:val="0494BA6C"/>
    <w:rsid w:val="04C1F46F"/>
    <w:rsid w:val="04E16D30"/>
    <w:rsid w:val="04EAFBF6"/>
    <w:rsid w:val="04F4AA16"/>
    <w:rsid w:val="05273BCB"/>
    <w:rsid w:val="05473DDC"/>
    <w:rsid w:val="055A8FF5"/>
    <w:rsid w:val="057A4D7D"/>
    <w:rsid w:val="05B5683A"/>
    <w:rsid w:val="05C83719"/>
    <w:rsid w:val="05CE88F7"/>
    <w:rsid w:val="06312BA5"/>
    <w:rsid w:val="066419E5"/>
    <w:rsid w:val="066BBBAF"/>
    <w:rsid w:val="06729C66"/>
    <w:rsid w:val="06B5EE6C"/>
    <w:rsid w:val="06C066B9"/>
    <w:rsid w:val="06C6DF69"/>
    <w:rsid w:val="06CFA1AA"/>
    <w:rsid w:val="06E2229A"/>
    <w:rsid w:val="071680A5"/>
    <w:rsid w:val="07211ADC"/>
    <w:rsid w:val="0728FDFD"/>
    <w:rsid w:val="072A7700"/>
    <w:rsid w:val="072DEEEF"/>
    <w:rsid w:val="073DB7F9"/>
    <w:rsid w:val="0746CC5C"/>
    <w:rsid w:val="0765CA3E"/>
    <w:rsid w:val="07ADA605"/>
    <w:rsid w:val="07BC16EF"/>
    <w:rsid w:val="07C24F6F"/>
    <w:rsid w:val="07D4EEBE"/>
    <w:rsid w:val="07E0AEDC"/>
    <w:rsid w:val="07E6B823"/>
    <w:rsid w:val="07EE3A75"/>
    <w:rsid w:val="07EEB6E1"/>
    <w:rsid w:val="082A76A8"/>
    <w:rsid w:val="082F445B"/>
    <w:rsid w:val="0838E249"/>
    <w:rsid w:val="084F9900"/>
    <w:rsid w:val="08791791"/>
    <w:rsid w:val="088002E1"/>
    <w:rsid w:val="08A616ED"/>
    <w:rsid w:val="08AB91C6"/>
    <w:rsid w:val="08B8FAF9"/>
    <w:rsid w:val="08C978B9"/>
    <w:rsid w:val="08CE3611"/>
    <w:rsid w:val="08E929CC"/>
    <w:rsid w:val="08F3E6E9"/>
    <w:rsid w:val="090049C9"/>
    <w:rsid w:val="090F9513"/>
    <w:rsid w:val="091141D3"/>
    <w:rsid w:val="0921BFE4"/>
    <w:rsid w:val="0927BDDD"/>
    <w:rsid w:val="0929AC53"/>
    <w:rsid w:val="0934B77C"/>
    <w:rsid w:val="09829960"/>
    <w:rsid w:val="099D84C1"/>
    <w:rsid w:val="09A1A2F2"/>
    <w:rsid w:val="09ADE4EE"/>
    <w:rsid w:val="09DC4F61"/>
    <w:rsid w:val="09E1A040"/>
    <w:rsid w:val="09E9D9D7"/>
    <w:rsid w:val="0A1343BB"/>
    <w:rsid w:val="0A16EDD2"/>
    <w:rsid w:val="0A1CD4C5"/>
    <w:rsid w:val="0A437DD9"/>
    <w:rsid w:val="0A462703"/>
    <w:rsid w:val="0A464657"/>
    <w:rsid w:val="0A69C16A"/>
    <w:rsid w:val="0A6B65CB"/>
    <w:rsid w:val="0A752229"/>
    <w:rsid w:val="0A772160"/>
    <w:rsid w:val="0A81B49E"/>
    <w:rsid w:val="0A90FDD2"/>
    <w:rsid w:val="0A979983"/>
    <w:rsid w:val="0AA41414"/>
    <w:rsid w:val="0AB3E085"/>
    <w:rsid w:val="0AC13F3E"/>
    <w:rsid w:val="0AD4D2A5"/>
    <w:rsid w:val="0AE7887A"/>
    <w:rsid w:val="0AF259CD"/>
    <w:rsid w:val="0B094DCB"/>
    <w:rsid w:val="0B1339F2"/>
    <w:rsid w:val="0B218731"/>
    <w:rsid w:val="0B238958"/>
    <w:rsid w:val="0B2E0604"/>
    <w:rsid w:val="0B2F3483"/>
    <w:rsid w:val="0B333A8E"/>
    <w:rsid w:val="0B6F0DDC"/>
    <w:rsid w:val="0BA62F6C"/>
    <w:rsid w:val="0BD4AF88"/>
    <w:rsid w:val="0BE1A698"/>
    <w:rsid w:val="0C0E1D4D"/>
    <w:rsid w:val="0C103DB5"/>
    <w:rsid w:val="0C14BCF7"/>
    <w:rsid w:val="0C2DFC93"/>
    <w:rsid w:val="0C31892D"/>
    <w:rsid w:val="0C49440E"/>
    <w:rsid w:val="0C4B0EDD"/>
    <w:rsid w:val="0C54D14F"/>
    <w:rsid w:val="0C5E127A"/>
    <w:rsid w:val="0C613C7B"/>
    <w:rsid w:val="0C6B2C97"/>
    <w:rsid w:val="0C77384A"/>
    <w:rsid w:val="0C85C83F"/>
    <w:rsid w:val="0C95417C"/>
    <w:rsid w:val="0CAFB934"/>
    <w:rsid w:val="0CD21F12"/>
    <w:rsid w:val="0D4593E4"/>
    <w:rsid w:val="0DBA2482"/>
    <w:rsid w:val="0DC05C15"/>
    <w:rsid w:val="0DC286F0"/>
    <w:rsid w:val="0DE2A1FF"/>
    <w:rsid w:val="0DE43E2F"/>
    <w:rsid w:val="0E040C09"/>
    <w:rsid w:val="0E2BC47B"/>
    <w:rsid w:val="0E4BA734"/>
    <w:rsid w:val="0E53EC96"/>
    <w:rsid w:val="0E5DD867"/>
    <w:rsid w:val="0E8957D2"/>
    <w:rsid w:val="0E8C612B"/>
    <w:rsid w:val="0ECBB589"/>
    <w:rsid w:val="0EE17AEA"/>
    <w:rsid w:val="0EE4A160"/>
    <w:rsid w:val="0EF173B5"/>
    <w:rsid w:val="0F06736F"/>
    <w:rsid w:val="0F1F6C56"/>
    <w:rsid w:val="0F3720CE"/>
    <w:rsid w:val="0F5633BC"/>
    <w:rsid w:val="0F710BAA"/>
    <w:rsid w:val="0F755B1E"/>
    <w:rsid w:val="0F853C5A"/>
    <w:rsid w:val="0F8EB0E0"/>
    <w:rsid w:val="0F944025"/>
    <w:rsid w:val="0FA137A9"/>
    <w:rsid w:val="0FCD313E"/>
    <w:rsid w:val="0FD07D85"/>
    <w:rsid w:val="0FEEF4F2"/>
    <w:rsid w:val="10193BD7"/>
    <w:rsid w:val="102068EA"/>
    <w:rsid w:val="105DB5CF"/>
    <w:rsid w:val="10771132"/>
    <w:rsid w:val="10867A6A"/>
    <w:rsid w:val="10870E5B"/>
    <w:rsid w:val="109EFC19"/>
    <w:rsid w:val="10BD3D7A"/>
    <w:rsid w:val="10CBA625"/>
    <w:rsid w:val="10D77AC4"/>
    <w:rsid w:val="10EB276F"/>
    <w:rsid w:val="10EF2043"/>
    <w:rsid w:val="11040D7C"/>
    <w:rsid w:val="1110E9B6"/>
    <w:rsid w:val="11394E7A"/>
    <w:rsid w:val="1144FE1F"/>
    <w:rsid w:val="115D1157"/>
    <w:rsid w:val="116E631F"/>
    <w:rsid w:val="1177C91A"/>
    <w:rsid w:val="117E11E4"/>
    <w:rsid w:val="119A1D67"/>
    <w:rsid w:val="119ADB84"/>
    <w:rsid w:val="11A73DA4"/>
    <w:rsid w:val="11A77C31"/>
    <w:rsid w:val="11C0A51A"/>
    <w:rsid w:val="11C21888"/>
    <w:rsid w:val="11C239DB"/>
    <w:rsid w:val="11D7B8CC"/>
    <w:rsid w:val="11E2A044"/>
    <w:rsid w:val="120B0971"/>
    <w:rsid w:val="122AB09A"/>
    <w:rsid w:val="1265F135"/>
    <w:rsid w:val="12712A2F"/>
    <w:rsid w:val="1273FB7C"/>
    <w:rsid w:val="127F88D7"/>
    <w:rsid w:val="1285F904"/>
    <w:rsid w:val="12A95B03"/>
    <w:rsid w:val="12B1C191"/>
    <w:rsid w:val="12C82819"/>
    <w:rsid w:val="12CBCA07"/>
    <w:rsid w:val="12FAAD27"/>
    <w:rsid w:val="131FB35E"/>
    <w:rsid w:val="13206839"/>
    <w:rsid w:val="13289DF1"/>
    <w:rsid w:val="132B4D8B"/>
    <w:rsid w:val="1341BD5E"/>
    <w:rsid w:val="1345D1BD"/>
    <w:rsid w:val="1364DF7C"/>
    <w:rsid w:val="1380453C"/>
    <w:rsid w:val="1387FFEF"/>
    <w:rsid w:val="138E4051"/>
    <w:rsid w:val="139B034A"/>
    <w:rsid w:val="13A088BF"/>
    <w:rsid w:val="13A1FEA0"/>
    <w:rsid w:val="13B16116"/>
    <w:rsid w:val="13B3FC5F"/>
    <w:rsid w:val="13B4DDCF"/>
    <w:rsid w:val="14067D45"/>
    <w:rsid w:val="140B8E6C"/>
    <w:rsid w:val="1427D10E"/>
    <w:rsid w:val="14508817"/>
    <w:rsid w:val="146A5A68"/>
    <w:rsid w:val="148137CB"/>
    <w:rsid w:val="148E7E76"/>
    <w:rsid w:val="14A342EF"/>
    <w:rsid w:val="14AE9A5A"/>
    <w:rsid w:val="14BCA79B"/>
    <w:rsid w:val="14C4851B"/>
    <w:rsid w:val="14F3F5BF"/>
    <w:rsid w:val="14FAF8D2"/>
    <w:rsid w:val="14FD02D6"/>
    <w:rsid w:val="1505592A"/>
    <w:rsid w:val="1524C0B5"/>
    <w:rsid w:val="1549C9BA"/>
    <w:rsid w:val="154B2069"/>
    <w:rsid w:val="1551BDF9"/>
    <w:rsid w:val="155BFC1A"/>
    <w:rsid w:val="156A69E3"/>
    <w:rsid w:val="15713048"/>
    <w:rsid w:val="15720B42"/>
    <w:rsid w:val="1577B4C7"/>
    <w:rsid w:val="159CD335"/>
    <w:rsid w:val="15A4AF46"/>
    <w:rsid w:val="15BAED42"/>
    <w:rsid w:val="15BC92B3"/>
    <w:rsid w:val="15F4C4BF"/>
    <w:rsid w:val="15F627BB"/>
    <w:rsid w:val="1607F1F9"/>
    <w:rsid w:val="16094CA7"/>
    <w:rsid w:val="16156E7B"/>
    <w:rsid w:val="16190072"/>
    <w:rsid w:val="16215193"/>
    <w:rsid w:val="162BB200"/>
    <w:rsid w:val="163366F7"/>
    <w:rsid w:val="1692B642"/>
    <w:rsid w:val="16A28C68"/>
    <w:rsid w:val="16AA5274"/>
    <w:rsid w:val="16B00CDA"/>
    <w:rsid w:val="16B1F58C"/>
    <w:rsid w:val="16BFBE18"/>
    <w:rsid w:val="16C04E10"/>
    <w:rsid w:val="16E3E9E9"/>
    <w:rsid w:val="16F771F0"/>
    <w:rsid w:val="170E9884"/>
    <w:rsid w:val="171620A0"/>
    <w:rsid w:val="1739985C"/>
    <w:rsid w:val="173B330E"/>
    <w:rsid w:val="17424999"/>
    <w:rsid w:val="1745EACB"/>
    <w:rsid w:val="1761D0D0"/>
    <w:rsid w:val="1768FB17"/>
    <w:rsid w:val="176E96A8"/>
    <w:rsid w:val="177CE8B3"/>
    <w:rsid w:val="178F2D4F"/>
    <w:rsid w:val="1794DC5F"/>
    <w:rsid w:val="1799420F"/>
    <w:rsid w:val="17A468F0"/>
    <w:rsid w:val="17A5F394"/>
    <w:rsid w:val="17D19FCE"/>
    <w:rsid w:val="17D40023"/>
    <w:rsid w:val="17E74308"/>
    <w:rsid w:val="17E7449D"/>
    <w:rsid w:val="17F2A7E1"/>
    <w:rsid w:val="180FAF47"/>
    <w:rsid w:val="181EA1E4"/>
    <w:rsid w:val="18208CAA"/>
    <w:rsid w:val="18326D1F"/>
    <w:rsid w:val="1870B4CF"/>
    <w:rsid w:val="18845915"/>
    <w:rsid w:val="188D6402"/>
    <w:rsid w:val="18A42AB9"/>
    <w:rsid w:val="18BBDF97"/>
    <w:rsid w:val="18C2009F"/>
    <w:rsid w:val="18D61AF5"/>
    <w:rsid w:val="18D8075A"/>
    <w:rsid w:val="18EEEB86"/>
    <w:rsid w:val="190E864A"/>
    <w:rsid w:val="1917D6B0"/>
    <w:rsid w:val="1926D14C"/>
    <w:rsid w:val="1948B6BA"/>
    <w:rsid w:val="194B9058"/>
    <w:rsid w:val="1952035F"/>
    <w:rsid w:val="196DC959"/>
    <w:rsid w:val="19719B3E"/>
    <w:rsid w:val="1972CB21"/>
    <w:rsid w:val="198A2277"/>
    <w:rsid w:val="19AE2175"/>
    <w:rsid w:val="19BB2DB5"/>
    <w:rsid w:val="19C7DED8"/>
    <w:rsid w:val="19D91DCA"/>
    <w:rsid w:val="19F9A95D"/>
    <w:rsid w:val="1A13A011"/>
    <w:rsid w:val="1A214E26"/>
    <w:rsid w:val="1A41E0AE"/>
    <w:rsid w:val="1A7CE8EA"/>
    <w:rsid w:val="1AD39D0D"/>
    <w:rsid w:val="1ADD58AA"/>
    <w:rsid w:val="1B01C774"/>
    <w:rsid w:val="1B0EC975"/>
    <w:rsid w:val="1B38B39C"/>
    <w:rsid w:val="1B56D073"/>
    <w:rsid w:val="1B72AA3B"/>
    <w:rsid w:val="1B7ACB0B"/>
    <w:rsid w:val="1B7E8862"/>
    <w:rsid w:val="1BC226F1"/>
    <w:rsid w:val="1BC544E8"/>
    <w:rsid w:val="1BDD77CD"/>
    <w:rsid w:val="1BE8AF47"/>
    <w:rsid w:val="1BFF3981"/>
    <w:rsid w:val="1C1D00D5"/>
    <w:rsid w:val="1C43E910"/>
    <w:rsid w:val="1C5437D0"/>
    <w:rsid w:val="1C5A6D4C"/>
    <w:rsid w:val="1C679551"/>
    <w:rsid w:val="1C79F250"/>
    <w:rsid w:val="1CCCEA01"/>
    <w:rsid w:val="1CD06560"/>
    <w:rsid w:val="1CE9EB73"/>
    <w:rsid w:val="1CEC07AD"/>
    <w:rsid w:val="1CF79A10"/>
    <w:rsid w:val="1CFF75A3"/>
    <w:rsid w:val="1D01E718"/>
    <w:rsid w:val="1D24B9FA"/>
    <w:rsid w:val="1D251770"/>
    <w:rsid w:val="1D3BFC61"/>
    <w:rsid w:val="1D61B5F8"/>
    <w:rsid w:val="1D6B5BC7"/>
    <w:rsid w:val="1D74DC6F"/>
    <w:rsid w:val="1D8315C9"/>
    <w:rsid w:val="1D98E6B2"/>
    <w:rsid w:val="1D9D159F"/>
    <w:rsid w:val="1DA1D4AE"/>
    <w:rsid w:val="1DB2E0A6"/>
    <w:rsid w:val="1DCE6B46"/>
    <w:rsid w:val="1DE71F96"/>
    <w:rsid w:val="1DF3F0F2"/>
    <w:rsid w:val="1E08CC53"/>
    <w:rsid w:val="1E2EABF5"/>
    <w:rsid w:val="1E318BA2"/>
    <w:rsid w:val="1E349D19"/>
    <w:rsid w:val="1E3AC003"/>
    <w:rsid w:val="1E460F19"/>
    <w:rsid w:val="1E58829A"/>
    <w:rsid w:val="1E71975E"/>
    <w:rsid w:val="1E9AC2B9"/>
    <w:rsid w:val="1EA6BAD5"/>
    <w:rsid w:val="1EC9D38C"/>
    <w:rsid w:val="1ED3FEB4"/>
    <w:rsid w:val="1ED4303D"/>
    <w:rsid w:val="1F03AE5F"/>
    <w:rsid w:val="1F0A18DF"/>
    <w:rsid w:val="1F1D3B9B"/>
    <w:rsid w:val="1F35DBF3"/>
    <w:rsid w:val="1F371F82"/>
    <w:rsid w:val="1F5719AB"/>
    <w:rsid w:val="1F59838D"/>
    <w:rsid w:val="1F63E4F6"/>
    <w:rsid w:val="1F8172DC"/>
    <w:rsid w:val="1FB61C7F"/>
    <w:rsid w:val="1FCA8AA9"/>
    <w:rsid w:val="1FCDA5FC"/>
    <w:rsid w:val="1FF83BE9"/>
    <w:rsid w:val="20136681"/>
    <w:rsid w:val="201EA606"/>
    <w:rsid w:val="203D6831"/>
    <w:rsid w:val="205B45B4"/>
    <w:rsid w:val="205FDB8D"/>
    <w:rsid w:val="20610D56"/>
    <w:rsid w:val="20720395"/>
    <w:rsid w:val="2076FEE0"/>
    <w:rsid w:val="209F6D79"/>
    <w:rsid w:val="20B37390"/>
    <w:rsid w:val="20BC9EEC"/>
    <w:rsid w:val="20E0F737"/>
    <w:rsid w:val="210C1DAA"/>
    <w:rsid w:val="211703B6"/>
    <w:rsid w:val="214F5E28"/>
    <w:rsid w:val="21643589"/>
    <w:rsid w:val="2167F2AD"/>
    <w:rsid w:val="218112F8"/>
    <w:rsid w:val="218AC769"/>
    <w:rsid w:val="218BCCB4"/>
    <w:rsid w:val="218C770F"/>
    <w:rsid w:val="219DC157"/>
    <w:rsid w:val="219F828A"/>
    <w:rsid w:val="21B64361"/>
    <w:rsid w:val="21C94AA6"/>
    <w:rsid w:val="21D1289F"/>
    <w:rsid w:val="21D9D9CB"/>
    <w:rsid w:val="21E1A116"/>
    <w:rsid w:val="21F7403C"/>
    <w:rsid w:val="21FD65E3"/>
    <w:rsid w:val="221A1384"/>
    <w:rsid w:val="222AA155"/>
    <w:rsid w:val="223964A2"/>
    <w:rsid w:val="224B30B7"/>
    <w:rsid w:val="225F500B"/>
    <w:rsid w:val="226A79CB"/>
    <w:rsid w:val="227E5E01"/>
    <w:rsid w:val="2283FD47"/>
    <w:rsid w:val="229C6DAF"/>
    <w:rsid w:val="229FC31B"/>
    <w:rsid w:val="22E15889"/>
    <w:rsid w:val="22E595CF"/>
    <w:rsid w:val="22F391DF"/>
    <w:rsid w:val="2303F431"/>
    <w:rsid w:val="231C05BE"/>
    <w:rsid w:val="233AE91E"/>
    <w:rsid w:val="2367EF2D"/>
    <w:rsid w:val="236917AD"/>
    <w:rsid w:val="23A07188"/>
    <w:rsid w:val="23A3E3DE"/>
    <w:rsid w:val="23B231C1"/>
    <w:rsid w:val="23B2E45B"/>
    <w:rsid w:val="23B699F0"/>
    <w:rsid w:val="23C2DA50"/>
    <w:rsid w:val="23CCF62E"/>
    <w:rsid w:val="23D1D044"/>
    <w:rsid w:val="23D2D660"/>
    <w:rsid w:val="23F056C3"/>
    <w:rsid w:val="23FA004F"/>
    <w:rsid w:val="2402BC4B"/>
    <w:rsid w:val="24034CC6"/>
    <w:rsid w:val="2406E6B1"/>
    <w:rsid w:val="24230965"/>
    <w:rsid w:val="242B0307"/>
    <w:rsid w:val="243E1D75"/>
    <w:rsid w:val="244B65A6"/>
    <w:rsid w:val="24948451"/>
    <w:rsid w:val="24BA9E64"/>
    <w:rsid w:val="24C4E414"/>
    <w:rsid w:val="250958B7"/>
    <w:rsid w:val="250A343B"/>
    <w:rsid w:val="250E6C02"/>
    <w:rsid w:val="251A2BD1"/>
    <w:rsid w:val="251BD602"/>
    <w:rsid w:val="251E1124"/>
    <w:rsid w:val="2522C5F4"/>
    <w:rsid w:val="2525DA08"/>
    <w:rsid w:val="25546E99"/>
    <w:rsid w:val="25584001"/>
    <w:rsid w:val="256642E2"/>
    <w:rsid w:val="2569E5A9"/>
    <w:rsid w:val="257DEA3A"/>
    <w:rsid w:val="25B483A2"/>
    <w:rsid w:val="25DA36C3"/>
    <w:rsid w:val="25E0CBC4"/>
    <w:rsid w:val="25ED6FFC"/>
    <w:rsid w:val="262728C0"/>
    <w:rsid w:val="262E10F2"/>
    <w:rsid w:val="264342B2"/>
    <w:rsid w:val="264679A4"/>
    <w:rsid w:val="265A1502"/>
    <w:rsid w:val="266CDD44"/>
    <w:rsid w:val="26E0E559"/>
    <w:rsid w:val="26E7C33E"/>
    <w:rsid w:val="26EA3754"/>
    <w:rsid w:val="271D8DA2"/>
    <w:rsid w:val="27422E72"/>
    <w:rsid w:val="2759D491"/>
    <w:rsid w:val="2763B08C"/>
    <w:rsid w:val="276887FD"/>
    <w:rsid w:val="2768B465"/>
    <w:rsid w:val="278C60F7"/>
    <w:rsid w:val="2792B3E2"/>
    <w:rsid w:val="279F5052"/>
    <w:rsid w:val="27C15AEA"/>
    <w:rsid w:val="27CA77D8"/>
    <w:rsid w:val="27E497A7"/>
    <w:rsid w:val="27F91A57"/>
    <w:rsid w:val="2810368C"/>
    <w:rsid w:val="281E8260"/>
    <w:rsid w:val="2824AB68"/>
    <w:rsid w:val="282D85F9"/>
    <w:rsid w:val="28300DA2"/>
    <w:rsid w:val="28556B26"/>
    <w:rsid w:val="287E11C2"/>
    <w:rsid w:val="2886271F"/>
    <w:rsid w:val="28A0610F"/>
    <w:rsid w:val="28A55222"/>
    <w:rsid w:val="28B654C4"/>
    <w:rsid w:val="28FF0FF2"/>
    <w:rsid w:val="29255D32"/>
    <w:rsid w:val="293144CF"/>
    <w:rsid w:val="2932CB15"/>
    <w:rsid w:val="293D3816"/>
    <w:rsid w:val="295DAD2F"/>
    <w:rsid w:val="296507E9"/>
    <w:rsid w:val="296B02AF"/>
    <w:rsid w:val="299B233F"/>
    <w:rsid w:val="29A811AD"/>
    <w:rsid w:val="29E9E565"/>
    <w:rsid w:val="29ED2552"/>
    <w:rsid w:val="29EFC89B"/>
    <w:rsid w:val="2A007E2A"/>
    <w:rsid w:val="2A458556"/>
    <w:rsid w:val="2A4A8214"/>
    <w:rsid w:val="2A5FCF08"/>
    <w:rsid w:val="2A91FD25"/>
    <w:rsid w:val="2A9D6F81"/>
    <w:rsid w:val="2AA0DB27"/>
    <w:rsid w:val="2AC5CBB8"/>
    <w:rsid w:val="2AC8285F"/>
    <w:rsid w:val="2ACEE596"/>
    <w:rsid w:val="2ADA1E81"/>
    <w:rsid w:val="2AEF9D3D"/>
    <w:rsid w:val="2AF61887"/>
    <w:rsid w:val="2B1D8E36"/>
    <w:rsid w:val="2B2C2146"/>
    <w:rsid w:val="2B3C6DCF"/>
    <w:rsid w:val="2B80C33B"/>
    <w:rsid w:val="2B84AA0F"/>
    <w:rsid w:val="2B94BAD9"/>
    <w:rsid w:val="2BA7878C"/>
    <w:rsid w:val="2BB26525"/>
    <w:rsid w:val="2BC95599"/>
    <w:rsid w:val="2BF5A474"/>
    <w:rsid w:val="2BFC1C19"/>
    <w:rsid w:val="2C024440"/>
    <w:rsid w:val="2C0A1A5E"/>
    <w:rsid w:val="2C3B2E5D"/>
    <w:rsid w:val="2C58D160"/>
    <w:rsid w:val="2CC66851"/>
    <w:rsid w:val="2CC6AA39"/>
    <w:rsid w:val="2CDE5312"/>
    <w:rsid w:val="2CFC5E01"/>
    <w:rsid w:val="2D10AD38"/>
    <w:rsid w:val="2D13BF7A"/>
    <w:rsid w:val="2D390435"/>
    <w:rsid w:val="2D66C628"/>
    <w:rsid w:val="2DB2E614"/>
    <w:rsid w:val="2DB640C9"/>
    <w:rsid w:val="2DDF22B3"/>
    <w:rsid w:val="2E029D0F"/>
    <w:rsid w:val="2E299C13"/>
    <w:rsid w:val="2E2A1114"/>
    <w:rsid w:val="2E373E6A"/>
    <w:rsid w:val="2E55C05A"/>
    <w:rsid w:val="2E5C6926"/>
    <w:rsid w:val="2E65BBB6"/>
    <w:rsid w:val="2E89988B"/>
    <w:rsid w:val="2EB8C5D9"/>
    <w:rsid w:val="2EC25A76"/>
    <w:rsid w:val="2F068244"/>
    <w:rsid w:val="2F144249"/>
    <w:rsid w:val="2F24FA9B"/>
    <w:rsid w:val="2F25EAB2"/>
    <w:rsid w:val="2F37369F"/>
    <w:rsid w:val="2F42883B"/>
    <w:rsid w:val="2F4DB141"/>
    <w:rsid w:val="2F84480B"/>
    <w:rsid w:val="2F8B067D"/>
    <w:rsid w:val="2F9966AD"/>
    <w:rsid w:val="2FA48FE4"/>
    <w:rsid w:val="2FB1DB70"/>
    <w:rsid w:val="2FC7BFDE"/>
    <w:rsid w:val="2FDAEE93"/>
    <w:rsid w:val="2FDD1B1D"/>
    <w:rsid w:val="2FDEF7AA"/>
    <w:rsid w:val="2FE108E6"/>
    <w:rsid w:val="3017F6AC"/>
    <w:rsid w:val="303380C8"/>
    <w:rsid w:val="30426E37"/>
    <w:rsid w:val="304B1DE1"/>
    <w:rsid w:val="306310EA"/>
    <w:rsid w:val="306C82FE"/>
    <w:rsid w:val="307C73F1"/>
    <w:rsid w:val="307D836E"/>
    <w:rsid w:val="3098409F"/>
    <w:rsid w:val="309C59D6"/>
    <w:rsid w:val="309C62D2"/>
    <w:rsid w:val="30A53931"/>
    <w:rsid w:val="30CC78D0"/>
    <w:rsid w:val="30DDB46E"/>
    <w:rsid w:val="30E06BE5"/>
    <w:rsid w:val="30F17360"/>
    <w:rsid w:val="30F24E61"/>
    <w:rsid w:val="31055BFE"/>
    <w:rsid w:val="31181B8A"/>
    <w:rsid w:val="31292279"/>
    <w:rsid w:val="31850FA2"/>
    <w:rsid w:val="319DFA01"/>
    <w:rsid w:val="31B32256"/>
    <w:rsid w:val="31CC32D1"/>
    <w:rsid w:val="31DB8CE8"/>
    <w:rsid w:val="31EDA68F"/>
    <w:rsid w:val="31F0ED97"/>
    <w:rsid w:val="320AED85"/>
    <w:rsid w:val="32249AFB"/>
    <w:rsid w:val="3228CF8F"/>
    <w:rsid w:val="323E0A2A"/>
    <w:rsid w:val="324B4800"/>
    <w:rsid w:val="3258FE6A"/>
    <w:rsid w:val="3283F28C"/>
    <w:rsid w:val="32AE90DC"/>
    <w:rsid w:val="32F67BA2"/>
    <w:rsid w:val="32F7DF61"/>
    <w:rsid w:val="332E4C0A"/>
    <w:rsid w:val="3334804B"/>
    <w:rsid w:val="335A4F65"/>
    <w:rsid w:val="3363F8CE"/>
    <w:rsid w:val="337AECD1"/>
    <w:rsid w:val="3396F622"/>
    <w:rsid w:val="33A72CBD"/>
    <w:rsid w:val="33CB33A4"/>
    <w:rsid w:val="33D97C45"/>
    <w:rsid w:val="33E0D685"/>
    <w:rsid w:val="33EAC1DB"/>
    <w:rsid w:val="34029D92"/>
    <w:rsid w:val="341A0F3D"/>
    <w:rsid w:val="343E16A5"/>
    <w:rsid w:val="3458A8ED"/>
    <w:rsid w:val="345A34BB"/>
    <w:rsid w:val="3463BC4E"/>
    <w:rsid w:val="346A891A"/>
    <w:rsid w:val="34734235"/>
    <w:rsid w:val="34822C25"/>
    <w:rsid w:val="3493F8AA"/>
    <w:rsid w:val="34A5D0D6"/>
    <w:rsid w:val="34C5F872"/>
    <w:rsid w:val="34FC67C5"/>
    <w:rsid w:val="350BB0BB"/>
    <w:rsid w:val="350BF1FA"/>
    <w:rsid w:val="3516B62B"/>
    <w:rsid w:val="351F73A6"/>
    <w:rsid w:val="352AF6AE"/>
    <w:rsid w:val="3535A491"/>
    <w:rsid w:val="353D2156"/>
    <w:rsid w:val="357D9829"/>
    <w:rsid w:val="3599CFD9"/>
    <w:rsid w:val="35B12D48"/>
    <w:rsid w:val="35BAC36B"/>
    <w:rsid w:val="35BC9638"/>
    <w:rsid w:val="36163D6E"/>
    <w:rsid w:val="36303B5C"/>
    <w:rsid w:val="3634CC20"/>
    <w:rsid w:val="363E91BE"/>
    <w:rsid w:val="3676BA77"/>
    <w:rsid w:val="36845E14"/>
    <w:rsid w:val="368504C6"/>
    <w:rsid w:val="369DC11F"/>
    <w:rsid w:val="36B9F55E"/>
    <w:rsid w:val="373DE53C"/>
    <w:rsid w:val="37487289"/>
    <w:rsid w:val="374F96DD"/>
    <w:rsid w:val="37724AB5"/>
    <w:rsid w:val="378E85AB"/>
    <w:rsid w:val="379482CB"/>
    <w:rsid w:val="37AF8660"/>
    <w:rsid w:val="37B996B4"/>
    <w:rsid w:val="37C32FFD"/>
    <w:rsid w:val="37D3A660"/>
    <w:rsid w:val="37DF9AE2"/>
    <w:rsid w:val="37DFCBD7"/>
    <w:rsid w:val="37FD11FB"/>
    <w:rsid w:val="3809886B"/>
    <w:rsid w:val="382DBDF8"/>
    <w:rsid w:val="383F4D17"/>
    <w:rsid w:val="38776B43"/>
    <w:rsid w:val="38945BA6"/>
    <w:rsid w:val="38B81A75"/>
    <w:rsid w:val="38BC3E54"/>
    <w:rsid w:val="38CE0784"/>
    <w:rsid w:val="3923D7D9"/>
    <w:rsid w:val="39248B24"/>
    <w:rsid w:val="392C4C35"/>
    <w:rsid w:val="39340755"/>
    <w:rsid w:val="39547FA2"/>
    <w:rsid w:val="39571D72"/>
    <w:rsid w:val="3991C69F"/>
    <w:rsid w:val="3993AB7B"/>
    <w:rsid w:val="399FFBE0"/>
    <w:rsid w:val="39AF49B4"/>
    <w:rsid w:val="39BEC583"/>
    <w:rsid w:val="39C19D95"/>
    <w:rsid w:val="39C8E8D2"/>
    <w:rsid w:val="3A2A0264"/>
    <w:rsid w:val="3A46080A"/>
    <w:rsid w:val="3A481682"/>
    <w:rsid w:val="3A4867D7"/>
    <w:rsid w:val="3A68EFCA"/>
    <w:rsid w:val="3A808C33"/>
    <w:rsid w:val="3A8DA51C"/>
    <w:rsid w:val="3A8FEADC"/>
    <w:rsid w:val="3AA83CF7"/>
    <w:rsid w:val="3AA9DD10"/>
    <w:rsid w:val="3AC6B419"/>
    <w:rsid w:val="3AC966F8"/>
    <w:rsid w:val="3AF586E7"/>
    <w:rsid w:val="3B0610CE"/>
    <w:rsid w:val="3B137036"/>
    <w:rsid w:val="3B1ED844"/>
    <w:rsid w:val="3B27DA61"/>
    <w:rsid w:val="3B304018"/>
    <w:rsid w:val="3B4299A1"/>
    <w:rsid w:val="3B44945D"/>
    <w:rsid w:val="3B513980"/>
    <w:rsid w:val="3B54A616"/>
    <w:rsid w:val="3B5F713D"/>
    <w:rsid w:val="3B6C7F35"/>
    <w:rsid w:val="3B839BD7"/>
    <w:rsid w:val="3BA592E4"/>
    <w:rsid w:val="3BB1C5EC"/>
    <w:rsid w:val="3BC6A17D"/>
    <w:rsid w:val="3BF3EABB"/>
    <w:rsid w:val="3C184425"/>
    <w:rsid w:val="3C366F9E"/>
    <w:rsid w:val="3C3AE257"/>
    <w:rsid w:val="3C52812A"/>
    <w:rsid w:val="3C5EB2C5"/>
    <w:rsid w:val="3C6EA10D"/>
    <w:rsid w:val="3C820E86"/>
    <w:rsid w:val="3C9DBC8C"/>
    <w:rsid w:val="3CBEE0E4"/>
    <w:rsid w:val="3CD14087"/>
    <w:rsid w:val="3CF93F2C"/>
    <w:rsid w:val="3CFECEF9"/>
    <w:rsid w:val="3CFEF29D"/>
    <w:rsid w:val="3D051C84"/>
    <w:rsid w:val="3D06F9BF"/>
    <w:rsid w:val="3D0AABE3"/>
    <w:rsid w:val="3D189AA2"/>
    <w:rsid w:val="3D237ABA"/>
    <w:rsid w:val="3D57DFE2"/>
    <w:rsid w:val="3D660AE9"/>
    <w:rsid w:val="3D9189A6"/>
    <w:rsid w:val="3D96AAA0"/>
    <w:rsid w:val="3DAFAF24"/>
    <w:rsid w:val="3DBF05B7"/>
    <w:rsid w:val="3DC1903C"/>
    <w:rsid w:val="3DC89BA6"/>
    <w:rsid w:val="3DD5E1AC"/>
    <w:rsid w:val="3DDC9EDA"/>
    <w:rsid w:val="3DED26F1"/>
    <w:rsid w:val="3E00FE00"/>
    <w:rsid w:val="3E169F7D"/>
    <w:rsid w:val="3E3649DD"/>
    <w:rsid w:val="3E4B929F"/>
    <w:rsid w:val="3E569FEC"/>
    <w:rsid w:val="3E845E7E"/>
    <w:rsid w:val="3E9AD63F"/>
    <w:rsid w:val="3EA10ACC"/>
    <w:rsid w:val="3EB221A7"/>
    <w:rsid w:val="3EBF6083"/>
    <w:rsid w:val="3EBFB8EB"/>
    <w:rsid w:val="3EC93637"/>
    <w:rsid w:val="3ED37263"/>
    <w:rsid w:val="3ED4F1E0"/>
    <w:rsid w:val="3EDA74D7"/>
    <w:rsid w:val="3EE408FA"/>
    <w:rsid w:val="3F2371D4"/>
    <w:rsid w:val="3F2D4B22"/>
    <w:rsid w:val="3F2DB561"/>
    <w:rsid w:val="3F3765B2"/>
    <w:rsid w:val="3F490A5E"/>
    <w:rsid w:val="3F4FBB72"/>
    <w:rsid w:val="3F77BE5A"/>
    <w:rsid w:val="3F91B843"/>
    <w:rsid w:val="3FBFBF77"/>
    <w:rsid w:val="3FC2D6E2"/>
    <w:rsid w:val="3FC8703D"/>
    <w:rsid w:val="3FF45F3C"/>
    <w:rsid w:val="40123ACC"/>
    <w:rsid w:val="40249F17"/>
    <w:rsid w:val="404FD45D"/>
    <w:rsid w:val="406D00F0"/>
    <w:rsid w:val="408DA99E"/>
    <w:rsid w:val="40B4255C"/>
    <w:rsid w:val="40B7D117"/>
    <w:rsid w:val="40C6EB15"/>
    <w:rsid w:val="40D969C5"/>
    <w:rsid w:val="40DEC259"/>
    <w:rsid w:val="40EDF7F3"/>
    <w:rsid w:val="40EFC793"/>
    <w:rsid w:val="40F8AF61"/>
    <w:rsid w:val="41211C60"/>
    <w:rsid w:val="41414E15"/>
    <w:rsid w:val="41487A89"/>
    <w:rsid w:val="4172F2E5"/>
    <w:rsid w:val="419CB683"/>
    <w:rsid w:val="419CFF5E"/>
    <w:rsid w:val="41B96E58"/>
    <w:rsid w:val="41BAE378"/>
    <w:rsid w:val="41D2DA83"/>
    <w:rsid w:val="41D6704F"/>
    <w:rsid w:val="41F7E4B6"/>
    <w:rsid w:val="420808FD"/>
    <w:rsid w:val="42087F9D"/>
    <w:rsid w:val="4210475E"/>
    <w:rsid w:val="422B7E04"/>
    <w:rsid w:val="423C63F3"/>
    <w:rsid w:val="4245A129"/>
    <w:rsid w:val="42614596"/>
    <w:rsid w:val="4282F76A"/>
    <w:rsid w:val="42889E83"/>
    <w:rsid w:val="42A60DB2"/>
    <w:rsid w:val="42E10787"/>
    <w:rsid w:val="42E49A16"/>
    <w:rsid w:val="42EE6877"/>
    <w:rsid w:val="42F084C0"/>
    <w:rsid w:val="42F38BD1"/>
    <w:rsid w:val="42F75374"/>
    <w:rsid w:val="43106FD8"/>
    <w:rsid w:val="43127C7C"/>
    <w:rsid w:val="4313B613"/>
    <w:rsid w:val="43295FA3"/>
    <w:rsid w:val="432CF48C"/>
    <w:rsid w:val="4338CDA7"/>
    <w:rsid w:val="43409E18"/>
    <w:rsid w:val="43464E83"/>
    <w:rsid w:val="4352C9A6"/>
    <w:rsid w:val="4364AAA2"/>
    <w:rsid w:val="43707BFB"/>
    <w:rsid w:val="4386C7A1"/>
    <w:rsid w:val="439CDE7E"/>
    <w:rsid w:val="43A579A5"/>
    <w:rsid w:val="43B45166"/>
    <w:rsid w:val="43BA34F3"/>
    <w:rsid w:val="43CBA7B9"/>
    <w:rsid w:val="43CC8766"/>
    <w:rsid w:val="43DCF093"/>
    <w:rsid w:val="43F64B1A"/>
    <w:rsid w:val="43F8070C"/>
    <w:rsid w:val="4407C808"/>
    <w:rsid w:val="440E7913"/>
    <w:rsid w:val="44269CC8"/>
    <w:rsid w:val="44650304"/>
    <w:rsid w:val="4471589F"/>
    <w:rsid w:val="447C96AD"/>
    <w:rsid w:val="449DE1B3"/>
    <w:rsid w:val="44D42BBF"/>
    <w:rsid w:val="44DD8048"/>
    <w:rsid w:val="44E4EE9F"/>
    <w:rsid w:val="44F80493"/>
    <w:rsid w:val="4506065B"/>
    <w:rsid w:val="457564B7"/>
    <w:rsid w:val="459E0FB4"/>
    <w:rsid w:val="45A9FAC4"/>
    <w:rsid w:val="45AAA910"/>
    <w:rsid w:val="45ACBA5B"/>
    <w:rsid w:val="45AF3216"/>
    <w:rsid w:val="45B7696F"/>
    <w:rsid w:val="45B95F88"/>
    <w:rsid w:val="45D28D69"/>
    <w:rsid w:val="4600B340"/>
    <w:rsid w:val="46060E8F"/>
    <w:rsid w:val="460A7287"/>
    <w:rsid w:val="463ABCEB"/>
    <w:rsid w:val="463F24C6"/>
    <w:rsid w:val="4676DBC7"/>
    <w:rsid w:val="467DB06E"/>
    <w:rsid w:val="46AC5B20"/>
    <w:rsid w:val="46E8E899"/>
    <w:rsid w:val="46F4C581"/>
    <w:rsid w:val="46F68758"/>
    <w:rsid w:val="4713CEDA"/>
    <w:rsid w:val="472EB0A9"/>
    <w:rsid w:val="47347842"/>
    <w:rsid w:val="47383490"/>
    <w:rsid w:val="473CABAA"/>
    <w:rsid w:val="4741F4B9"/>
    <w:rsid w:val="4746703F"/>
    <w:rsid w:val="474929DE"/>
    <w:rsid w:val="47529333"/>
    <w:rsid w:val="4756A11D"/>
    <w:rsid w:val="47672C7E"/>
    <w:rsid w:val="47872C81"/>
    <w:rsid w:val="47918411"/>
    <w:rsid w:val="479A57EF"/>
    <w:rsid w:val="479B9D67"/>
    <w:rsid w:val="479CE45B"/>
    <w:rsid w:val="47AB5352"/>
    <w:rsid w:val="47B35A29"/>
    <w:rsid w:val="47CF1393"/>
    <w:rsid w:val="47E7CE79"/>
    <w:rsid w:val="47FE94E1"/>
    <w:rsid w:val="4806978A"/>
    <w:rsid w:val="480FDF0E"/>
    <w:rsid w:val="486181A5"/>
    <w:rsid w:val="486AD562"/>
    <w:rsid w:val="4895B769"/>
    <w:rsid w:val="489D3193"/>
    <w:rsid w:val="489F1A14"/>
    <w:rsid w:val="48A218A8"/>
    <w:rsid w:val="48B14AFA"/>
    <w:rsid w:val="48FEFAA6"/>
    <w:rsid w:val="4906C53D"/>
    <w:rsid w:val="490B36D5"/>
    <w:rsid w:val="49131B5D"/>
    <w:rsid w:val="492E7853"/>
    <w:rsid w:val="493016DC"/>
    <w:rsid w:val="49453051"/>
    <w:rsid w:val="4954441E"/>
    <w:rsid w:val="4966A2BF"/>
    <w:rsid w:val="4969F922"/>
    <w:rsid w:val="496CF604"/>
    <w:rsid w:val="496F4031"/>
    <w:rsid w:val="49917AC7"/>
    <w:rsid w:val="4993BA8D"/>
    <w:rsid w:val="49A5F4BE"/>
    <w:rsid w:val="49A7BF31"/>
    <w:rsid w:val="49E22149"/>
    <w:rsid w:val="49F02620"/>
    <w:rsid w:val="49FD6AEA"/>
    <w:rsid w:val="4A185E79"/>
    <w:rsid w:val="4A2A7785"/>
    <w:rsid w:val="4A454A51"/>
    <w:rsid w:val="4A47739E"/>
    <w:rsid w:val="4A5E8828"/>
    <w:rsid w:val="4A73506D"/>
    <w:rsid w:val="4A74E03A"/>
    <w:rsid w:val="4A770782"/>
    <w:rsid w:val="4A82B738"/>
    <w:rsid w:val="4A8A4B69"/>
    <w:rsid w:val="4A970CD3"/>
    <w:rsid w:val="4A9AABFF"/>
    <w:rsid w:val="4A9BDC31"/>
    <w:rsid w:val="4AA3A85E"/>
    <w:rsid w:val="4AA87544"/>
    <w:rsid w:val="4AAFCB02"/>
    <w:rsid w:val="4AB29FEF"/>
    <w:rsid w:val="4AB76C2A"/>
    <w:rsid w:val="4AD51859"/>
    <w:rsid w:val="4ADBB1FB"/>
    <w:rsid w:val="4B0CAD3F"/>
    <w:rsid w:val="4B102B63"/>
    <w:rsid w:val="4B1DFCA0"/>
    <w:rsid w:val="4B2795CB"/>
    <w:rsid w:val="4B36D37E"/>
    <w:rsid w:val="4B54FB05"/>
    <w:rsid w:val="4B5A8BBB"/>
    <w:rsid w:val="4B699CCB"/>
    <w:rsid w:val="4B7368AE"/>
    <w:rsid w:val="4B862500"/>
    <w:rsid w:val="4B9372B3"/>
    <w:rsid w:val="4B9861DF"/>
    <w:rsid w:val="4B9AB0A5"/>
    <w:rsid w:val="4B9BA91F"/>
    <w:rsid w:val="4B9F3492"/>
    <w:rsid w:val="4BA18EAE"/>
    <w:rsid w:val="4BC08898"/>
    <w:rsid w:val="4C007CFB"/>
    <w:rsid w:val="4C17F5C0"/>
    <w:rsid w:val="4C3B28E5"/>
    <w:rsid w:val="4C3D775E"/>
    <w:rsid w:val="4C635040"/>
    <w:rsid w:val="4C63A11E"/>
    <w:rsid w:val="4C87C96A"/>
    <w:rsid w:val="4C8CAA0A"/>
    <w:rsid w:val="4C9D8C35"/>
    <w:rsid w:val="4CAB5E49"/>
    <w:rsid w:val="4CB01FF6"/>
    <w:rsid w:val="4CBF652C"/>
    <w:rsid w:val="4CD1FB71"/>
    <w:rsid w:val="4CEB8A59"/>
    <w:rsid w:val="4CF0C46E"/>
    <w:rsid w:val="4CF2D32C"/>
    <w:rsid w:val="4CF81AB4"/>
    <w:rsid w:val="4D0EECCF"/>
    <w:rsid w:val="4D0FFD36"/>
    <w:rsid w:val="4D35B34E"/>
    <w:rsid w:val="4D3A7A6C"/>
    <w:rsid w:val="4D5DE5A8"/>
    <w:rsid w:val="4D635608"/>
    <w:rsid w:val="4D8B485C"/>
    <w:rsid w:val="4D928939"/>
    <w:rsid w:val="4D9F0D1C"/>
    <w:rsid w:val="4DACD06F"/>
    <w:rsid w:val="4DDAB1BF"/>
    <w:rsid w:val="4E02016C"/>
    <w:rsid w:val="4E08948A"/>
    <w:rsid w:val="4E2496BC"/>
    <w:rsid w:val="4E47F80D"/>
    <w:rsid w:val="4E507D7B"/>
    <w:rsid w:val="4E6180D9"/>
    <w:rsid w:val="4E7AB9FB"/>
    <w:rsid w:val="4E85E513"/>
    <w:rsid w:val="4EA05F9C"/>
    <w:rsid w:val="4EAE416A"/>
    <w:rsid w:val="4F10CB34"/>
    <w:rsid w:val="4F2DCC85"/>
    <w:rsid w:val="4F351A94"/>
    <w:rsid w:val="4F5C4815"/>
    <w:rsid w:val="4F69803C"/>
    <w:rsid w:val="4F8E663C"/>
    <w:rsid w:val="4F8E8DF4"/>
    <w:rsid w:val="4F9A4E4C"/>
    <w:rsid w:val="4FCDE29B"/>
    <w:rsid w:val="4FE617CE"/>
    <w:rsid w:val="500EE2BA"/>
    <w:rsid w:val="501E63D0"/>
    <w:rsid w:val="503740BF"/>
    <w:rsid w:val="50423D96"/>
    <w:rsid w:val="504A4656"/>
    <w:rsid w:val="50760994"/>
    <w:rsid w:val="508D9F2A"/>
    <w:rsid w:val="50A7E63D"/>
    <w:rsid w:val="50E9889A"/>
    <w:rsid w:val="50FCCF67"/>
    <w:rsid w:val="5105A833"/>
    <w:rsid w:val="51372443"/>
    <w:rsid w:val="5143F77D"/>
    <w:rsid w:val="51568B4C"/>
    <w:rsid w:val="5161723F"/>
    <w:rsid w:val="519CCA09"/>
    <w:rsid w:val="51A67170"/>
    <w:rsid w:val="51AB21EF"/>
    <w:rsid w:val="51AB436B"/>
    <w:rsid w:val="51B12F3F"/>
    <w:rsid w:val="51BE7B80"/>
    <w:rsid w:val="51CA16BA"/>
    <w:rsid w:val="51D326A3"/>
    <w:rsid w:val="51D669BB"/>
    <w:rsid w:val="51E39518"/>
    <w:rsid w:val="51E99F29"/>
    <w:rsid w:val="51F0F2C0"/>
    <w:rsid w:val="5227195E"/>
    <w:rsid w:val="522DBDB5"/>
    <w:rsid w:val="523F7700"/>
    <w:rsid w:val="524F2276"/>
    <w:rsid w:val="5258EE3E"/>
    <w:rsid w:val="526A8CDE"/>
    <w:rsid w:val="52A75BCA"/>
    <w:rsid w:val="52AAB14B"/>
    <w:rsid w:val="52E87E84"/>
    <w:rsid w:val="52E986AC"/>
    <w:rsid w:val="531F173B"/>
    <w:rsid w:val="5320CF73"/>
    <w:rsid w:val="532E891A"/>
    <w:rsid w:val="5336144A"/>
    <w:rsid w:val="535F11B8"/>
    <w:rsid w:val="536AA908"/>
    <w:rsid w:val="5370E14C"/>
    <w:rsid w:val="538278A9"/>
    <w:rsid w:val="53BF937A"/>
    <w:rsid w:val="53D67DEA"/>
    <w:rsid w:val="53D69AF8"/>
    <w:rsid w:val="53E8863C"/>
    <w:rsid w:val="53F62EC0"/>
    <w:rsid w:val="544DF4BD"/>
    <w:rsid w:val="545C19A7"/>
    <w:rsid w:val="54785329"/>
    <w:rsid w:val="5478975B"/>
    <w:rsid w:val="5490BBFD"/>
    <w:rsid w:val="54967D95"/>
    <w:rsid w:val="54A08A60"/>
    <w:rsid w:val="54D404D0"/>
    <w:rsid w:val="54DA8D2D"/>
    <w:rsid w:val="54E553FA"/>
    <w:rsid w:val="54EBC889"/>
    <w:rsid w:val="54EDA649"/>
    <w:rsid w:val="54F3F14B"/>
    <w:rsid w:val="5506A474"/>
    <w:rsid w:val="55205110"/>
    <w:rsid w:val="552D29C3"/>
    <w:rsid w:val="552D6F0E"/>
    <w:rsid w:val="55321AF2"/>
    <w:rsid w:val="554592F2"/>
    <w:rsid w:val="5566E80E"/>
    <w:rsid w:val="556DC2E9"/>
    <w:rsid w:val="55844D43"/>
    <w:rsid w:val="558A5A10"/>
    <w:rsid w:val="55AF2F32"/>
    <w:rsid w:val="55B3D542"/>
    <w:rsid w:val="55C7A305"/>
    <w:rsid w:val="55CB25B8"/>
    <w:rsid w:val="55D584E0"/>
    <w:rsid w:val="55E823EA"/>
    <w:rsid w:val="55EACE3E"/>
    <w:rsid w:val="55F0599D"/>
    <w:rsid w:val="55FBEEBD"/>
    <w:rsid w:val="56660216"/>
    <w:rsid w:val="568A13E2"/>
    <w:rsid w:val="56A13CD9"/>
    <w:rsid w:val="56AB26B6"/>
    <w:rsid w:val="56B59E1E"/>
    <w:rsid w:val="56C8A94E"/>
    <w:rsid w:val="56D96947"/>
    <w:rsid w:val="57129747"/>
    <w:rsid w:val="57190935"/>
    <w:rsid w:val="5729D5A4"/>
    <w:rsid w:val="57300CEC"/>
    <w:rsid w:val="573D70D1"/>
    <w:rsid w:val="574AB3B8"/>
    <w:rsid w:val="57664938"/>
    <w:rsid w:val="57694254"/>
    <w:rsid w:val="576E9AAB"/>
    <w:rsid w:val="577DE802"/>
    <w:rsid w:val="578F5693"/>
    <w:rsid w:val="579B879A"/>
    <w:rsid w:val="57A45E02"/>
    <w:rsid w:val="57AD2878"/>
    <w:rsid w:val="57B67026"/>
    <w:rsid w:val="57BE2550"/>
    <w:rsid w:val="57C422A6"/>
    <w:rsid w:val="57CB8EAB"/>
    <w:rsid w:val="57DEE60F"/>
    <w:rsid w:val="57EFD70A"/>
    <w:rsid w:val="57F46785"/>
    <w:rsid w:val="583BFA58"/>
    <w:rsid w:val="584EEFD9"/>
    <w:rsid w:val="585699EE"/>
    <w:rsid w:val="585DA179"/>
    <w:rsid w:val="5875DC1B"/>
    <w:rsid w:val="587DF0A6"/>
    <w:rsid w:val="5899E861"/>
    <w:rsid w:val="589EF298"/>
    <w:rsid w:val="58C9D68B"/>
    <w:rsid w:val="58CBE8EE"/>
    <w:rsid w:val="58D60F98"/>
    <w:rsid w:val="58EA56BF"/>
    <w:rsid w:val="590E2155"/>
    <w:rsid w:val="591B4D9D"/>
    <w:rsid w:val="5931115F"/>
    <w:rsid w:val="59381CF3"/>
    <w:rsid w:val="594429A3"/>
    <w:rsid w:val="5955AD55"/>
    <w:rsid w:val="599DCCFF"/>
    <w:rsid w:val="599E5247"/>
    <w:rsid w:val="59BB9373"/>
    <w:rsid w:val="59CF6306"/>
    <w:rsid w:val="59D16A4E"/>
    <w:rsid w:val="59E06ADA"/>
    <w:rsid w:val="5A0B39F4"/>
    <w:rsid w:val="5A393FE4"/>
    <w:rsid w:val="5A42F94E"/>
    <w:rsid w:val="5A53B5E8"/>
    <w:rsid w:val="5A957131"/>
    <w:rsid w:val="5A99C418"/>
    <w:rsid w:val="5A9C06AD"/>
    <w:rsid w:val="5AD1066F"/>
    <w:rsid w:val="5AD45771"/>
    <w:rsid w:val="5AD587FA"/>
    <w:rsid w:val="5AE96FCD"/>
    <w:rsid w:val="5AE9816C"/>
    <w:rsid w:val="5AFB8A84"/>
    <w:rsid w:val="5B0D90CD"/>
    <w:rsid w:val="5B2673EF"/>
    <w:rsid w:val="5B2F91F5"/>
    <w:rsid w:val="5B39CECE"/>
    <w:rsid w:val="5B494FA8"/>
    <w:rsid w:val="5B59A7C5"/>
    <w:rsid w:val="5B5D8379"/>
    <w:rsid w:val="5B72ABD0"/>
    <w:rsid w:val="5B9BA560"/>
    <w:rsid w:val="5BACC27F"/>
    <w:rsid w:val="5BB0AD23"/>
    <w:rsid w:val="5BB280C1"/>
    <w:rsid w:val="5BCBEE90"/>
    <w:rsid w:val="5BD52FBE"/>
    <w:rsid w:val="5BF45E50"/>
    <w:rsid w:val="5C0E12A8"/>
    <w:rsid w:val="5C4A1ADF"/>
    <w:rsid w:val="5C4CCFBA"/>
    <w:rsid w:val="5C4E622F"/>
    <w:rsid w:val="5C7ECB7D"/>
    <w:rsid w:val="5CC1DB3D"/>
    <w:rsid w:val="5CCACB85"/>
    <w:rsid w:val="5CDCC506"/>
    <w:rsid w:val="5CF5B724"/>
    <w:rsid w:val="5D21FE77"/>
    <w:rsid w:val="5D78C256"/>
    <w:rsid w:val="5D89EF11"/>
    <w:rsid w:val="5DB3E774"/>
    <w:rsid w:val="5DC28E0A"/>
    <w:rsid w:val="5DC41581"/>
    <w:rsid w:val="5DD6E59A"/>
    <w:rsid w:val="5DDA965D"/>
    <w:rsid w:val="5DDBFE67"/>
    <w:rsid w:val="5E067411"/>
    <w:rsid w:val="5E0CDAFE"/>
    <w:rsid w:val="5E457C4C"/>
    <w:rsid w:val="5E544FC8"/>
    <w:rsid w:val="5E6380BF"/>
    <w:rsid w:val="5E7A4432"/>
    <w:rsid w:val="5E8199D7"/>
    <w:rsid w:val="5E96D5C8"/>
    <w:rsid w:val="5EB503A3"/>
    <w:rsid w:val="5EEEA466"/>
    <w:rsid w:val="5EF89F79"/>
    <w:rsid w:val="5F09873B"/>
    <w:rsid w:val="5F113430"/>
    <w:rsid w:val="5F3C0FB5"/>
    <w:rsid w:val="5F60C6BD"/>
    <w:rsid w:val="5F8CC55B"/>
    <w:rsid w:val="5F9F2B3B"/>
    <w:rsid w:val="5FE44C15"/>
    <w:rsid w:val="5FEBA352"/>
    <w:rsid w:val="5FFC50A0"/>
    <w:rsid w:val="60187461"/>
    <w:rsid w:val="60276320"/>
    <w:rsid w:val="603DC172"/>
    <w:rsid w:val="6077E293"/>
    <w:rsid w:val="607DED89"/>
    <w:rsid w:val="60862911"/>
    <w:rsid w:val="608AB82C"/>
    <w:rsid w:val="608ABF1B"/>
    <w:rsid w:val="60BAB40F"/>
    <w:rsid w:val="60C13F59"/>
    <w:rsid w:val="60C7BF0A"/>
    <w:rsid w:val="60CC1B69"/>
    <w:rsid w:val="60D15363"/>
    <w:rsid w:val="60E18E55"/>
    <w:rsid w:val="60F0E51D"/>
    <w:rsid w:val="60FCB0E4"/>
    <w:rsid w:val="60FD81D4"/>
    <w:rsid w:val="61009307"/>
    <w:rsid w:val="6104CCAA"/>
    <w:rsid w:val="612FF823"/>
    <w:rsid w:val="6143960B"/>
    <w:rsid w:val="617222BB"/>
    <w:rsid w:val="617CDFA9"/>
    <w:rsid w:val="6182A4C0"/>
    <w:rsid w:val="61856D2E"/>
    <w:rsid w:val="61A09412"/>
    <w:rsid w:val="61A48BAD"/>
    <w:rsid w:val="61CD9E3A"/>
    <w:rsid w:val="61D2AD03"/>
    <w:rsid w:val="6213C83D"/>
    <w:rsid w:val="621740AE"/>
    <w:rsid w:val="621D1EBD"/>
    <w:rsid w:val="621E0A89"/>
    <w:rsid w:val="621EFB3D"/>
    <w:rsid w:val="6231C0CD"/>
    <w:rsid w:val="6246FEF9"/>
    <w:rsid w:val="6270E920"/>
    <w:rsid w:val="6273F310"/>
    <w:rsid w:val="62B06C81"/>
    <w:rsid w:val="63154686"/>
    <w:rsid w:val="6315A886"/>
    <w:rsid w:val="63335B01"/>
    <w:rsid w:val="6340E9F3"/>
    <w:rsid w:val="6351C1A9"/>
    <w:rsid w:val="6363ECF3"/>
    <w:rsid w:val="63807AC2"/>
    <w:rsid w:val="639AC908"/>
    <w:rsid w:val="63B628AA"/>
    <w:rsid w:val="63C4B798"/>
    <w:rsid w:val="63CC32F4"/>
    <w:rsid w:val="640F1860"/>
    <w:rsid w:val="640FE43C"/>
    <w:rsid w:val="6411DD76"/>
    <w:rsid w:val="6433EF85"/>
    <w:rsid w:val="64424A62"/>
    <w:rsid w:val="64468034"/>
    <w:rsid w:val="6461E416"/>
    <w:rsid w:val="64632E01"/>
    <w:rsid w:val="646D9483"/>
    <w:rsid w:val="6479539F"/>
    <w:rsid w:val="6483A414"/>
    <w:rsid w:val="64979BAD"/>
    <w:rsid w:val="64ACC17A"/>
    <w:rsid w:val="64B7C1FC"/>
    <w:rsid w:val="64CF04E3"/>
    <w:rsid w:val="64DAD46F"/>
    <w:rsid w:val="64ECA27E"/>
    <w:rsid w:val="6502E848"/>
    <w:rsid w:val="6505C899"/>
    <w:rsid w:val="65171C86"/>
    <w:rsid w:val="6530A361"/>
    <w:rsid w:val="653B972C"/>
    <w:rsid w:val="6547A484"/>
    <w:rsid w:val="6549A1D2"/>
    <w:rsid w:val="654BA3EF"/>
    <w:rsid w:val="654EA44A"/>
    <w:rsid w:val="65648D59"/>
    <w:rsid w:val="656AE2C8"/>
    <w:rsid w:val="658022EC"/>
    <w:rsid w:val="6588FB27"/>
    <w:rsid w:val="65A64111"/>
    <w:rsid w:val="65A79A24"/>
    <w:rsid w:val="65A7A98B"/>
    <w:rsid w:val="65B8C148"/>
    <w:rsid w:val="65F1E2DD"/>
    <w:rsid w:val="66149F0F"/>
    <w:rsid w:val="66369234"/>
    <w:rsid w:val="6641CC7B"/>
    <w:rsid w:val="6661CC3E"/>
    <w:rsid w:val="666DD3B8"/>
    <w:rsid w:val="6681D274"/>
    <w:rsid w:val="66C4D7E6"/>
    <w:rsid w:val="66D25CBA"/>
    <w:rsid w:val="66DA9629"/>
    <w:rsid w:val="66FC45FD"/>
    <w:rsid w:val="6708A45D"/>
    <w:rsid w:val="671C3B86"/>
    <w:rsid w:val="67526F24"/>
    <w:rsid w:val="67693434"/>
    <w:rsid w:val="67718DDF"/>
    <w:rsid w:val="6777D0F2"/>
    <w:rsid w:val="678438A3"/>
    <w:rsid w:val="6784F90B"/>
    <w:rsid w:val="67866BDD"/>
    <w:rsid w:val="67895004"/>
    <w:rsid w:val="67B858D7"/>
    <w:rsid w:val="67BF3C8C"/>
    <w:rsid w:val="67C21518"/>
    <w:rsid w:val="67CCC760"/>
    <w:rsid w:val="67CDEE7F"/>
    <w:rsid w:val="67DD2B8C"/>
    <w:rsid w:val="67E167E2"/>
    <w:rsid w:val="67F123A3"/>
    <w:rsid w:val="67F41EE8"/>
    <w:rsid w:val="680EE888"/>
    <w:rsid w:val="681057DB"/>
    <w:rsid w:val="68107B59"/>
    <w:rsid w:val="683A3809"/>
    <w:rsid w:val="68479CED"/>
    <w:rsid w:val="6860AC29"/>
    <w:rsid w:val="6865451A"/>
    <w:rsid w:val="6867266B"/>
    <w:rsid w:val="68752965"/>
    <w:rsid w:val="6875FAD6"/>
    <w:rsid w:val="6890C49E"/>
    <w:rsid w:val="68935A97"/>
    <w:rsid w:val="68DF4D6A"/>
    <w:rsid w:val="68E50449"/>
    <w:rsid w:val="68E8A89C"/>
    <w:rsid w:val="68EAACE9"/>
    <w:rsid w:val="68ED7DCB"/>
    <w:rsid w:val="68F826BD"/>
    <w:rsid w:val="69176402"/>
    <w:rsid w:val="69270986"/>
    <w:rsid w:val="69338ABD"/>
    <w:rsid w:val="6933E196"/>
    <w:rsid w:val="69406B91"/>
    <w:rsid w:val="694ADB10"/>
    <w:rsid w:val="695017CC"/>
    <w:rsid w:val="695B0BF5"/>
    <w:rsid w:val="696977C9"/>
    <w:rsid w:val="69721DCD"/>
    <w:rsid w:val="6996F456"/>
    <w:rsid w:val="69A057DA"/>
    <w:rsid w:val="69AA2268"/>
    <w:rsid w:val="69CC01F5"/>
    <w:rsid w:val="6A072217"/>
    <w:rsid w:val="6A109131"/>
    <w:rsid w:val="6A186D69"/>
    <w:rsid w:val="6A5E71A3"/>
    <w:rsid w:val="6A614716"/>
    <w:rsid w:val="6A7A28AC"/>
    <w:rsid w:val="6A8B57D0"/>
    <w:rsid w:val="6AA26D72"/>
    <w:rsid w:val="6AA7122A"/>
    <w:rsid w:val="6AC1BD52"/>
    <w:rsid w:val="6AE3E227"/>
    <w:rsid w:val="6B12FB20"/>
    <w:rsid w:val="6B144161"/>
    <w:rsid w:val="6B1ED663"/>
    <w:rsid w:val="6B2DD331"/>
    <w:rsid w:val="6B64D1DC"/>
    <w:rsid w:val="6B6E6167"/>
    <w:rsid w:val="6B7ABF9B"/>
    <w:rsid w:val="6B7F3BB1"/>
    <w:rsid w:val="6B858885"/>
    <w:rsid w:val="6B90D586"/>
    <w:rsid w:val="6BA2E7F5"/>
    <w:rsid w:val="6BB51FA9"/>
    <w:rsid w:val="6BB5A2B6"/>
    <w:rsid w:val="6BC9D3A2"/>
    <w:rsid w:val="6BCE7B20"/>
    <w:rsid w:val="6BDB03EA"/>
    <w:rsid w:val="6BF03662"/>
    <w:rsid w:val="6C0C9A9B"/>
    <w:rsid w:val="6C26E620"/>
    <w:rsid w:val="6C434A90"/>
    <w:rsid w:val="6C5976B0"/>
    <w:rsid w:val="6C5EE15B"/>
    <w:rsid w:val="6C6B7070"/>
    <w:rsid w:val="6C7448E1"/>
    <w:rsid w:val="6C7A941C"/>
    <w:rsid w:val="6C7F1CAD"/>
    <w:rsid w:val="6C8C39F2"/>
    <w:rsid w:val="6CA220F9"/>
    <w:rsid w:val="6CA554FA"/>
    <w:rsid w:val="6CA61DE9"/>
    <w:rsid w:val="6CD438A2"/>
    <w:rsid w:val="6CFADD46"/>
    <w:rsid w:val="6D0106DE"/>
    <w:rsid w:val="6D0982F7"/>
    <w:rsid w:val="6D17DC72"/>
    <w:rsid w:val="6D1D08A7"/>
    <w:rsid w:val="6D51F867"/>
    <w:rsid w:val="6D66A4D1"/>
    <w:rsid w:val="6D702319"/>
    <w:rsid w:val="6D8017BF"/>
    <w:rsid w:val="6D8C9088"/>
    <w:rsid w:val="6DABA218"/>
    <w:rsid w:val="6DB45AC8"/>
    <w:rsid w:val="6DC350D2"/>
    <w:rsid w:val="6DE1E311"/>
    <w:rsid w:val="6E00E59D"/>
    <w:rsid w:val="6E057375"/>
    <w:rsid w:val="6E1D0D3C"/>
    <w:rsid w:val="6E203EB8"/>
    <w:rsid w:val="6E2E9073"/>
    <w:rsid w:val="6E6B0B43"/>
    <w:rsid w:val="6E74D874"/>
    <w:rsid w:val="6E790392"/>
    <w:rsid w:val="6E7F46CC"/>
    <w:rsid w:val="6E973FFC"/>
    <w:rsid w:val="6EC96B0E"/>
    <w:rsid w:val="6ED03996"/>
    <w:rsid w:val="6ED2E290"/>
    <w:rsid w:val="6EDEAF71"/>
    <w:rsid w:val="6F00C046"/>
    <w:rsid w:val="6F255001"/>
    <w:rsid w:val="6F427B64"/>
    <w:rsid w:val="6F527F46"/>
    <w:rsid w:val="6F668360"/>
    <w:rsid w:val="6F77AAF1"/>
    <w:rsid w:val="6F7B30DE"/>
    <w:rsid w:val="6F7B5319"/>
    <w:rsid w:val="6F7FFCB9"/>
    <w:rsid w:val="6F9458E0"/>
    <w:rsid w:val="6FFCB9A0"/>
    <w:rsid w:val="7018D94A"/>
    <w:rsid w:val="70342155"/>
    <w:rsid w:val="70347162"/>
    <w:rsid w:val="703E54DA"/>
    <w:rsid w:val="70490099"/>
    <w:rsid w:val="704A1153"/>
    <w:rsid w:val="7063FFA5"/>
    <w:rsid w:val="70B3521B"/>
    <w:rsid w:val="70D50599"/>
    <w:rsid w:val="70E06092"/>
    <w:rsid w:val="70F8AF42"/>
    <w:rsid w:val="71097772"/>
    <w:rsid w:val="710A7A4E"/>
    <w:rsid w:val="7130C977"/>
    <w:rsid w:val="7148B08C"/>
    <w:rsid w:val="715064A7"/>
    <w:rsid w:val="71597E61"/>
    <w:rsid w:val="715B3CEE"/>
    <w:rsid w:val="71603B5F"/>
    <w:rsid w:val="7165E67C"/>
    <w:rsid w:val="71682118"/>
    <w:rsid w:val="71B1223E"/>
    <w:rsid w:val="71BD8098"/>
    <w:rsid w:val="71ECE325"/>
    <w:rsid w:val="71EF6074"/>
    <w:rsid w:val="71F59449"/>
    <w:rsid w:val="71FB24E6"/>
    <w:rsid w:val="721FE7D7"/>
    <w:rsid w:val="72254C5E"/>
    <w:rsid w:val="72394DA9"/>
    <w:rsid w:val="724160F5"/>
    <w:rsid w:val="72493A25"/>
    <w:rsid w:val="724D3550"/>
    <w:rsid w:val="7253BD9D"/>
    <w:rsid w:val="727635FE"/>
    <w:rsid w:val="727E2375"/>
    <w:rsid w:val="7293E571"/>
    <w:rsid w:val="729DC11F"/>
    <w:rsid w:val="72A2C600"/>
    <w:rsid w:val="72DAFB91"/>
    <w:rsid w:val="73165341"/>
    <w:rsid w:val="731FFF41"/>
    <w:rsid w:val="734DAB94"/>
    <w:rsid w:val="7359CF25"/>
    <w:rsid w:val="7375CDAD"/>
    <w:rsid w:val="737DF636"/>
    <w:rsid w:val="73834A3D"/>
    <w:rsid w:val="739BB922"/>
    <w:rsid w:val="73A1098C"/>
    <w:rsid w:val="73BD85E4"/>
    <w:rsid w:val="73CCDEA5"/>
    <w:rsid w:val="73DF5017"/>
    <w:rsid w:val="74020A23"/>
    <w:rsid w:val="74316547"/>
    <w:rsid w:val="7457E472"/>
    <w:rsid w:val="74599084"/>
    <w:rsid w:val="74713FC2"/>
    <w:rsid w:val="7486C847"/>
    <w:rsid w:val="74A68A9C"/>
    <w:rsid w:val="74D31EDC"/>
    <w:rsid w:val="74D758A2"/>
    <w:rsid w:val="74EB8505"/>
    <w:rsid w:val="74EE4CA1"/>
    <w:rsid w:val="750492B3"/>
    <w:rsid w:val="751B82B3"/>
    <w:rsid w:val="7522A4E7"/>
    <w:rsid w:val="752A09E2"/>
    <w:rsid w:val="752ECE06"/>
    <w:rsid w:val="755C3CE7"/>
    <w:rsid w:val="75664237"/>
    <w:rsid w:val="756C67B7"/>
    <w:rsid w:val="7592503F"/>
    <w:rsid w:val="75B16E20"/>
    <w:rsid w:val="75EE3DEF"/>
    <w:rsid w:val="761027D6"/>
    <w:rsid w:val="76126CF1"/>
    <w:rsid w:val="761B673A"/>
    <w:rsid w:val="76385017"/>
    <w:rsid w:val="763C73D1"/>
    <w:rsid w:val="764FEB9C"/>
    <w:rsid w:val="7654A4EB"/>
    <w:rsid w:val="765E5C99"/>
    <w:rsid w:val="76B5B4BD"/>
    <w:rsid w:val="7709B409"/>
    <w:rsid w:val="772D4CD5"/>
    <w:rsid w:val="773551A0"/>
    <w:rsid w:val="773A8BF9"/>
    <w:rsid w:val="773ACDA3"/>
    <w:rsid w:val="77553546"/>
    <w:rsid w:val="775C4C0F"/>
    <w:rsid w:val="77808B0F"/>
    <w:rsid w:val="7784A3C5"/>
    <w:rsid w:val="779BC63D"/>
    <w:rsid w:val="77AACDB8"/>
    <w:rsid w:val="77BECD33"/>
    <w:rsid w:val="77F3DD6E"/>
    <w:rsid w:val="7810D4AF"/>
    <w:rsid w:val="782D5659"/>
    <w:rsid w:val="785E4A67"/>
    <w:rsid w:val="7867E115"/>
    <w:rsid w:val="7876E3E3"/>
    <w:rsid w:val="788C860C"/>
    <w:rsid w:val="7897CDE7"/>
    <w:rsid w:val="78A76809"/>
    <w:rsid w:val="78B4F96D"/>
    <w:rsid w:val="78C81733"/>
    <w:rsid w:val="78CB3F74"/>
    <w:rsid w:val="7900E14A"/>
    <w:rsid w:val="7908AC3E"/>
    <w:rsid w:val="790B5114"/>
    <w:rsid w:val="79126C43"/>
    <w:rsid w:val="7938A743"/>
    <w:rsid w:val="795A9400"/>
    <w:rsid w:val="795CCC7A"/>
    <w:rsid w:val="79778F5A"/>
    <w:rsid w:val="797F2791"/>
    <w:rsid w:val="79ABE8F8"/>
    <w:rsid w:val="79D68624"/>
    <w:rsid w:val="79E009C0"/>
    <w:rsid w:val="79F16A02"/>
    <w:rsid w:val="7A27C54E"/>
    <w:rsid w:val="7A3D7B58"/>
    <w:rsid w:val="7A47310D"/>
    <w:rsid w:val="7A485C74"/>
    <w:rsid w:val="7A4EC3B1"/>
    <w:rsid w:val="7A5185A1"/>
    <w:rsid w:val="7A5844C1"/>
    <w:rsid w:val="7A7E03E0"/>
    <w:rsid w:val="7A93B941"/>
    <w:rsid w:val="7AC031C7"/>
    <w:rsid w:val="7ACE7D6E"/>
    <w:rsid w:val="7AD3CB18"/>
    <w:rsid w:val="7AEE1A99"/>
    <w:rsid w:val="7AF3FAB6"/>
    <w:rsid w:val="7AFA4746"/>
    <w:rsid w:val="7B1A3F64"/>
    <w:rsid w:val="7B2347B1"/>
    <w:rsid w:val="7B44351F"/>
    <w:rsid w:val="7B6FAF95"/>
    <w:rsid w:val="7B774037"/>
    <w:rsid w:val="7B894327"/>
    <w:rsid w:val="7B9638F8"/>
    <w:rsid w:val="7BA3DAFB"/>
    <w:rsid w:val="7BB665F9"/>
    <w:rsid w:val="7BD421CC"/>
    <w:rsid w:val="7BFE1E01"/>
    <w:rsid w:val="7C1D442B"/>
    <w:rsid w:val="7C1D744C"/>
    <w:rsid w:val="7C2CE792"/>
    <w:rsid w:val="7C46E744"/>
    <w:rsid w:val="7C48A049"/>
    <w:rsid w:val="7C5EFD5B"/>
    <w:rsid w:val="7C602302"/>
    <w:rsid w:val="7C74BBEF"/>
    <w:rsid w:val="7C7BF21B"/>
    <w:rsid w:val="7C9567A8"/>
    <w:rsid w:val="7CA049EF"/>
    <w:rsid w:val="7CC6F463"/>
    <w:rsid w:val="7CD94BD0"/>
    <w:rsid w:val="7CF37C57"/>
    <w:rsid w:val="7CF94CC2"/>
    <w:rsid w:val="7CFE8622"/>
    <w:rsid w:val="7D0D0ECF"/>
    <w:rsid w:val="7D347ADC"/>
    <w:rsid w:val="7D7258BF"/>
    <w:rsid w:val="7DAEE84F"/>
    <w:rsid w:val="7DBACABF"/>
    <w:rsid w:val="7DC2E38D"/>
    <w:rsid w:val="7DD6AAE3"/>
    <w:rsid w:val="7DF091E9"/>
    <w:rsid w:val="7E37C4EC"/>
    <w:rsid w:val="7E450001"/>
    <w:rsid w:val="7E4B1E06"/>
    <w:rsid w:val="7E4C7D89"/>
    <w:rsid w:val="7E4EDDB3"/>
    <w:rsid w:val="7E821A5F"/>
    <w:rsid w:val="7EB50711"/>
    <w:rsid w:val="7EB7FD74"/>
    <w:rsid w:val="7EBD9640"/>
    <w:rsid w:val="7EC3B268"/>
    <w:rsid w:val="7ECB57C8"/>
    <w:rsid w:val="7EEDAD6A"/>
    <w:rsid w:val="7F057911"/>
    <w:rsid w:val="7F2EAEC1"/>
    <w:rsid w:val="7F538170"/>
    <w:rsid w:val="7F563673"/>
    <w:rsid w:val="7F732F38"/>
    <w:rsid w:val="7F755FDA"/>
    <w:rsid w:val="7F88407D"/>
    <w:rsid w:val="7FA15826"/>
    <w:rsid w:val="7FA70D86"/>
    <w:rsid w:val="7FBB2942"/>
    <w:rsid w:val="7FC32D04"/>
    <w:rsid w:val="7FF417AE"/>
    <w:rsid w:val="7FF5FD91"/>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before="0" w:after="140" w:line="252" w:lineRule="auto"/>
      <w:jc w:val="left"/>
    </w:pPr>
    <w:rPr>
      <w:rFonts w:ascii="Calibri" w:hAnsi="Calibri" w:eastAsia="Calibri" w:cs="Calibri"/>
      <w:color w:val="000000"/>
      <w:sz w:val="22"/>
    </w:rPr>
  </w:style>
  <w:style w:styleId="Heading1" w:type="paragraph">
    <w:name w:val="heading 1"/>
    <w:basedOn w:val="Normal"/>
    <w:next w:val="BodyText"/>
    <w:link w:val="Heading1Char"/>
    <w:uiPriority w:val="9"/>
    <w:qFormat/>
    <w:rsid w:val="00A10FD9"/>
    <w:pPr>
      <w:keepNext/>
      <w:keepLines/>
      <w:spacing w:after="80" w:before="280"/>
      <w:outlineLvl w:val="0"/>
    </w:pPr>
    <w:rPr>
      <w:rFonts w:asciiTheme="majorHAnsi" w:cstheme="majorBidi" w:eastAsiaTheme="majorEastAsia" w:hAnsiTheme="majorHAnsi" w:ascii="Calibri" w:hAnsi="Calibri" w:eastAsia="Calibri" w:cs="Calibri"/>
      <w:color w:val="0F4761"/>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Calibri" w:hAnsi="Calibri" w:eastAsia="Calibri" w:cs="Calibri"/>
      <w:color w:val="0F4761"/>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40"/>
      <w:outlineLvl w:val="2"/>
    </w:pPr>
    <w:rPr>
      <w:rFonts w:cstheme="majorBidi" w:eastAsiaTheme="majorEastAsia" w:ascii="Calibri" w:hAnsi="Calibri" w:eastAsia="Calibri" w:cs="Calibri"/>
      <w:color w:val="0F4761"/>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widowControl/>
      <w:spacing w:after="140" w:before="0" w:line="252" w:lineRule="auto"/>
      <w:jc w:val="left"/>
    </w:pPr>
    <w:rPr>
      <w:rFonts w:ascii="Calibri" w:hAnsi="Calibri" w:eastAsia="Calibri" w:cs="Calibri"/>
      <w:color w:val="000000"/>
      <w:sz w:val="22"/>
    </w:rPr>
  </w:style>
  <w:style w:customStyle="1" w:styleId="FirstParagraph" w:type="paragraph">
    <w:name w:val="First Paragraph"/>
    <w:basedOn w:val="BodyText"/>
    <w:next w:val="BodyText"/>
    <w:qFormat/>
    <w:pPr>
      <w:widowControl/>
      <w:spacing w:before="0" w:after="140" w:line="252" w:lineRule="auto"/>
      <w:jc w:val="left"/>
    </w:pPr>
    <w:rPr>
      <w:rFonts w:ascii="Calibri" w:hAnsi="Calibri" w:eastAsia="Calibri" w:cs="Calibri"/>
      <w:color w:val="000000"/>
      <w:sz w:val="22"/>
    </w:rPr>
  </w:style>
  <w:style w:customStyle="1" w:styleId="Compact" w:type="paragraph">
    <w:name w:val="Compact"/>
    <w:basedOn w:val="BodyText"/>
    <w:qFormat/>
    <w:pPr>
      <w:spacing w:after="36" w:before="36"/>
    </w:pPr>
    <w:rPr>
      <w:rFonts w:ascii="Calibri" w:hAnsi="Calibri" w:eastAsia="Calibri" w:cs="Calibri"/>
      <w:color w:val="000000"/>
      <w:sz w:val="18"/>
    </w:rPr>
  </w:style>
  <w:style w:styleId="Title" w:type="paragraph">
    <w:name w:val="Title"/>
    <w:basedOn w:val="Normal"/>
    <w:next w:val="BodyText"/>
    <w:link w:val="TitleChar"/>
    <w:uiPriority w:val="10"/>
    <w:qFormat/>
    <w:rsid w:val="00A10FD9"/>
    <w:pPr>
      <w:spacing w:after="160"/>
      <w:contextualSpacing/>
      <w:jc w:val="center"/>
    </w:pPr>
    <w:rPr>
      <w:rFonts w:asciiTheme="majorHAnsi" w:cstheme="majorBidi" w:eastAsiaTheme="majorEastAsia" w:hAnsiTheme="majorHAnsi" w:ascii="Calibri" w:hAnsi="Calibri" w:eastAsia="Calibri" w:cs="Calibri"/>
      <w:color w:val="000000"/>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pPr>
      <w:spacing w:before="0" w:after="80"/>
      <w:ind w:left="317" w:hanging="317"/>
    </w:pPr>
    <w:rPr>
      <w:rFonts w:ascii="Calibri" w:hAnsi="Calibri" w:eastAsia="Calibri" w:cs="Calibri"/>
      <w:color w:val="000000"/>
      <w:sz w:val="18"/>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keepLines/>
      <w:spacing w:after="140" w:before="60"/>
    </w:pPr>
    <w:rPr>
      <w:rFonts w:ascii="Calibri" w:hAnsi="Calibri" w:eastAsia="Calibri" w:cs="Calibri"/>
      <w:i/>
      <w:color w:val="000000"/>
      <w:sz w:val="20"/>
    </w:rPr>
  </w:style>
  <w:style w:customStyle="1" w:styleId="TableCaption" w:type="paragraph">
    <w:name w:val="Table Caption"/>
    <w:basedOn w:val="Caption"/>
    <w:pPr>
      <w:keepNext/>
      <w:keepLines/>
      <w:spacing w:before="60" w:after="140"/>
    </w:pPr>
    <w:rPr>
      <w:rFonts w:ascii="Calibri" w:hAnsi="Calibri" w:eastAsia="Calibri" w:cs="Calibri"/>
      <w:i/>
      <w:color w:val="000000"/>
      <w:sz w:val="20"/>
    </w:rPr>
  </w:style>
  <w:style w:customStyle="1" w:styleId="ImageCaption" w:type="paragraph">
    <w:name w:val="Image Caption"/>
    <w:basedOn w:val="Caption"/>
    <w:pPr>
      <w:keepLines/>
      <w:spacing w:before="60" w:after="140"/>
    </w:pPr>
    <w:rPr>
      <w:rFonts w:ascii="Calibri" w:hAnsi="Calibri" w:eastAsia="Calibri" w:cs="Calibri"/>
      <w:i/>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CommentReference" w:type="character">
    <w:name w:val="annotation reference"/>
    <w:basedOn w:val="DefaultParagraphFont"/>
    <w:rsid w:val="00B57DB4"/>
    <w:rPr>
      <w:sz w:val="16"/>
      <w:szCs w:val="16"/>
    </w:rPr>
  </w:style>
  <w:style w:styleId="CommentText" w:type="paragraph">
    <w:name w:val="annotation text"/>
    <w:basedOn w:val="Normal"/>
    <w:link w:val="CommentTextChar"/>
    <w:rsid w:val="00B57DB4"/>
    <w:rPr>
      <w:sz w:val="20"/>
      <w:szCs w:val="20"/>
    </w:rPr>
  </w:style>
  <w:style w:customStyle="1" w:styleId="CommentTextChar" w:type="character">
    <w:name w:val="Comment Text Char"/>
    <w:basedOn w:val="DefaultParagraphFont"/>
    <w:link w:val="CommentText"/>
    <w:rsid w:val="00B57DB4"/>
    <w:rPr>
      <w:sz w:val="20"/>
      <w:szCs w:val="20"/>
    </w:rPr>
  </w:style>
  <w:style w:styleId="CommentSubject" w:type="paragraph">
    <w:name w:val="annotation subject"/>
    <w:basedOn w:val="CommentText"/>
    <w:next w:val="CommentText"/>
    <w:link w:val="CommentSubjectChar"/>
    <w:rsid w:val="00B57DB4"/>
    <w:rPr>
      <w:b/>
      <w:bCs/>
    </w:rPr>
  </w:style>
  <w:style w:customStyle="1" w:styleId="CommentSubjectChar" w:type="character">
    <w:name w:val="Comment Subject Char"/>
    <w:basedOn w:val="CommentTextChar"/>
    <w:link w:val="CommentSubject"/>
    <w:rsid w:val="00B57DB4"/>
    <w:rPr>
      <w:b/>
      <w:bCs/>
      <w:sz w:val="20"/>
      <w:szCs w:val="20"/>
    </w:rPr>
  </w:style>
  <w:style w:styleId="Mention" w:type="character">
    <w:name w:val="Mention"/>
    <w:basedOn w:val="DefaultParagraphFont"/>
    <w:uiPriority w:val="99"/>
    <w:unhideWhenUsed/>
    <w:rsid w:val="00B57DB4"/>
    <w:rPr>
      <w:color w:val="2B579A"/>
      <w:shd w:color="auto" w:fill="E1DFDD"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ns0:Relationships xmlns:ns0="http://schemas.openxmlformats.org/package/2006/relationships"><ns0:Relationship Id="rId31" Type="http://schemas.openxmlformats.org/officeDocument/2006/relationships/numbering" Target="numbering.xml" /><ns0:Relationship Id="rId30" Type="http://schemas.openxmlformats.org/officeDocument/2006/relationships/styles" Target="styles.xml" /><ns0:Relationship Id="rId29" Type="http://schemas.openxmlformats.org/officeDocument/2006/relationships/settings" Target="settings.xml" /><ns0:Relationship Id="rId28" Type="http://schemas.openxmlformats.org/officeDocument/2006/relationships/webSettings" Target="webSettings.xml" /><ns0:Relationship Id="rId27" Type="http://schemas.openxmlformats.org/officeDocument/2006/relationships/fontTable" Target="fontTable.xml" /><ns0:Relationship Id="rId26" Type="http://schemas.openxmlformats.org/officeDocument/2006/relationships/theme" Target="theme/theme1.xml" /><ns0:Relationship Id="rId25" Type="http://schemas.openxmlformats.org/officeDocument/2006/relationships/footnotes" Target="footnotes.xml" /><ns0:Relationship Id="rId21" Type="http://schemas.openxmlformats.org/officeDocument/2006/relationships/image" Target="media/image10.png" /><ns0:Relationship Id="rId16" Type="http://schemas.openxmlformats.org/officeDocument/2006/relationships/image" Target="media/image5.png" /><ns0:Relationship Id="rId19" Type="http://schemas.openxmlformats.org/officeDocument/2006/relationships/image" Target="media/image8.png" /><ns0:Relationship Id="rId14" Type="http://schemas.openxmlformats.org/officeDocument/2006/relationships/image" Target="media/image3.png" /><ns0:Relationship Id="rId22" Type="http://schemas.openxmlformats.org/officeDocument/2006/relationships/image" Target="media/image11.png" /><ns0:Relationship Id="rId12" Type="http://schemas.openxmlformats.org/officeDocument/2006/relationships/image" Target="media/image1.png" /><ns0:Relationship Id="rId17" Type="http://schemas.openxmlformats.org/officeDocument/2006/relationships/image" Target="media/image6.png" /><ns0:Relationship Id="rId20" Type="http://schemas.openxmlformats.org/officeDocument/2006/relationships/image" Target="media/image9.png" /><ns0:Relationship Id="rId15" Type="http://schemas.openxmlformats.org/officeDocument/2006/relationships/image" Target="media/image4.png" /><ns0:Relationship Id="rId23" Type="http://schemas.openxmlformats.org/officeDocument/2006/relationships/image" Target="media/image12.png" /><ns0:Relationship Id="rId13" Type="http://schemas.openxmlformats.org/officeDocument/2006/relationships/image" Target="media/image2.png" /><ns0:Relationship Id="rId18" Type="http://schemas.openxmlformats.org/officeDocument/2006/relationships/image" Target="media/image7.png" /><ns0:Relationship Id="rId81" Type="http://schemas.openxmlformats.org/officeDocument/2006/relationships/image" Target="media/rId81.png" /><ns0:Relationship Id="rId103" Type="http://schemas.openxmlformats.org/officeDocument/2006/relationships/image" Target="media/rId103.png" /><ns0:Relationship Id="rId57" Type="http://schemas.openxmlformats.org/officeDocument/2006/relationships/image" Target="media/rId57.png" /><ns0:Relationship Id="rId77" Type="http://schemas.openxmlformats.org/officeDocument/2006/relationships/image" Target="media/rId77.png" /><ns0:Relationship Id="rId99" Type="http://schemas.openxmlformats.org/officeDocument/2006/relationships/image" Target="media/rId99.png" /><ns0:Relationship Id="rId109" Type="http://schemas.openxmlformats.org/officeDocument/2006/relationships/image" Target="media/rId109.png" /><ns0:Relationship Id="rId72" Type="http://schemas.openxmlformats.org/officeDocument/2006/relationships/image" Target="media/rId72.png" /><ns0:Relationship Id="rId94" Type="http://schemas.openxmlformats.org/officeDocument/2006/relationships/image" Target="media/rId94.png" /><ns0:Relationship Id="rId68" Type="http://schemas.openxmlformats.org/officeDocument/2006/relationships/image" Target="media/rId68.png" /><ns0:Relationship Id="rId90" Type="http://schemas.openxmlformats.org/officeDocument/2006/relationships/image" Target="media/rId90.png" /><ns0:Relationship Id="rId50" Type="http://schemas.openxmlformats.org/officeDocument/2006/relationships/image" Target="media/rId50.png" /><ns0:Relationship Id="rId115" Type="http://schemas.openxmlformats.org/officeDocument/2006/relationships/image" Target="media/rId115.png" /><ns0:Relationship Id="rId62" Type="http://schemas.openxmlformats.org/officeDocument/2006/relationships/image" Target="media/rId62.png" /><ns0:Relationship Id="rId212" Type="http://schemas.openxmlformats.org/officeDocument/2006/relationships/hyperlink" Target="http://www.creeksidescience.com" TargetMode="External" /><ns0:Relationship Id="rId234" Type="http://schemas.openxmlformats.org/officeDocument/2006/relationships/hyperlink" Target="https://doi.org/10.1002/eap.1975" TargetMode="External" /><ns0:Relationship Id="rId153" Type="http://schemas.openxmlformats.org/officeDocument/2006/relationships/hyperlink" Target="https://doi.org/10.1002/ece3.5607" TargetMode="External" /><ns0:Relationship Id="rId143" Type="http://schemas.openxmlformats.org/officeDocument/2006/relationships/hyperlink" Target="https://doi.org/10.1002/ecy.3634" TargetMode="External" /><ns0:Relationship Id="rId193" Type="http://schemas.openxmlformats.org/officeDocument/2006/relationships/hyperlink" Target="https://doi.org/10.1007/BF00298260" TargetMode="External" /><ns0:Relationship Id="rId139" Type="http://schemas.openxmlformats.org/officeDocument/2006/relationships/hyperlink" Target="https://doi.org/10.1007/BF00329753" TargetMode="External" /><ns0:Relationship Id="rId180" Type="http://schemas.openxmlformats.org/officeDocument/2006/relationships/hyperlink" Target="https://doi.org/10.1016/0022-1910(76)90046-9" TargetMode="External" /><ns0:Relationship Id="rId159" Type="http://schemas.openxmlformats.org/officeDocument/2006/relationships/hyperlink" Target="https://doi.org/10.1016/0022-1910(79)90112-4" TargetMode="External" /><ns0:Relationship Id="rId254" Type="http://schemas.openxmlformats.org/officeDocument/2006/relationships/hyperlink" Target="https://doi.org/10.1016/S0022-5193(05)80255-3" TargetMode="External" /><ns0:Relationship Id="rId228" Type="http://schemas.openxmlformats.org/officeDocument/2006/relationships/hyperlink" Target="https://doi.org/10.1016/j.biocon.2017.08.019" TargetMode="External" /><ns0:Relationship Id="rId174" Type="http://schemas.openxmlformats.org/officeDocument/2006/relationships/hyperlink" Target="https://doi.org/10.1016/j.cub.2018.02.067" TargetMode="External" /><ns0:Relationship Id="rId155" Type="http://schemas.openxmlformats.org/officeDocument/2006/relationships/hyperlink" Target="https://doi.org/10.1016/j.jinsphys.2011.05.004" TargetMode="External" /><ns0:Relationship Id="rId151" Type="http://schemas.openxmlformats.org/officeDocument/2006/relationships/hyperlink" Target="https://doi.org/10.1016/j.jtherbio.2014.05.004" TargetMode="External" /><ns0:Relationship Id="rId147" Type="http://schemas.openxmlformats.org/officeDocument/2006/relationships/hyperlink" Target="https://doi.org/10.1016/j.tree.2015.09.011" TargetMode="External" /><ns0:Relationship Id="rId170" Type="http://schemas.openxmlformats.org/officeDocument/2006/relationships/hyperlink" Target="https://doi.org/10.1038/s41467-020-14408-8" TargetMode="External" /><ns0:Relationship Id="rId238" Type="http://schemas.openxmlformats.org/officeDocument/2006/relationships/hyperlink" Target="https://doi.org/10.1038/s41598-017-14510-w" TargetMode="External" /><ns0:Relationship Id="rId172" Type="http://schemas.openxmlformats.org/officeDocument/2006/relationships/hyperlink" Target="https://doi.org/10.1038/s41598-021-02810-1" TargetMode="External" /><ns0:Relationship Id="rId176" Type="http://schemas.openxmlformats.org/officeDocument/2006/relationships/hyperlink" Target="https://doi.org/10.1046/j.1365-2311.2002.00454.x" TargetMode="External" /><ns0:Relationship Id="rId240" Type="http://schemas.openxmlformats.org/officeDocument/2006/relationships/hyperlink" Target="https://doi.org/10.1073/pnas.152137299" TargetMode="External" /><ns0:Relationship Id="rId260" Type="http://schemas.openxmlformats.org/officeDocument/2006/relationships/hyperlink" Target="https://doi.org/10.1073/pnas.1604824113" TargetMode="External" /><ns0:Relationship Id="rId157" Type="http://schemas.openxmlformats.org/officeDocument/2006/relationships/hyperlink" Target="https://doi.org/10.1086/698656" TargetMode="External" /><ns0:Relationship Id="rId201" Type="http://schemas.openxmlformats.org/officeDocument/2006/relationships/hyperlink" Target="https://doi.org/10.1093/aesa/83.5.906" TargetMode="External" /><ns0:Relationship Id="rId203" Type="http://schemas.openxmlformats.org/officeDocument/2006/relationships/hyperlink" Target="https://doi.org/10.1093/aesa/84.3.263" TargetMode="External" /><ns0:Relationship Id="rId256" Type="http://schemas.openxmlformats.org/officeDocument/2006/relationships/hyperlink" Target="https://doi.org/10.1093/aesa/85.2.148" TargetMode="External" /><ns0:Relationship Id="rId166" Type="http://schemas.openxmlformats.org/officeDocument/2006/relationships/hyperlink" Target="https://doi.org/10.1093/icb/icaf025" TargetMode="External" /><ns0:Relationship Id="rId178" Type="http://schemas.openxmlformats.org/officeDocument/2006/relationships/hyperlink" Target="https://doi.org/10.1098/rspb.2001.1765" TargetMode="External" /><ns0:Relationship Id="rId168" Type="http://schemas.openxmlformats.org/officeDocument/2006/relationships/hyperlink" Target="https://doi.org/10.1098/rspb.2019.0234" TargetMode="External" /><ns0:Relationship Id="rId164" Type="http://schemas.openxmlformats.org/officeDocument/2006/relationships/hyperlink" Target="https://doi.org/10.1111/aen.12175" TargetMode="External" /><ns0:Relationship Id="rId221" Type="http://schemas.openxmlformats.org/officeDocument/2006/relationships/hyperlink" Target="https://doi.org/10.1111/csp2.70253" TargetMode="External" /><ns0:Relationship Id="rId182" Type="http://schemas.openxmlformats.org/officeDocument/2006/relationships/hyperlink" Target="https://doi.org/10.1111/ecog.01994" TargetMode="External" /><ns0:Relationship Id="rId184" Type="http://schemas.openxmlformats.org/officeDocument/2006/relationships/hyperlink" Target="https://doi.org/10.1111/j.1365-2311.1978.tb00912.x" TargetMode="External" /><ns0:Relationship Id="rId186" Type="http://schemas.openxmlformats.org/officeDocument/2006/relationships/hyperlink" Target="https://doi.org/10.1111/j.1365-2311.1982.tb00664.x" TargetMode="External" /><ns0:Relationship Id="rId199" Type="http://schemas.openxmlformats.org/officeDocument/2006/relationships/hyperlink" Target="https://doi.org/10.1111/j.1365-2311.1996.tb01177.x" TargetMode="External" /><ns0:Relationship Id="rId242" Type="http://schemas.openxmlformats.org/officeDocument/2006/relationships/hyperlink" Target="https://doi.org/10.1111/j.1366-9516.2005.00146.x" TargetMode="External" /><ns0:Relationship Id="rId149" Type="http://schemas.openxmlformats.org/officeDocument/2006/relationships/hyperlink" Target="https://doi.org/10.1111/j.1472-4642.2010.00642.x" TargetMode="External" /><ns0:Relationship Id="rId219" Type="http://schemas.openxmlformats.org/officeDocument/2006/relationships/hyperlink" Target="https://doi.org/10.1111/j.1523-1739.1991.tb00121.x" TargetMode="External" /><ns0:Relationship Id="rId258" Type="http://schemas.openxmlformats.org/officeDocument/2006/relationships/hyperlink" Target="https://doi.org/10.1126/science.1225883" TargetMode="External" /><ns0:Relationship Id="rId145" Type="http://schemas.openxmlformats.org/officeDocument/2006/relationships/hyperlink" Target="https://doi.org/10.1146/annurev.ecolsys.110308.120317" TargetMode="External" /><ns0:Relationship Id="rId249" Type="http://schemas.openxmlformats.org/officeDocument/2006/relationships/hyperlink" Target="https://doi.org/10.1177/00037028251397426" TargetMode="External" /><ns0:Relationship Id="rId141" Type="http://schemas.openxmlformats.org/officeDocument/2006/relationships/hyperlink" Target="https://doi.org/10.1242/jeb.073668" TargetMode="External" /><ns0:Relationship Id="rId252" Type="http://schemas.openxmlformats.org/officeDocument/2006/relationships/hyperlink" Target="https://doi.org/10.2307/1939973" TargetMode="External" /><ns0:Relationship Id="rId191" Type="http://schemas.openxmlformats.org/officeDocument/2006/relationships/hyperlink" Target="https://doi.org/10.2307/1940444" TargetMode="External" /><ns0:Relationship Id="rId197" Type="http://schemas.openxmlformats.org/officeDocument/2006/relationships/hyperlink" Target="https://doi.org/10.2307/2387997" TargetMode="External" /><ns0:Relationship Id="rId195" Type="http://schemas.openxmlformats.org/officeDocument/2006/relationships/hyperlink" Target="https://doi.org/10.2307/2388612" TargetMode="External" /><ns0:Relationship Id="rId217" Type="http://schemas.openxmlformats.org/officeDocument/2006/relationships/hyperlink" Target="https://doi.org/10.3390/d16100640" TargetMode="External" /><ns0:Relationship Id="rId236" Type="http://schemas.openxmlformats.org/officeDocument/2006/relationships/hyperlink" Target="https://doi.org/10.3390/insects17030235" TargetMode="External" /><ns0:Relationship Id="rId39" Type="http://schemas.openxmlformats.org/officeDocument/2006/relationships/hyperlink" Target="https://kylenessen.github.io/monarch_trailcam_classifier/" TargetMode="External" /><ns0:Relationship Id="rId244" Type="http://schemas.openxmlformats.org/officeDocument/2006/relationships/hyperlink" Target="https://westernmonarchcount.org/" TargetMode="External" /><ns0:Relationship Id="rId215" Type="http://schemas.openxmlformats.org/officeDocument/2006/relationships/hyperlink" Target="https://www.frontiersin.org/articles/10.3389/fcosc.2022.844299" TargetMode="External" /><ns0:Relationship Id="rId230" Type="http://schemas.openxmlformats.org/officeDocument/2006/relationships/hyperlink" Target="https://www.frontiersin.org/articles/10.3389/fevo.2019.00258" TargetMode="External" /><ns0:Relationship Id="rId246" Type="http://schemas.openxmlformats.org/officeDocument/2006/relationships/hyperlink" Target="https://www.frontiersin.org/articles/10.3389/fevo.2019.00266" TargetMode="External" /><ns0:Relationship Id="rId225" Type="http://schemas.openxmlformats.org/officeDocument/2006/relationships/hyperlink" Target="https://www.fws.gov/media/monarch-butterfly-danaus-plexippus-species-status-assessment-report-version-23" TargetMode="External" /><ns0:Relationship Id="rId161" Type="http://schemas.openxmlformats.org/officeDocument/2006/relationships/hyperlink" Target="https://www.ncbi.nlm.nih.gov/pubmed/8551296" TargetMode="External" /><ns0:Relationship Id="rId189" Type="http://schemas.openxmlformats.org/officeDocument/2006/relationships/hyperlink" Target="https://www.semanticscholar.org/paper/Understanding-and-misunderstanding-the-migration-of-Brower/79380ddbf559e310fef9bb8919c03c63ccddecb7" TargetMode="External" /><ns0:Relationship Id="rId223" Type="http://schemas.openxmlformats.org/officeDocument/2006/relationships/hyperlink" Target="https://www.xerces.org" TargetMode="External" /><ns0:Relationship Id="rId232" Type="http://schemas.openxmlformats.org/officeDocument/2006/relationships/hyperlink" Target="https://www.xerces.org/press/western-monarch-butterfly-population-declines-to-near-record-low" TargetMode="External" /><ns0:Relationship Id="rId207" Type="http://schemas.openxmlformats.org/officeDocument/2006/relationships/hyperlink" Target="https://www.xerces.org/sites/default/files/2018-05/16-015_01_XercesSoc_State-of-Monarch-Overwintering-Sites-in-California_web.pdf" TargetMode="External" /><ns0:Relationship Id="rId209" Type="http://schemas.openxmlformats.org/officeDocument/2006/relationships/hyperlink" Target="https://xerces.org/protecting-californias-butterfly-groves" TargetMode="External" /></ns0:Relationships>
</file>

<file path=word/_rels/footnotes.xml.rels><?xml version='1.0' encoding='UTF-8' standalone='yes'?>
<Relationships xmlns="http://schemas.openxmlformats.org/package/2006/relationships"><Relationship Id="rId212" Type="http://schemas.openxmlformats.org/officeDocument/2006/relationships/hyperlink" Target="http://www.creeksidescience.com" TargetMode="External"/><Relationship Id="rId234" Type="http://schemas.openxmlformats.org/officeDocument/2006/relationships/hyperlink" Target="https://doi.org/10.1002/eap.1975" TargetMode="External"/><Relationship Id="rId153" Type="http://schemas.openxmlformats.org/officeDocument/2006/relationships/hyperlink" Target="https://doi.org/10.1002/ece3.5607" TargetMode="External"/><Relationship Id="rId143" Type="http://schemas.openxmlformats.org/officeDocument/2006/relationships/hyperlink" Target="https://doi.org/10.1002/ecy.3634" TargetMode="External"/><Relationship Id="rId193" Type="http://schemas.openxmlformats.org/officeDocument/2006/relationships/hyperlink" Target="https://doi.org/10.1007/BF00298260" TargetMode="External"/><Relationship Id="rId139" Type="http://schemas.openxmlformats.org/officeDocument/2006/relationships/hyperlink" Target="https://doi.org/10.1007/BF00329753" TargetMode="External"/><Relationship Id="rId180" Type="http://schemas.openxmlformats.org/officeDocument/2006/relationships/hyperlink" Target="https://doi.org/10.1016/0022-1910(76)90046-9" TargetMode="External"/><Relationship Id="rId159" Type="http://schemas.openxmlformats.org/officeDocument/2006/relationships/hyperlink" Target="https://doi.org/10.1016/0022-1910(79)90112-4" TargetMode="External"/><Relationship Id="rId254" Type="http://schemas.openxmlformats.org/officeDocument/2006/relationships/hyperlink" Target="https://doi.org/10.1016/S0022-5193(05)80255-3" TargetMode="External"/><Relationship Id="rId228" Type="http://schemas.openxmlformats.org/officeDocument/2006/relationships/hyperlink" Target="https://doi.org/10.1016/j.biocon.2017.08.019" TargetMode="External"/><Relationship Id="rId174" Type="http://schemas.openxmlformats.org/officeDocument/2006/relationships/hyperlink" Target="https://doi.org/10.1016/j.cub.2018.02.067" TargetMode="External"/><Relationship Id="rId155" Type="http://schemas.openxmlformats.org/officeDocument/2006/relationships/hyperlink" Target="https://doi.org/10.1016/j.jinsphys.2011.05.004" TargetMode="External"/><Relationship Id="rId151" Type="http://schemas.openxmlformats.org/officeDocument/2006/relationships/hyperlink" Target="https://doi.org/10.1016/j.jtherbio.2014.05.004" TargetMode="External"/><Relationship Id="rId147" Type="http://schemas.openxmlformats.org/officeDocument/2006/relationships/hyperlink" Target="https://doi.org/10.1016/j.tree.2015.09.011" TargetMode="External"/><Relationship Id="rId170" Type="http://schemas.openxmlformats.org/officeDocument/2006/relationships/hyperlink" Target="https://doi.org/10.1038/s41467-020-14408-8" TargetMode="External"/><Relationship Id="rId238" Type="http://schemas.openxmlformats.org/officeDocument/2006/relationships/hyperlink" Target="https://doi.org/10.1038/s41598-017-14510-w" TargetMode="External"/><Relationship Id="rId172" Type="http://schemas.openxmlformats.org/officeDocument/2006/relationships/hyperlink" Target="https://doi.org/10.1038/s41598-021-02810-1" TargetMode="External"/><Relationship Id="rId176" Type="http://schemas.openxmlformats.org/officeDocument/2006/relationships/hyperlink" Target="https://doi.org/10.1046/j.1365-2311.2002.00454.x" TargetMode="External"/><Relationship Id="rId240" Type="http://schemas.openxmlformats.org/officeDocument/2006/relationships/hyperlink" Target="https://doi.org/10.1073/pnas.152137299" TargetMode="External"/><Relationship Id="rId260" Type="http://schemas.openxmlformats.org/officeDocument/2006/relationships/hyperlink" Target="https://doi.org/10.1073/pnas.1604824113" TargetMode="External"/><Relationship Id="rId157" Type="http://schemas.openxmlformats.org/officeDocument/2006/relationships/hyperlink" Target="https://doi.org/10.1086/698656" TargetMode="External"/><Relationship Id="rId201" Type="http://schemas.openxmlformats.org/officeDocument/2006/relationships/hyperlink" Target="https://doi.org/10.1093/aesa/83.5.906" TargetMode="External"/><Relationship Id="rId203" Type="http://schemas.openxmlformats.org/officeDocument/2006/relationships/hyperlink" Target="https://doi.org/10.1093/aesa/84.3.263" TargetMode="External"/><Relationship Id="rId256" Type="http://schemas.openxmlformats.org/officeDocument/2006/relationships/hyperlink" Target="https://doi.org/10.1093/aesa/85.2.148" TargetMode="External"/><Relationship Id="rId166" Type="http://schemas.openxmlformats.org/officeDocument/2006/relationships/hyperlink" Target="https://doi.org/10.1093/icb/icaf025" TargetMode="External"/><Relationship Id="rId178" Type="http://schemas.openxmlformats.org/officeDocument/2006/relationships/hyperlink" Target="https://doi.org/10.1098/rspb.2001.1765" TargetMode="External"/><Relationship Id="rId168" Type="http://schemas.openxmlformats.org/officeDocument/2006/relationships/hyperlink" Target="https://doi.org/10.1098/rspb.2019.0234" TargetMode="External"/><Relationship Id="rId164" Type="http://schemas.openxmlformats.org/officeDocument/2006/relationships/hyperlink" Target="https://doi.org/10.1111/aen.12175" TargetMode="External"/><Relationship Id="rId221" Type="http://schemas.openxmlformats.org/officeDocument/2006/relationships/hyperlink" Target="https://doi.org/10.1111/csp2.70253" TargetMode="External"/><Relationship Id="rId182" Type="http://schemas.openxmlformats.org/officeDocument/2006/relationships/hyperlink" Target="https://doi.org/10.1111/ecog.01994" TargetMode="External"/><Relationship Id="rId184" Type="http://schemas.openxmlformats.org/officeDocument/2006/relationships/hyperlink" Target="https://doi.org/10.1111/j.1365-2311.1978.tb00912.x" TargetMode="External"/><Relationship Id="rId186" Type="http://schemas.openxmlformats.org/officeDocument/2006/relationships/hyperlink" Target="https://doi.org/10.1111/j.1365-2311.1982.tb00664.x" TargetMode="External"/><Relationship Id="rId199" Type="http://schemas.openxmlformats.org/officeDocument/2006/relationships/hyperlink" Target="https://doi.org/10.1111/j.1365-2311.1996.tb01177.x" TargetMode="External"/><Relationship Id="rId242" Type="http://schemas.openxmlformats.org/officeDocument/2006/relationships/hyperlink" Target="https://doi.org/10.1111/j.1366-9516.2005.00146.x" TargetMode="External"/><Relationship Id="rId149" Type="http://schemas.openxmlformats.org/officeDocument/2006/relationships/hyperlink" Target="https://doi.org/10.1111/j.1472-4642.2010.00642.x" TargetMode="External"/><Relationship Id="rId219" Type="http://schemas.openxmlformats.org/officeDocument/2006/relationships/hyperlink" Target="https://doi.org/10.1111/j.1523-1739.1991.tb00121.x" TargetMode="External"/><Relationship Id="rId258" Type="http://schemas.openxmlformats.org/officeDocument/2006/relationships/hyperlink" Target="https://doi.org/10.1126/science.1225883" TargetMode="External"/><Relationship Id="rId145" Type="http://schemas.openxmlformats.org/officeDocument/2006/relationships/hyperlink" Target="https://doi.org/10.1146/annurev.ecolsys.110308.120317" TargetMode="External"/><Relationship Id="rId249" Type="http://schemas.openxmlformats.org/officeDocument/2006/relationships/hyperlink" Target="https://doi.org/10.1177/00037028251397426" TargetMode="External"/><Relationship Id="rId141" Type="http://schemas.openxmlformats.org/officeDocument/2006/relationships/hyperlink" Target="https://doi.org/10.1242/jeb.073668" TargetMode="External"/><Relationship Id="rId252" Type="http://schemas.openxmlformats.org/officeDocument/2006/relationships/hyperlink" Target="https://doi.org/10.2307/1939973" TargetMode="External"/><Relationship Id="rId191" Type="http://schemas.openxmlformats.org/officeDocument/2006/relationships/hyperlink" Target="https://doi.org/10.2307/1940444" TargetMode="External"/><Relationship Id="rId197" Type="http://schemas.openxmlformats.org/officeDocument/2006/relationships/hyperlink" Target="https://doi.org/10.2307/2387997" TargetMode="External"/><Relationship Id="rId195" Type="http://schemas.openxmlformats.org/officeDocument/2006/relationships/hyperlink" Target="https://doi.org/10.2307/2388612" TargetMode="External"/><Relationship Id="rId217" Type="http://schemas.openxmlformats.org/officeDocument/2006/relationships/hyperlink" Target="https://doi.org/10.3390/d16100640" TargetMode="External"/><Relationship Id="rId236" Type="http://schemas.openxmlformats.org/officeDocument/2006/relationships/hyperlink" Target="https://doi.org/10.3390/insects17030235" TargetMode="External"/><Relationship Id="rId39" Type="http://schemas.openxmlformats.org/officeDocument/2006/relationships/hyperlink" Target="https://kylenessen.github.io/monarch_trailcam_classifier/" TargetMode="External"/><Relationship Id="rId244" Type="http://schemas.openxmlformats.org/officeDocument/2006/relationships/hyperlink" Target="https://westernmonarchcount.org/" TargetMode="External"/><Relationship Id="rId215" Type="http://schemas.openxmlformats.org/officeDocument/2006/relationships/hyperlink" Target="https://www.frontiersin.org/articles/10.3389/fcosc.2022.844299" TargetMode="External"/><Relationship Id="rId230" Type="http://schemas.openxmlformats.org/officeDocument/2006/relationships/hyperlink" Target="https://www.frontiersin.org/articles/10.3389/fevo.2019.00258" TargetMode="External"/><Relationship Id="rId246" Type="http://schemas.openxmlformats.org/officeDocument/2006/relationships/hyperlink" Target="https://www.frontiersin.org/articles/10.3389/fevo.2019.00266" TargetMode="External"/><Relationship Id="rId225" Type="http://schemas.openxmlformats.org/officeDocument/2006/relationships/hyperlink" Target="https://www.fws.gov/media/monarch-butterfly-danaus-plexippus-species-status-assessment-report-version-23" TargetMode="External"/><Relationship Id="rId161" Type="http://schemas.openxmlformats.org/officeDocument/2006/relationships/hyperlink" Target="https://www.ncbi.nlm.nih.gov/pubmed/8551296" TargetMode="External"/><Relationship Id="rId189" Type="http://schemas.openxmlformats.org/officeDocument/2006/relationships/hyperlink" Target="https://www.semanticscholar.org/paper/Understanding-and-misunderstanding-the-migration-of-Brower/79380ddbf559e310fef9bb8919c03c63ccddecb7" TargetMode="External"/><Relationship Id="rId223" Type="http://schemas.openxmlformats.org/officeDocument/2006/relationships/hyperlink" Target="https://www.xerces.org" TargetMode="External"/><Relationship Id="rId232" Type="http://schemas.openxmlformats.org/officeDocument/2006/relationships/hyperlink" Target="https://www.xerces.org/press/western-monarch-butterfly-population-declines-to-near-record-low" TargetMode="External"/><Relationship Id="rId207" Type="http://schemas.openxmlformats.org/officeDocument/2006/relationships/hyperlink" Target="https://www.xerces.org/sites/default/files/2018-05/16-015_01_XercesSoc_State-of-Monarch-Overwintering-Sites-in-California_web.pdf" TargetMode="External"/><Relationship Id="rId209" Type="http://schemas.openxmlformats.org/officeDocument/2006/relationships/hyperlink" Target="https://xerces.org/protecting-californias-butterfly-grov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56</Pages>
  <Words>18554</Words>
  <Characters>118750</Characters>
  <Application>Microsoft Office Word</Application>
  <DocSecurity>0</DocSecurity>
  <Lines>2328</Lines>
  <Paragraphs>1024</Paragraphs>
  <ScaleCrop>false</ScaleCrop>
  <HeadingPairs>
    <vt:vector size="2" baseType="variant">
      <vt:variant>
        <vt:lpstr>Title</vt:lpstr>
      </vt:variant>
      <vt:variant>
        <vt:i4>1</vt:i4>
      </vt:variant>
    </vt:vector>
  </HeadingPairs>
  <TitlesOfParts>
    <vt:vector size="1" baseType="lpstr">
      <vt:lpstr>Wind Does Not Disrupt Overwintering Monarch Butterfly Clusters: Direct Empirical Test of a Three-Decade Management Assumption</vt:lpstr>
    </vt:vector>
  </TitlesOfParts>
  <Company/>
  <LinksUpToDate>false</LinksUpToDate>
  <CharactersWithSpaces>136280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 Does Not Disrupt Overwintering Monarch Butterfly Clusters</dc:title>
  <dc:creator>Kyle Nessen, Peter C. Ibsen, Jay E. Diffendorfer, Francis X. Villablanca</dc:creator>
  <cp:keywords>monarch butterfly; wind disruption; thermoregulation; MDPI Insects</cp:keywords>
  <dcterms:created xsi:type="dcterms:W3CDTF">2026-08-31T21:18:58Z</dcterms:created>
  <dcterms:modified xsi:type="dcterms:W3CDTF">2026-08-31T21:18:58Z</dcterms:modified>
  <dc:subject>MDPI Insects manuscript submitted from Git commit 12b7cc9465ce42000c7143ad6d3e10c7311aee5c</dc:subject>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/Users/kylenessen/GitHub/monarch-wind-light-manuscript/tools/acs-numeric.csl</vt:lpwstr>
  </property>
  <property fmtid="{D5CDD505-2E9C-101B-9397-08002B2CF9AE}" pid="4" name="link-citations">
    <vt:lpwstr>False</vt:lpwstr>
  </property>
  <property fmtid="{D5CDD505-2E9C-101B-9397-08002B2CF9AE}" pid="5" name="reference-section-title">
    <vt:lpwstr>References</vt:lpwstr>
  </property>
</Properties>
</file>