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Monarch monitoring data release</w:t>
      </w:r>
    </w:p>
    <w:p>
      <w:pPr>
        <w:pStyle w:val="Subtitle"/>
      </w:pPr>
      <w:r>
        <w:t>Coauthor review guide    September 13 2026</w:t>
      </w:r>
    </w:p>
    <w:p>
      <w:r>
        <w:t>I am circulating this guide with our draft data release so we can review its scope, processing decisions and limitations before completing the USGS release process. The tables and draft XML are prepared, and the analysis scripts reproduce the retained numerical results. Please focus on whether the descriptions accurately represent the field study and make the data usable without additional explanation from us.</w:t>
      </w:r>
    </w:p>
    <w:p>
      <w:r>
        <w:rPr>
          <w:sz w:val="20"/>
        </w:rPr>
        <w:t>Authors in manuscript order are Kyle Nessen, Peter C. Ibsen, Jay E. Diffendorfer and Francis X. Villablanca. Kyle Nessen is corresponding author at knessen@calpoly.edu.</w:t>
      </w:r>
    </w:p>
    <w:p>
      <w:r>
        <w:rPr>
          <w:sz w:val="20"/>
        </w:rPr>
        <w:t>Kyle Nessen and Francis X. Villablanca are affiliated with the Biological Sciences Department at California Polytechnic State University, San Luis Obispo. Peter C. Ibsen and Jay E. Diffendorfer are affiliated with the USGS Geosciences and Environmental Change Science Center, Denver.</w:t>
      </w:r>
    </w:p>
    <w:p>
      <w:pPr>
        <w:pStyle w:val="Heading2"/>
      </w:pPr>
      <w:r>
        <w:t>Scope and contents</w:t>
      </w:r>
    </w:p>
    <w:p>
      <w:r>
        <w:t>The release covers the 2023–2024 and 2024–2025 field seasons at Vandenberg Space Force Base, California. It includes available observations beyond the manuscript subset. Classifications, reviewed camera temperatures and both analysis tables cover the first season only. There are no second-season temperature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080"/>
        <w:gridCol w:w="4608"/>
      </w:tblGrid>
      <w:tr>
        <w:trPr>
          <w:tblHeader/>
          <w:cantSplit/>
        </w:trPr>
        <w:tc>
          <w:tcPr>
            <w:tcW w:type="dxa" w:w="3672"/>
            <w:vAlign w:val="center"/>
            <w:tcMar>
              <w:top w:w="70" w:type="dxa"/>
              <w:bottom w:w="70" w:type="dxa"/>
              <w:left w:w="90" w:type="dxa"/>
              <w:right w:w="90" w:type="dxa"/>
            </w:tcMar>
            <w:shd w:fill="434343"/>
          </w:tcPr>
          <w:p>
            <w:pPr>
              <w:spacing w:after="0" w:line="252" w:lineRule="auto"/>
              <w:jc w:val="left"/>
            </w:pPr>
            <w:r>
              <w:rPr>
                <w:b/>
                <w:color w:val="FFFFFF"/>
                <w:sz w:val="19"/>
              </w:rPr>
              <w:t>File</w:t>
            </w:r>
          </w:p>
        </w:tc>
        <w:tc>
          <w:tcPr>
            <w:tcW w:type="dxa" w:w="1080"/>
            <w:vAlign w:val="center"/>
            <w:tcMar>
              <w:top w:w="70" w:type="dxa"/>
              <w:bottom w:w="70" w:type="dxa"/>
              <w:left w:w="90" w:type="dxa"/>
              <w:right w:w="90" w:type="dxa"/>
            </w:tcMar>
            <w:shd w:fill="434343"/>
          </w:tcPr>
          <w:p>
            <w:pPr>
              <w:spacing w:after="0" w:line="252" w:lineRule="auto"/>
              <w:jc w:val="center"/>
            </w:pPr>
            <w:r>
              <w:rPr>
                <w:b/>
                <w:color w:val="FFFFFF"/>
                <w:sz w:val="19"/>
              </w:rPr>
              <w:t>Rows</w:t>
            </w:r>
          </w:p>
        </w:tc>
        <w:tc>
          <w:tcPr>
            <w:tcW w:type="dxa" w:w="4608"/>
            <w:vAlign w:val="center"/>
            <w:tcMar>
              <w:top w:w="70" w:type="dxa"/>
              <w:bottom w:w="70" w:type="dxa"/>
              <w:left w:w="90" w:type="dxa"/>
              <w:right w:w="90" w:type="dxa"/>
            </w:tcMar>
            <w:shd w:fill="434343"/>
          </w:tcPr>
          <w:p>
            <w:pPr>
              <w:spacing w:after="0" w:line="252" w:lineRule="auto"/>
              <w:jc w:val="left"/>
            </w:pPr>
            <w:r>
              <w:rPr>
                <w:b/>
                <w:color w:val="FFFFFF"/>
                <w:sz w:val="19"/>
              </w:rPr>
              <w:t>What one row represents</w:t>
            </w:r>
          </w:p>
        </w:tc>
      </w:tr>
      <w:tr>
        <w:trPr>
          <w:cantSplit/>
        </w:trPr>
        <w:tc>
          <w:tcPr>
            <w:tcW w:type="dxa" w:w="3672"/>
            <w:vAlign w:val="center"/>
            <w:tcMar>
              <w:top w:w="70" w:type="dxa"/>
              <w:bottom w:w="70" w:type="dxa"/>
              <w:left w:w="90" w:type="dxa"/>
              <w:right w:w="90" w:type="dxa"/>
            </w:tcMar>
            <w:shd w:fill="FFFFFF"/>
          </w:tcPr>
          <w:p>
            <w:pPr>
              <w:spacing w:after="0" w:line="252" w:lineRule="auto"/>
              <w:jc w:val="left"/>
            </w:pPr>
            <w:r>
              <w:rPr>
                <w:b w:val="0"/>
                <w:color w:val="000000"/>
                <w:sz w:val="19"/>
              </w:rPr>
              <w:t>deployments.csv</w:t>
            </w:r>
          </w:p>
        </w:tc>
        <w:tc>
          <w:tcPr>
            <w:tcW w:type="dxa" w:w="1080"/>
            <w:vAlign w:val="center"/>
            <w:tcMar>
              <w:top w:w="70" w:type="dxa"/>
              <w:bottom w:w="70" w:type="dxa"/>
              <w:left w:w="90" w:type="dxa"/>
              <w:right w:w="90" w:type="dxa"/>
            </w:tcMar>
            <w:shd w:fill="FFFFFF"/>
          </w:tcPr>
          <w:p>
            <w:pPr>
              <w:spacing w:after="0" w:line="252" w:lineRule="auto"/>
              <w:jc w:val="center"/>
            </w:pPr>
            <w:r>
              <w:rPr>
                <w:b w:val="0"/>
                <w:color w:val="000000"/>
                <w:sz w:val="19"/>
              </w:rPr>
              <w:t>28</w:t>
            </w:r>
          </w:p>
        </w:tc>
        <w:tc>
          <w:tcPr>
            <w:tcW w:type="dxa" w:w="4608"/>
            <w:vAlign w:val="center"/>
            <w:tcMar>
              <w:top w:w="70" w:type="dxa"/>
              <w:bottom w:w="70" w:type="dxa"/>
              <w:left w:w="90" w:type="dxa"/>
              <w:right w:w="90" w:type="dxa"/>
            </w:tcMar>
            <w:shd w:fill="FFFFFF"/>
          </w:tcPr>
          <w:p>
            <w:pPr>
              <w:spacing w:after="0" w:line="252" w:lineRule="auto"/>
              <w:jc w:val="left"/>
            </w:pPr>
            <w:r>
              <w:rPr>
                <w:b w:val="0"/>
                <w:color w:val="000000"/>
                <w:sz w:val="19"/>
              </w:rPr>
              <w:t>A camera deployment</w:t>
            </w:r>
          </w:p>
        </w:tc>
      </w:tr>
      <w:tr>
        <w:trPr>
          <w:cantSplit/>
        </w:trPr>
        <w:tc>
          <w:tcPr>
            <w:tcW w:type="dxa" w:w="3672"/>
            <w:vAlign w:val="center"/>
            <w:tcMar>
              <w:top w:w="70" w:type="dxa"/>
              <w:bottom w:w="70" w:type="dxa"/>
              <w:left w:w="90" w:type="dxa"/>
              <w:right w:w="90" w:type="dxa"/>
            </w:tcMar>
            <w:shd w:fill="F4F4F4"/>
          </w:tcPr>
          <w:p>
            <w:pPr>
              <w:spacing w:after="0" w:line="252" w:lineRule="auto"/>
              <w:jc w:val="left"/>
            </w:pPr>
            <w:r>
              <w:rPr>
                <w:b w:val="0"/>
                <w:color w:val="000000"/>
                <w:sz w:val="19"/>
              </w:rPr>
              <w:t>photo_index.csv</w:t>
            </w:r>
          </w:p>
        </w:tc>
        <w:tc>
          <w:tcPr>
            <w:tcW w:type="dxa" w:w="1080"/>
            <w:vAlign w:val="center"/>
            <w:tcMar>
              <w:top w:w="70" w:type="dxa"/>
              <w:bottom w:w="70" w:type="dxa"/>
              <w:left w:w="90" w:type="dxa"/>
              <w:right w:w="90" w:type="dxa"/>
            </w:tcMar>
            <w:shd w:fill="F4F4F4"/>
          </w:tcPr>
          <w:p>
            <w:pPr>
              <w:spacing w:after="0" w:line="252" w:lineRule="auto"/>
              <w:jc w:val="center"/>
            </w:pPr>
            <w:r>
              <w:rPr>
                <w:b w:val="0"/>
                <w:color w:val="000000"/>
                <w:sz w:val="19"/>
              </w:rPr>
              <w:t>223,887</w:t>
            </w:r>
          </w:p>
        </w:tc>
        <w:tc>
          <w:tcPr>
            <w:tcW w:type="dxa" w:w="4608"/>
            <w:vAlign w:val="center"/>
            <w:tcMar>
              <w:top w:w="70" w:type="dxa"/>
              <w:bottom w:w="70" w:type="dxa"/>
              <w:left w:w="90" w:type="dxa"/>
              <w:right w:w="90" w:type="dxa"/>
            </w:tcMar>
            <w:shd w:fill="F4F4F4"/>
          </w:tcPr>
          <w:p>
            <w:pPr>
              <w:spacing w:after="0" w:line="252" w:lineRule="auto"/>
              <w:jc w:val="left"/>
            </w:pPr>
            <w:r>
              <w:rPr>
                <w:b w:val="0"/>
                <w:color w:val="000000"/>
                <w:sz w:val="19"/>
              </w:rPr>
              <w:t>A retained JPEG and its folder path</w:t>
            </w:r>
          </w:p>
        </w:tc>
      </w:tr>
      <w:tr>
        <w:trPr>
          <w:cantSplit/>
        </w:trPr>
        <w:tc>
          <w:tcPr>
            <w:tcW w:type="dxa" w:w="3672"/>
            <w:vAlign w:val="center"/>
            <w:tcMar>
              <w:top w:w="70" w:type="dxa"/>
              <w:bottom w:w="70" w:type="dxa"/>
              <w:left w:w="90" w:type="dxa"/>
              <w:right w:w="90" w:type="dxa"/>
            </w:tcMar>
            <w:shd w:fill="FFFFFF"/>
          </w:tcPr>
          <w:p>
            <w:pPr>
              <w:spacing w:after="0" w:line="252" w:lineRule="auto"/>
              <w:jc w:val="left"/>
            </w:pPr>
            <w:r>
              <w:rPr>
                <w:b w:val="0"/>
                <w:color w:val="000000"/>
                <w:sz w:val="19"/>
              </w:rPr>
              <w:t>classifications.csv</w:t>
            </w:r>
          </w:p>
        </w:tc>
        <w:tc>
          <w:tcPr>
            <w:tcW w:type="dxa" w:w="1080"/>
            <w:vAlign w:val="center"/>
            <w:tcMar>
              <w:top w:w="70" w:type="dxa"/>
              <w:bottom w:w="70" w:type="dxa"/>
              <w:left w:w="90" w:type="dxa"/>
              <w:right w:w="90" w:type="dxa"/>
            </w:tcMar>
            <w:shd w:fill="FFFFFF"/>
          </w:tcPr>
          <w:p>
            <w:pPr>
              <w:spacing w:after="0" w:line="252" w:lineRule="auto"/>
              <w:jc w:val="center"/>
            </w:pPr>
            <w:r>
              <w:rPr>
                <w:b w:val="0"/>
                <w:color w:val="000000"/>
                <w:sz w:val="19"/>
              </w:rPr>
              <w:t>8,299</w:t>
            </w:r>
          </w:p>
        </w:tc>
        <w:tc>
          <w:tcPr>
            <w:tcW w:type="dxa" w:w="4608"/>
            <w:vAlign w:val="center"/>
            <w:tcMar>
              <w:top w:w="70" w:type="dxa"/>
              <w:bottom w:w="70" w:type="dxa"/>
              <w:left w:w="90" w:type="dxa"/>
              <w:right w:w="90" w:type="dxa"/>
            </w:tcMar>
            <w:shd w:fill="FFFFFF"/>
          </w:tcPr>
          <w:p>
            <w:pPr>
              <w:spacing w:after="0" w:line="252" w:lineRule="auto"/>
              <w:jc w:val="left"/>
            </w:pPr>
            <w:r>
              <w:rPr>
                <w:b w:val="0"/>
                <w:color w:val="000000"/>
                <w:sz w:val="19"/>
              </w:rPr>
              <w:t>A classified image and its BI primitives</w:t>
            </w:r>
          </w:p>
        </w:tc>
      </w:tr>
      <w:tr>
        <w:trPr>
          <w:cantSplit/>
        </w:trPr>
        <w:tc>
          <w:tcPr>
            <w:tcW w:type="dxa" w:w="3672"/>
            <w:vAlign w:val="center"/>
            <w:tcMar>
              <w:top w:w="70" w:type="dxa"/>
              <w:bottom w:w="70" w:type="dxa"/>
              <w:left w:w="90" w:type="dxa"/>
              <w:right w:w="90" w:type="dxa"/>
            </w:tcMar>
            <w:shd w:fill="F4F4F4"/>
          </w:tcPr>
          <w:p>
            <w:pPr>
              <w:spacing w:after="0" w:line="252" w:lineRule="auto"/>
              <w:jc w:val="left"/>
            </w:pPr>
            <w:r>
              <w:rPr>
                <w:b w:val="0"/>
                <w:color w:val="000000"/>
                <w:sz w:val="19"/>
              </w:rPr>
              <w:t>temperature_measurements.csv</w:t>
            </w:r>
          </w:p>
        </w:tc>
        <w:tc>
          <w:tcPr>
            <w:tcW w:type="dxa" w:w="1080"/>
            <w:vAlign w:val="center"/>
            <w:tcMar>
              <w:top w:w="70" w:type="dxa"/>
              <w:bottom w:w="70" w:type="dxa"/>
              <w:left w:w="90" w:type="dxa"/>
              <w:right w:w="90" w:type="dxa"/>
            </w:tcMar>
            <w:shd w:fill="F4F4F4"/>
          </w:tcPr>
          <w:p>
            <w:pPr>
              <w:spacing w:after="0" w:line="252" w:lineRule="auto"/>
              <w:jc w:val="center"/>
            </w:pPr>
            <w:r>
              <w:rPr>
                <w:b w:val="0"/>
                <w:color w:val="000000"/>
                <w:sz w:val="19"/>
              </w:rPr>
              <w:t>56,066</w:t>
            </w:r>
          </w:p>
        </w:tc>
        <w:tc>
          <w:tcPr>
            <w:tcW w:type="dxa" w:w="4608"/>
            <w:vAlign w:val="center"/>
            <w:tcMar>
              <w:top w:w="70" w:type="dxa"/>
              <w:bottom w:w="70" w:type="dxa"/>
              <w:left w:w="90" w:type="dxa"/>
              <w:right w:w="90" w:type="dxa"/>
            </w:tcMar>
            <w:shd w:fill="F4F4F4"/>
          </w:tcPr>
          <w:p>
            <w:pPr>
              <w:spacing w:after="0" w:line="252" w:lineRule="auto"/>
              <w:jc w:val="left"/>
            </w:pPr>
            <w:r>
              <w:rPr>
                <w:b w:val="0"/>
                <w:color w:val="000000"/>
                <w:sz w:val="19"/>
              </w:rPr>
              <w:t>A reviewed image-overlay temperature record</w:t>
            </w:r>
          </w:p>
        </w:tc>
      </w:tr>
      <w:tr>
        <w:trPr>
          <w:cantSplit/>
        </w:trPr>
        <w:tc>
          <w:tcPr>
            <w:tcW w:type="dxa" w:w="3672"/>
            <w:vAlign w:val="center"/>
            <w:tcMar>
              <w:top w:w="70" w:type="dxa"/>
              <w:bottom w:w="70" w:type="dxa"/>
              <w:left w:w="90" w:type="dxa"/>
              <w:right w:w="90" w:type="dxa"/>
            </w:tcMar>
            <w:shd w:fill="FFFFFF"/>
          </w:tcPr>
          <w:p>
            <w:pPr>
              <w:spacing w:after="0" w:line="252" w:lineRule="auto"/>
              <w:jc w:val="left"/>
            </w:pPr>
            <w:r>
              <w:rPr>
                <w:b w:val="0"/>
                <w:color w:val="000000"/>
                <w:sz w:val="19"/>
              </w:rPr>
              <w:t>wind_measurements.csv</w:t>
            </w:r>
          </w:p>
        </w:tc>
        <w:tc>
          <w:tcPr>
            <w:tcW w:type="dxa" w:w="1080"/>
            <w:vAlign w:val="center"/>
            <w:tcMar>
              <w:top w:w="70" w:type="dxa"/>
              <w:bottom w:w="70" w:type="dxa"/>
              <w:left w:w="90" w:type="dxa"/>
              <w:right w:w="90" w:type="dxa"/>
            </w:tcMar>
            <w:shd w:fill="FFFFFF"/>
          </w:tcPr>
          <w:p>
            <w:pPr>
              <w:spacing w:after="0" w:line="252" w:lineRule="auto"/>
              <w:jc w:val="center"/>
            </w:pPr>
            <w:r>
              <w:rPr>
                <w:b w:val="0"/>
                <w:color w:val="000000"/>
                <w:sz w:val="19"/>
              </w:rPr>
              <w:t>757,260</w:t>
            </w:r>
          </w:p>
        </w:tc>
        <w:tc>
          <w:tcPr>
            <w:tcW w:type="dxa" w:w="4608"/>
            <w:vAlign w:val="center"/>
            <w:tcMar>
              <w:top w:w="70" w:type="dxa"/>
              <w:bottom w:w="70" w:type="dxa"/>
              <w:left w:w="90" w:type="dxa"/>
              <w:right w:w="90" w:type="dxa"/>
            </w:tcMar>
            <w:shd w:fill="FFFFFF"/>
          </w:tcPr>
          <w:p>
            <w:pPr>
              <w:spacing w:after="0" w:line="252" w:lineRule="auto"/>
              <w:jc w:val="left"/>
            </w:pPr>
            <w:r>
              <w:rPr>
                <w:b w:val="0"/>
                <w:color w:val="000000"/>
                <w:sz w:val="19"/>
              </w:rPr>
              <w:t>A wind observation linked to a deployment</w:t>
            </w:r>
          </w:p>
        </w:tc>
      </w:tr>
      <w:tr>
        <w:trPr>
          <w:cantSplit/>
        </w:trPr>
        <w:tc>
          <w:tcPr>
            <w:tcW w:type="dxa" w:w="3672"/>
            <w:vAlign w:val="center"/>
            <w:tcMar>
              <w:top w:w="70" w:type="dxa"/>
              <w:bottom w:w="70" w:type="dxa"/>
              <w:left w:w="90" w:type="dxa"/>
              <w:right w:w="90" w:type="dxa"/>
            </w:tcMar>
            <w:shd w:fill="F4F4F4"/>
          </w:tcPr>
          <w:p>
            <w:pPr>
              <w:spacing w:after="0" w:line="252" w:lineRule="auto"/>
              <w:jc w:val="left"/>
            </w:pPr>
            <w:r>
              <w:rPr>
                <w:b w:val="0"/>
                <w:color w:val="000000"/>
                <w:sz w:val="19"/>
              </w:rPr>
              <w:t>analysis_30_minute.csv</w:t>
            </w:r>
          </w:p>
        </w:tc>
        <w:tc>
          <w:tcPr>
            <w:tcW w:type="dxa" w:w="1080"/>
            <w:vAlign w:val="center"/>
            <w:tcMar>
              <w:top w:w="70" w:type="dxa"/>
              <w:bottom w:w="70" w:type="dxa"/>
              <w:left w:w="90" w:type="dxa"/>
              <w:right w:w="90" w:type="dxa"/>
            </w:tcMar>
            <w:shd w:fill="F4F4F4"/>
          </w:tcPr>
          <w:p>
            <w:pPr>
              <w:spacing w:after="0" w:line="252" w:lineRule="auto"/>
              <w:jc w:val="center"/>
            </w:pPr>
            <w:r>
              <w:rPr>
                <w:b w:val="0"/>
                <w:color w:val="000000"/>
                <w:sz w:val="19"/>
              </w:rPr>
              <w:t>1,894</w:t>
            </w:r>
          </w:p>
        </w:tc>
        <w:tc>
          <w:tcPr>
            <w:tcW w:type="dxa" w:w="4608"/>
            <w:vAlign w:val="center"/>
            <w:tcMar>
              <w:top w:w="70" w:type="dxa"/>
              <w:bottom w:w="70" w:type="dxa"/>
              <w:left w:w="90" w:type="dxa"/>
              <w:right w:w="90" w:type="dxa"/>
            </w:tcMar>
            <w:shd w:fill="F4F4F4"/>
          </w:tcPr>
          <w:p>
            <w:pPr>
              <w:spacing w:after="0" w:line="252" w:lineRule="auto"/>
              <w:jc w:val="left"/>
            </w:pPr>
            <w:r>
              <w:rPr>
                <w:b w:val="0"/>
                <w:color w:val="000000"/>
                <w:sz w:val="19"/>
              </w:rPr>
              <w:t>A retained pair of image observations</w:t>
            </w:r>
          </w:p>
        </w:tc>
      </w:tr>
      <w:tr>
        <w:trPr>
          <w:cantSplit/>
        </w:trPr>
        <w:tc>
          <w:tcPr>
            <w:tcW w:type="dxa" w:w="3672"/>
            <w:vAlign w:val="center"/>
            <w:tcMar>
              <w:top w:w="70" w:type="dxa"/>
              <w:bottom w:w="70" w:type="dxa"/>
              <w:left w:w="90" w:type="dxa"/>
              <w:right w:w="90" w:type="dxa"/>
            </w:tcMar>
            <w:shd w:fill="FFFFFF"/>
          </w:tcPr>
          <w:p>
            <w:pPr>
              <w:spacing w:after="0" w:line="252" w:lineRule="auto"/>
              <w:jc w:val="left"/>
            </w:pPr>
            <w:r>
              <w:rPr>
                <w:b w:val="0"/>
                <w:color w:val="000000"/>
                <w:sz w:val="19"/>
              </w:rPr>
              <w:t>analysis_next_day.csv</w:t>
            </w:r>
          </w:p>
        </w:tc>
        <w:tc>
          <w:tcPr>
            <w:tcW w:type="dxa" w:w="1080"/>
            <w:vAlign w:val="center"/>
            <w:tcMar>
              <w:top w:w="70" w:type="dxa"/>
              <w:bottom w:w="70" w:type="dxa"/>
              <w:left w:w="90" w:type="dxa"/>
              <w:right w:w="90" w:type="dxa"/>
            </w:tcMar>
            <w:shd w:fill="FFFFFF"/>
          </w:tcPr>
          <w:p>
            <w:pPr>
              <w:spacing w:after="0" w:line="252" w:lineRule="auto"/>
              <w:jc w:val="center"/>
            </w:pPr>
            <w:r>
              <w:rPr>
                <w:b w:val="0"/>
                <w:color w:val="000000"/>
                <w:sz w:val="19"/>
              </w:rPr>
              <w:t>96</w:t>
            </w:r>
          </w:p>
        </w:tc>
        <w:tc>
          <w:tcPr>
            <w:tcW w:type="dxa" w:w="4608"/>
            <w:vAlign w:val="center"/>
            <w:tcMar>
              <w:top w:w="70" w:type="dxa"/>
              <w:bottom w:w="70" w:type="dxa"/>
              <w:left w:w="90" w:type="dxa"/>
              <w:right w:w="90" w:type="dxa"/>
            </w:tcMar>
            <w:shd w:fill="FFFFFF"/>
          </w:tcPr>
          <w:p>
            <w:pPr>
              <w:spacing w:after="0" w:line="252" w:lineRule="auto"/>
              <w:jc w:val="left"/>
            </w:pPr>
            <w:r>
              <w:rPr>
                <w:b w:val="0"/>
                <w:color w:val="000000"/>
                <w:sz w:val="19"/>
              </w:rPr>
              <w:t>A retained pair of consecutive monitoring days</w:t>
            </w:r>
          </w:p>
        </w:tc>
      </w:tr>
    </w:tbl>
    <w:p>
      <w:pPr>
        <w:spacing w:before="140"/>
      </w:pPr>
      <w:r>
        <w:rPr>
          <w:sz w:val="20"/>
        </w:rPr>
        <w:t>The package also contains data_dictionary.csv with definitions for all 73 data columns, metadata.xml and README.md. The photographs are organized in collections by deployment. This guide is a review companion, not an additional observational dataset.</w:t>
      </w:r>
    </w:p>
    <w:p>
      <w:pPr>
        <w:pStyle w:val="Heading1"/>
        <w:pageBreakBefore/>
      </w:pPr>
      <w:r>
        <w:t>Deployments photographs and recorded time</w:t>
      </w:r>
    </w:p>
    <w:p>
      <w:pPr>
        <w:pStyle w:val="Heading2"/>
      </w:pPr>
      <w:r>
        <w:t>Deployment locations and boundaries</w:t>
      </w:r>
    </w:p>
    <w:p>
      <w:r>
        <w:t>There are 19 first-season deployments and nine second-season deployments. Camera and wind-meter field names remain available for linking equipment across records. Latitude and longitude describe camera positions in WGS84, EPSG 4326, in decimal degrees. First-season points were already in WGS84. Second-season camera points were transformed from EPSG 3498, NAD83(NSRS2007) California zone 5 in US survey feet. The number of decimal places does not establish positional accuracy.</w:t>
      </w:r>
    </w:p>
    <w:p>
      <w:r>
        <w:t>First-season start and end times come from the original deployment GeoPackage, including its recorded fractional seconds. Second-season start and end times are the earliest and latest EXIF capture times in the reviewed photo collection. The wind selection uses these boundaries. A deployment end time therefore does not imply that its wind meter recorded through that time.</w:t>
      </w:r>
    </w:p>
    <w:p>
      <w:pPr>
        <w:pStyle w:val="Heading2"/>
      </w:pPr>
      <w:r>
        <w:t>Photograph organization and joins</w:t>
      </w:r>
    </w:p>
    <w:p>
      <w:r>
        <w:t>The photo index covers 56,066 first-season JPEGs and 167,821 reviewed second-season JPEGs. Deployment identifiers are unique across the release. SC12 identifies the first-season NOVA camera and BlueLake wind meter. SC13 identifies the second-season IRIS camera and RockWall wind meter, correcting the reused source label SC12. Join by deployment_id. Add image_filename for photo joins. Analysis tables contain first-season records only.</w:t>
      </w:r>
    </w:p>
    <w:p>
      <w:r>
        <w:t>TGR1 remains in the first-season deployment metadata but has no reviewed photo collection in this release. Its source notes report that the camera date was not set.</w:t>
      </w:r>
    </w:p>
    <w:p>
      <w:r>
        <w:t>The folder pattern is photos/deployment_id/. Filenames follow deployment_id_YYYYMMDDHHMMSS.JPG. The timestamp format code is %Y%m%d%H%M%S, using a four-digit year, two-digit month and day, and 24-hour hour, minute and second. Deployment identifiers may themselves contain underscores. Second-season names use recorded EXIF capture times. Existing first-season canonical filenames are preserved.</w:t>
      </w:r>
    </w:p>
    <w:p>
      <w:r>
        <w:t>Distinct second-season photos with the same recorded time are retained. The additional image receives an _02 suffix, as in CR01_20241103020001_02.JPG. That suffix distinguishes files. It is not a fractional second or a clock correction. The final index includes the 60 photos returned from review with collision-safe names. A collection-level description covers the photographs in each deployment folder, so we do not need a separate descriptive metadata record for every image.</w:t>
      </w:r>
    </w:p>
    <w:p>
      <w:pPr>
        <w:pStyle w:val="Heading2"/>
      </w:pPr>
      <w:r>
        <w:t>Clock convention</w:t>
      </w:r>
    </w:p>
    <w:p>
      <w:r>
        <w:t>Neither the camera nor the wind meter automatically applies daylight saving time. We have made no new daylight saving or UTC adjustment to either second-season series. Recorded times remain unchanged, even when image lighting appears inconsistent with civil clock time. I accounted for seasonal clock changes during first-season processing, but the exact historical procedure has not been recovered. We preserve those existing timestamps. The release does not assign an unverified UTC offset or claim independently verified synchronization between the devices.</w:t>
      </w:r>
    </w:p>
    <w:p>
      <w:pPr>
        <w:pStyle w:val="Heading1"/>
        <w:pageBreakBefore/>
      </w:pPr>
      <w:r>
        <w:t>Wind observations and limitations</w:t>
      </w:r>
    </w:p>
    <w:p>
      <w:pPr>
        <w:pStyle w:val="Heading2"/>
      </w:pPr>
      <w:r>
        <w:t>Combining the source databases</w:t>
      </w:r>
    </w:p>
    <w:p>
      <w:r>
        <w:t>The wind preparation combined 92 located SQLite databases. It selected records only when the instrument matched the deployment assignment and the recorded time fell within the inclusive deployment interval. This removes unrelated study records outside those assignments and intervals. Numeric whitespace and timestamp representations were standardized for matching. Original database files and recorded measurements were not edited.</w:t>
      </w:r>
    </w:p>
    <w:p>
      <w:r>
        <w:t>Duplicates were identified using instrument, timestamp, wind speed, gust and direction together. Source database row IDs were not treated as globally unique. Different instruments remain distinct, and differing measurements at the same time would be retained for review. No conflicting measurement tuples were found in the retained reconciliation. The working audit preserves source-database and source-row provenance outside the public tables.</w:t>
      </w:r>
    </w:p>
    <w:p>
      <w:r>
        <w:t>The result contains 725,714 distinct wind measurements and 757,260 deployment-associated rows. The first season contributes 531,937 rows and the second contributes 225,323. The difference between distinct measurements and rows is explained by 31,546 StarDust observations assigned to both SC9 and SC10. Both source deployment records name that meter and have overlapping intervals. This supports shared wind coverage for two camera views. It does not establish that both cameras were mounted on one pole. These shared observations must not be counted as independent measurements.</w:t>
      </w:r>
    </w:p>
    <w:p>
      <w:pPr>
        <w:pStyle w:val="Heading2"/>
      </w:pPr>
      <w:r>
        <w:t>Fields and direction conventions</w:t>
      </w:r>
    </w:p>
    <w:p>
      <w:r>
        <w:t>The public wind table retains deployment_id, wind_sensor_name, timestamp_recorded, wind_speed_m_s, wind_gust_m_s and wind_direction_degrees. Wind speed and gust are in meters per second. Gust is the logger maximum for the recording interval, normally one minute. These measurements describe conditions near the logger, rather than sustained exposure at every butterfly position.</w:t>
      </w:r>
    </w:p>
    <w:p>
      <w:r>
        <w:t>Direction is recorded clockwise from north, with 360 representing north. The manufacturer describes a 16-point sensor with 22.5-degree resolution and averaged logging. The exported records contain integer values throughout 0 to 360, so they are not limited to 45-degree increments. I consider direction 0 suspect, but that interpretation has not been confirmed in the manual. The two zero-direction rows are preserved and documented. Empty fields remain missing. Zero wind speed or gust is not automatically an error.</w:t>
      </w:r>
    </w:p>
    <w:p>
      <w:pPr>
        <w:pStyle w:val="Heading2"/>
      </w:pPr>
      <w:r>
        <w:t>Known coverage limitations</w:t>
      </w:r>
    </w:p>
    <w:p>
      <w:r>
        <w:t>PS01 has wind observations through January 31, 2025 at 04:04, although its images continue later. SC13 has a regular wind sequence through December 23, 2024 at 12:51, followed by a 22-day gap and 69 zero-speed and zero-gust records on January 14, 2025. Those later SC13 records could reflect field or servicing conditions. We do not have enough evidence to label either endpoint a battery failure, and we have not deleted the later zeros on that assumption.</w:t>
      </w:r>
    </w:p>
    <w:p>
      <w:r>
        <w:t>The other seven second-season deployments have no located wind records matching their assigned meters and photo intervals. First-season UDMH1 has source-reported wind corruption. These limitations are stated in deployments.csv and the metadata. No missing wind series are imputed or extended to match the photographs.</w:t>
      </w:r>
    </w:p>
    <w:p>
      <w:pPr>
        <w:pStyle w:val="Heading1"/>
        <w:pageBreakBefore/>
      </w:pPr>
      <w:r>
        <w:t>Butterfly classifications and temperature</w:t>
      </w:r>
    </w:p>
    <w:p>
      <w:pPr>
        <w:pStyle w:val="Heading2"/>
      </w:pPr>
      <w:r>
        <w:t>Observed primitives and Butterfly Index</w:t>
      </w:r>
    </w:p>
    <w:p>
      <w:r>
        <w:t>The classification table includes images with evidence of annotation and explicitly accepted records. Untouched unconfirmed zero placeholders are omitted. Second-season images remain unclassified in this release. An image without a classification does not establish butterfly absence.</w:t>
      </w:r>
    </w:p>
    <w:p>
      <w:r>
        <w:t>Each classification contains the deployment identifier, camera name, image filename, recorded time and observer information. It preserves counts of image cells in the 0, 1–9, 10–99 and 100–999 butterfly categories. It also preserves counts of occupied cells marked as receiving direct sunlight in each occupied category. These primitives allow readers to calculate alternative category-weighted indices without changing the original annotations.</w:t>
      </w:r>
    </w:p>
    <w:p>
      <w:r>
        <w:t>Butterfly Index, or BI, is the sum of category lower bounds across the image cells. The category weights are 0, 1, 10 and 100. Sun-exposed BI is the subtotal from occupied cells marked as receiving direct sunlight. BI measures indexed visible cluster size and is not a count of individually identified butterflies. The classification table contains total BI and sun-exposed BI. Changes in BI are confined to the analysis tables.</w:t>
      </w:r>
    </w:p>
    <w:p>
      <w:pPr>
        <w:pStyle w:val="Heading2"/>
      </w:pPr>
      <w:r>
        <w:t>Observer attribution and accepted zero</w:t>
      </w:r>
    </w:p>
    <w:p>
      <w:r>
        <w:t>primary_observer identifies the classifier assigned in deployment metadata. record_user_id preserves the user identifier saved in the image record, which may reflect a later editor. classification_confirmed preserves the original software flag. These fields distinguish observer assignment from the state of the original annotation file. They do not provide independent replicate observers for an inter-observer agreement estimate.</w:t>
      </w:r>
    </w:p>
    <w:p>
      <w:r>
        <w:t>I retained SC1_20231120133001.JPG as a valid zero-BI observation and assigned Skyler, the majority SC1 classifier. All 752 SC1 source records with a saved user identify SM, and the deployment metadata names Skyler. The original JSON still has no saved user for this image and a false software confirmation flag. Those source fields remain unchanged. The release assigns Skyler in primary_observer and documents the review decision. All images referenced by the 30-minute analysis now have released classifications.</w:t>
      </w:r>
    </w:p>
    <w:p>
      <w:pPr>
        <w:pStyle w:val="Heading2"/>
      </w:pPr>
      <w:r>
        <w:t>Reviewed camera temperatures</w:t>
      </w:r>
    </w:p>
    <w:p>
      <w:r>
        <w:t>The temperature table contains 56,066 first-season records linked to image filename, recorded time, deployment and camera. Temperatures were extracted from the image overlays with optical character recognition, then previously reviewed and corrected where necessary. The release copies the reviewed Celsius values, including missing values, without new recalibration or clock changes. The table omits OCR confidence and processing-status columns to keep the released measurements simple.</w:t>
      </w:r>
    </w:p>
    <w:p>
      <w:r>
        <w:t>These are approximate local camera readings. They are not independently calibrated ambient-air temperatures. There are no second-season temperature data, and the release will not imply that a second-season temperature series is missing from the package.</w:t>
      </w:r>
    </w:p>
    <w:p>
      <w:pPr>
        <w:pStyle w:val="Heading1"/>
        <w:pageBreakBefore/>
      </w:pPr>
      <w:r>
        <w:t>Analysis inputs and reproducibility</w:t>
      </w:r>
    </w:p>
    <w:p>
      <w:pPr>
        <w:pStyle w:val="Heading2"/>
      </w:pPr>
      <w:r>
        <w:t>A smaller schema with unchanged values</w:t>
      </w:r>
    </w:p>
    <w:p>
      <w:r>
        <w:t>The public analysis tables are reduced and renamed copies of the historical manuscript inputs. The 30-minute table contains 1,894 rows and 17 columns. The next-day table contains 96 rows and 10 columns. Every retained column is used in a main analysis, a descriptive summary or the focused observer sensitivity. Variable names now use BI, delta BI and explicit weather terms such as maximum_wind_gust_m_s. Unused summaries and intermediate fields are excluded.</w:t>
      </w:r>
    </w:p>
    <w:p>
      <w:r>
        <w:t>The 30-minute table retains the two image filenames and times, current and previous BI, delta BI and its stored signed cube-root transformation. It also retains previous sun-exposed BI, mean camera temperature, maximum wind gust, the daily time adjustment, grouping and observation-order variables, the gust-threshold record count used in descriptive summaries, and the primary observer used in the sensitivity check. Photo pairs allow a five-minute tolerance around 30 minutes. Pairs with zero BI in both images were excluded upstream.</w:t>
      </w:r>
    </w:p>
    <w:p>
      <w:r>
        <w:t>The next-day table retains change in daily maximum BI, previous-day maximum BI, window duration, maximum gust, cumulative sun-exposed BI, three alternative temperature summaries, deployment and observation order. The window starts at the previous day's maximum BI and ends at the current day's final daytime image. Selected deployment-days have 15–25 daytime images. Consecutive-day pairs must pass the historical 95 percent overall completeness threshold and the required complete-case filters. The signed square-root response is calculated in R. Temperature alternatives are evaluated in separate candidate models.</w:t>
      </w:r>
    </w:p>
    <w:p>
      <w:pPr>
        <w:pStyle w:val="Heading2"/>
      </w:pPr>
      <w:r>
        <w:t>A corrected description of the time adjustment</w:t>
      </w:r>
    </w:p>
    <w:p>
      <w:r>
        <w:t>The manuscript previously called one adjustment covariate minutes since sunrise. Inspection of the preparation code showed that it is minutes since the first observation in the upstream deployment-day series. The release calls it minutes_since_first_daily_observation, and the script formulas and manuscript wording now use that definition. We did not calculate astronomical sunrise or alter the values. Coauthors should note this terminology correction when reviewing the manuscript and release together.</w:t>
      </w:r>
    </w:p>
    <w:p>
      <w:pPr>
        <w:pStyle w:val="Heading2"/>
      </w:pPr>
      <w:r>
        <w:t>What the verification establishes</w:t>
      </w:r>
    </w:p>
    <w:p>
      <w:r>
        <w:t>The updated R scripts read the released analysis CSVs directly. All 121 candidate fits and all 34 checked result tables reproduced the historical numerical outputs exactly after accounting for field-name changes. The comparison covers rankings, coefficients, predictions, descriptive summaries and focused sensitivity checks. Original row order and correlation-order gaps are preserved. The later acceptance of the SC1 zero did not change either analysis input.</w:t>
      </w:r>
    </w:p>
    <w:p>
      <w:r>
        <w:t>This verification establishes reproducibility of the retained analysis from the released analysis inputs. It does not mean that the broader reconciled wind archive was used to recompute the historical weather summaries. That archive includes additional deployments and exact source boundary seconds. The release documents this distinction. Readers can reproduce the manuscript inputs as released, or undertake a separate analysis of the broader observational archive.</w:t>
      </w:r>
    </w:p>
    <w:p>
      <w:pPr>
        <w:pStyle w:val="Heading1"/>
        <w:pageBreakBefore/>
      </w:pPr>
      <w:r>
        <w:t>Coauthor review and USGS handoff</w:t>
      </w:r>
    </w:p>
    <w:p>
      <w:pPr>
        <w:pStyle w:val="Heading2"/>
      </w:pPr>
      <w:r>
        <w:t>What we are asking colleagues to review</w:t>
      </w:r>
    </w:p>
    <w:p>
      <w:r>
        <w:t>Please review whether the release scope and file descriptions accurately represent the observations, including deployments outside the manuscript subset. Check the camera and wind-meter assignments, deployment boundaries and location descriptions. The deployment identifiers should let a reader connect every table and photograph without relying on local knowledge of the equipment names.</w:t>
      </w:r>
    </w:p>
    <w:p>
      <w:r>
        <w:t>Please also check the scientific definitions and limitations. The central points are that BI is an index, camera temperature is an approximate instrument reading, shared wind records are not independent, and incomplete wind coverage has not been filled. The clock caveat, accepted SC1 zero and revised definition of the daily time covariate should be consistent across the manuscript, README, dictionary and XML. Known recording gaps are documented rather than presented as complete continuous series.</w:t>
      </w:r>
    </w:p>
    <w:p>
      <w:r>
        <w:t>The author list follows the manuscript, and I am the corresponding author. We will send this draft to our USGS contacts for review. The release DOI, USGS metadata identifier, institutional metadata contact, final distribution wording and formal release review remain to be completed with them. The XML contains explicit placeholders for those unfinished administrative fields. It is well-formed XML and its field definitions match the CSV headers, but it is not yet a validated or approved submission record.</w:t>
      </w:r>
    </w:p>
    <w:p>
      <w:pPr>
        <w:pStyle w:val="Heading2"/>
      </w:pPr>
      <w:r>
        <w:t>How the review package is organized</w:t>
      </w:r>
    </w:p>
    <w:p>
      <w:r>
        <w:t>The review materials comprise this guide, README.md, metadata.xml, data_dictionary.csv and the seven data tables listed on the first page. The photo index identifies the associated JPEG collections. The Word guide explains the setup, while the dictionary supplies a definition, units, missing-value convention and observed range for every data column. Observed ranges describe this dataset and are not automatically limits for valid future measurements.</w:t>
      </w:r>
    </w:p>
    <w:p>
      <w:r>
        <w:t>The local staging package uses directory links for most photo collections and file hard links for the renamed SC13 collection, avoiding extra copies of image bytes. Before final upload, the indexed JPEGs must be placed in ordinary archives with the deployment paths preserved. Symbolic links and unlisted source files should not be distributed. Working reconciliation records, source provenance audits and this review guide are kept outside the public observational package.</w:t>
      </w:r>
    </w:p>
    <w:p>
      <w:pPr>
        <w:pStyle w:val="Heading2"/>
      </w:pPr>
      <w:r>
        <w:t>Where readers will find the scripts</w:t>
      </w:r>
    </w:p>
    <w:p>
      <w:r>
        <w:t>Analysis scripts remain in the manuscript repository at https://github.com/kylenessen/monarch-wind-light-manuscript. They are not included as data-release attachments. From the matching repository version, Rscript analysis/run_results_analyses.R runs the primary results workflow. The focused BI-category and observer checks have a separate documented workflow. The final released data should cite a fixed public repository version so future readers can use the corresponding scripts.</w:t>
      </w:r>
    </w:p>
    <w:p>
      <w:r>
        <w:t>The current metadata and this guide draw on the manuscript, the released tables, the dictionary, the frozen deployment layers and the reconciliation and verification reports. The RainWise WindLog manual is the source for the instrument direction and logging description. It is available at https://rainwise.com/downloads/windsoft/WindLog140805%20.pdf. The supplied Pismo XML was used only as an example of metadata structure. Its study facts and identifiers were not adopted.</w:t>
      </w:r>
    </w:p>
    <w:sectPr w:rsidR="00FC693F" w:rsidRPr="0006063C" w:rsidSect="00034616">
      <w:headerReference w:type="default" r:id="rId9"/>
      <w:footerReference w:type="default" r:id="rId10"/>
      <w:pgSz w:w="12240" w:h="15840"/>
      <w:pgMar w:top="1080"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136" w:val="left"/>
      </w:tabs>
    </w:pPr>
    <w:r>
      <w:rPr>
        <w:sz w:val="18"/>
      </w:rPr>
      <w:t>Coauthor review draft    September 13 2026</w:t>
      <w:tab/>
    </w: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Monarch monitoring data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Monarch monitoring data release</dc:title>
  <dc:subject>Coauthor review of the draft data release</dc:subject>
  <dc:creator>Kyle Nessen</dc:creator>
  <cp:keywords>monarch butterfly, data release, coauthor review</cp:keywords>
  <dc:description>Prepared for coauthor review. No release approval is asserted.</dc:description>
  <cp:lastModifiedBy/>
  <cp:revision>1</cp:revision>
  <dcterms:created xsi:type="dcterms:W3CDTF">2013-12-23T23:15:00Z</dcterms:created>
  <dcterms:modified xsi:type="dcterms:W3CDTF">2013-12-23T23:15:00Z</dcterms:modified>
  <cp:category/>
</cp:coreProperties>
</file>