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A698" w14:textId="77777777" w:rsidR="008F557E" w:rsidRPr="006045A6" w:rsidRDefault="008F557E" w:rsidP="008F557E">
      <w:pPr>
        <w:spacing w:line="480" w:lineRule="auto"/>
        <w:jc w:val="center"/>
        <w:rPr>
          <w:rFonts w:ascii="Times New Roman" w:hAnsi="Times New Roman" w:cs="Times New Roman"/>
        </w:rPr>
      </w:pPr>
    </w:p>
    <w:p w14:paraId="006ED031" w14:textId="77777777" w:rsidR="008F557E" w:rsidRPr="006045A6" w:rsidRDefault="008F557E" w:rsidP="008F557E">
      <w:pPr>
        <w:spacing w:line="480" w:lineRule="auto"/>
        <w:jc w:val="center"/>
        <w:rPr>
          <w:rFonts w:ascii="Times New Roman" w:hAnsi="Times New Roman" w:cs="Times New Roman"/>
          <w:b/>
          <w:bCs/>
        </w:rPr>
      </w:pPr>
    </w:p>
    <w:p w14:paraId="36359968" w14:textId="77777777" w:rsidR="008F557E" w:rsidRPr="006045A6" w:rsidRDefault="008F557E" w:rsidP="008F557E">
      <w:pPr>
        <w:spacing w:line="480" w:lineRule="auto"/>
        <w:jc w:val="center"/>
        <w:rPr>
          <w:rFonts w:ascii="Times New Roman" w:hAnsi="Times New Roman" w:cs="Times New Roman"/>
          <w:b/>
          <w:bCs/>
        </w:rPr>
      </w:pPr>
    </w:p>
    <w:p w14:paraId="414AF333" w14:textId="77777777" w:rsidR="008F557E" w:rsidRPr="006045A6" w:rsidRDefault="008F557E" w:rsidP="008F557E">
      <w:pPr>
        <w:spacing w:line="480" w:lineRule="auto"/>
        <w:jc w:val="center"/>
        <w:rPr>
          <w:rFonts w:ascii="Times New Roman" w:hAnsi="Times New Roman" w:cs="Times New Roman"/>
          <w:b/>
          <w:bCs/>
        </w:rPr>
      </w:pPr>
      <w:r w:rsidRPr="006045A6">
        <w:rPr>
          <w:rFonts w:ascii="Times New Roman" w:hAnsi="Times New Roman" w:cs="Times New Roman"/>
          <w:b/>
          <w:bCs/>
        </w:rPr>
        <w:t>Colorado Water Court Case Analysis</w:t>
      </w:r>
    </w:p>
    <w:p w14:paraId="7360B089" w14:textId="77777777" w:rsidR="008F557E" w:rsidRPr="006045A6" w:rsidRDefault="008F557E" w:rsidP="008F557E">
      <w:pPr>
        <w:spacing w:line="480" w:lineRule="auto"/>
        <w:jc w:val="center"/>
        <w:rPr>
          <w:rFonts w:ascii="Times New Roman" w:hAnsi="Times New Roman" w:cs="Times New Roman"/>
        </w:rPr>
      </w:pPr>
    </w:p>
    <w:p w14:paraId="5F615CC5" w14:textId="77777777" w:rsidR="008F557E" w:rsidRPr="006045A6" w:rsidRDefault="008F557E" w:rsidP="008F557E">
      <w:pPr>
        <w:spacing w:line="480" w:lineRule="auto"/>
        <w:jc w:val="center"/>
        <w:rPr>
          <w:rFonts w:ascii="Times New Roman" w:hAnsi="Times New Roman" w:cs="Times New Roman"/>
        </w:rPr>
      </w:pPr>
    </w:p>
    <w:p w14:paraId="3530EC13" w14:textId="77777777" w:rsidR="008F557E" w:rsidRPr="006045A6" w:rsidRDefault="008F557E" w:rsidP="008F557E">
      <w:pPr>
        <w:spacing w:line="480" w:lineRule="auto"/>
        <w:jc w:val="center"/>
        <w:rPr>
          <w:rFonts w:ascii="Times New Roman" w:hAnsi="Times New Roman" w:cs="Times New Roman"/>
        </w:rPr>
      </w:pPr>
    </w:p>
    <w:p w14:paraId="30DD6E11" w14:textId="77777777" w:rsidR="008F557E" w:rsidRPr="006045A6" w:rsidRDefault="008F557E" w:rsidP="008F557E">
      <w:pPr>
        <w:spacing w:line="480" w:lineRule="auto"/>
        <w:jc w:val="center"/>
        <w:rPr>
          <w:rFonts w:ascii="Times New Roman" w:hAnsi="Times New Roman" w:cs="Times New Roman"/>
        </w:rPr>
      </w:pPr>
      <w:r w:rsidRPr="006045A6">
        <w:rPr>
          <w:rFonts w:ascii="Times New Roman" w:hAnsi="Times New Roman" w:cs="Times New Roman"/>
        </w:rPr>
        <w:t>Kyle Robinette</w:t>
      </w:r>
    </w:p>
    <w:p w14:paraId="39D461DC" w14:textId="77777777" w:rsidR="008F557E" w:rsidRPr="006045A6" w:rsidRDefault="008F557E" w:rsidP="008F557E">
      <w:pPr>
        <w:spacing w:line="480" w:lineRule="auto"/>
        <w:jc w:val="center"/>
        <w:rPr>
          <w:rFonts w:ascii="Times New Roman" w:hAnsi="Times New Roman" w:cs="Times New Roman"/>
        </w:rPr>
      </w:pPr>
      <w:r w:rsidRPr="006045A6">
        <w:rPr>
          <w:rFonts w:ascii="Times New Roman" w:hAnsi="Times New Roman" w:cs="Times New Roman"/>
        </w:rPr>
        <w:t xml:space="preserve">Colorado State University: Department of Ecosystem Science and Sustainability  </w:t>
      </w:r>
    </w:p>
    <w:p w14:paraId="23BB0D0A" w14:textId="77777777" w:rsidR="008F557E" w:rsidRPr="006045A6" w:rsidRDefault="008F557E" w:rsidP="008F557E">
      <w:pPr>
        <w:spacing w:line="480" w:lineRule="auto"/>
        <w:jc w:val="center"/>
        <w:rPr>
          <w:rFonts w:ascii="Times New Roman" w:hAnsi="Times New Roman" w:cs="Times New Roman"/>
        </w:rPr>
      </w:pPr>
      <w:r w:rsidRPr="006045A6">
        <w:rPr>
          <w:rFonts w:ascii="Times New Roman" w:hAnsi="Times New Roman" w:cs="Times New Roman"/>
        </w:rPr>
        <w:t>WR 512: Water Law for Non-Lawyers</w:t>
      </w:r>
    </w:p>
    <w:p w14:paraId="59F0037C" w14:textId="77777777" w:rsidR="008F557E" w:rsidRPr="006045A6" w:rsidRDefault="008F557E" w:rsidP="008F557E">
      <w:pPr>
        <w:spacing w:line="480" w:lineRule="auto"/>
        <w:jc w:val="center"/>
        <w:rPr>
          <w:rFonts w:ascii="Times New Roman" w:hAnsi="Times New Roman" w:cs="Times New Roman"/>
        </w:rPr>
      </w:pPr>
      <w:r w:rsidRPr="006045A6">
        <w:rPr>
          <w:rFonts w:ascii="Times New Roman" w:hAnsi="Times New Roman" w:cs="Times New Roman"/>
        </w:rPr>
        <w:t>Dr. Tamee Albrecht</w:t>
      </w:r>
    </w:p>
    <w:p w14:paraId="67C2977E" w14:textId="77777777" w:rsidR="008F557E" w:rsidRPr="006045A6" w:rsidRDefault="008F557E" w:rsidP="008F557E">
      <w:pPr>
        <w:spacing w:line="480" w:lineRule="auto"/>
        <w:jc w:val="center"/>
        <w:rPr>
          <w:rFonts w:ascii="Times New Roman" w:hAnsi="Times New Roman" w:cs="Times New Roman"/>
        </w:rPr>
      </w:pPr>
      <w:r w:rsidRPr="006045A6">
        <w:rPr>
          <w:rFonts w:ascii="Times New Roman" w:hAnsi="Times New Roman" w:cs="Times New Roman"/>
        </w:rPr>
        <w:t>December 12, 2025</w:t>
      </w:r>
    </w:p>
    <w:p w14:paraId="2F3AA8BF" w14:textId="77777777" w:rsidR="008F557E" w:rsidRPr="006045A6" w:rsidRDefault="008F557E" w:rsidP="008F557E">
      <w:pPr>
        <w:spacing w:line="480" w:lineRule="auto"/>
        <w:rPr>
          <w:rFonts w:ascii="Times New Roman" w:hAnsi="Times New Roman" w:cs="Times New Roman"/>
        </w:rPr>
      </w:pPr>
    </w:p>
    <w:p w14:paraId="78687768" w14:textId="77777777" w:rsidR="008F557E" w:rsidRPr="006045A6" w:rsidRDefault="008F557E" w:rsidP="008F557E">
      <w:pPr>
        <w:spacing w:line="480" w:lineRule="auto"/>
        <w:rPr>
          <w:rFonts w:ascii="Times New Roman" w:hAnsi="Times New Roman" w:cs="Times New Roman"/>
        </w:rPr>
      </w:pPr>
    </w:p>
    <w:p w14:paraId="5AB9D0AF" w14:textId="77777777" w:rsidR="008F557E" w:rsidRPr="006045A6" w:rsidRDefault="008F557E" w:rsidP="008F557E">
      <w:pPr>
        <w:spacing w:line="480" w:lineRule="auto"/>
        <w:rPr>
          <w:rFonts w:ascii="Times New Roman" w:hAnsi="Times New Roman" w:cs="Times New Roman"/>
        </w:rPr>
      </w:pPr>
    </w:p>
    <w:p w14:paraId="2587A5D0" w14:textId="77777777" w:rsidR="008F557E" w:rsidRPr="006045A6" w:rsidRDefault="008F557E" w:rsidP="008F557E">
      <w:pPr>
        <w:spacing w:line="480" w:lineRule="auto"/>
        <w:rPr>
          <w:rFonts w:ascii="Times New Roman" w:hAnsi="Times New Roman" w:cs="Times New Roman"/>
        </w:rPr>
      </w:pPr>
    </w:p>
    <w:p w14:paraId="5FF0E70A" w14:textId="77777777" w:rsidR="008F557E" w:rsidRPr="006045A6" w:rsidRDefault="008F557E" w:rsidP="008F557E">
      <w:pPr>
        <w:spacing w:line="480" w:lineRule="auto"/>
        <w:rPr>
          <w:rFonts w:ascii="Times New Roman" w:hAnsi="Times New Roman" w:cs="Times New Roman"/>
        </w:rPr>
      </w:pPr>
    </w:p>
    <w:p w14:paraId="37DC599A"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b/>
          <w:bCs/>
          <w:u w:val="single"/>
        </w:rPr>
        <w:t>Case details:</w:t>
      </w:r>
      <w:r w:rsidRPr="006045A6">
        <w:rPr>
          <w:rFonts w:ascii="Times New Roman" w:hAnsi="Times New Roman" w:cs="Times New Roman"/>
          <w:b/>
          <w:bCs/>
        </w:rPr>
        <w:t> </w:t>
      </w:r>
    </w:p>
    <w:p w14:paraId="1B664329"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lastRenderedPageBreak/>
        <w:t>United States Supreme Court - HINDERLIDER v. LA PLATA RIVER &amp; CHERRY CREEK DITCH CO. 304 U.S. 92 (1938)</w:t>
      </w:r>
    </w:p>
    <w:p w14:paraId="3D2B4A0C"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t>Filed July 5, 1928 (La Plata County District Court)</w:t>
      </w:r>
    </w:p>
    <w:p w14:paraId="40C47325"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t>Argued February 10, 11, 1938.</w:t>
      </w:r>
    </w:p>
    <w:p w14:paraId="4B82228A"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t>Decided April 25, 1938.</w:t>
      </w:r>
    </w:p>
    <w:p w14:paraId="5A73E8A4" w14:textId="77777777" w:rsidR="008F557E" w:rsidRPr="006045A6" w:rsidRDefault="008F557E" w:rsidP="008F557E">
      <w:pPr>
        <w:spacing w:line="480" w:lineRule="auto"/>
        <w:rPr>
          <w:rFonts w:ascii="Times New Roman" w:hAnsi="Times New Roman" w:cs="Times New Roman"/>
          <w:b/>
          <w:bCs/>
          <w:u w:val="single"/>
        </w:rPr>
      </w:pPr>
      <w:r w:rsidRPr="006045A6">
        <w:rPr>
          <w:rFonts w:ascii="Times New Roman" w:hAnsi="Times New Roman" w:cs="Times New Roman"/>
          <w:b/>
          <w:bCs/>
          <w:u w:val="single"/>
        </w:rPr>
        <w:t>Issue:</w:t>
      </w:r>
    </w:p>
    <w:p w14:paraId="2BB0B39F"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b/>
          <w:bCs/>
        </w:rPr>
        <w:tab/>
      </w:r>
      <w:r w:rsidRPr="006045A6">
        <w:rPr>
          <w:rFonts w:ascii="Times New Roman" w:hAnsi="Times New Roman" w:cs="Times New Roman"/>
        </w:rPr>
        <w:t xml:space="preserve">The La Plata River &amp; Cherry Creek Ditch company, a corporation that held an 1898 Colorado water right decree </w:t>
      </w:r>
      <w:proofErr w:type="gramStart"/>
      <w:r w:rsidRPr="006045A6">
        <w:rPr>
          <w:rFonts w:ascii="Times New Roman" w:hAnsi="Times New Roman" w:cs="Times New Roman"/>
        </w:rPr>
        <w:t>entitling</w:t>
      </w:r>
      <w:proofErr w:type="gramEnd"/>
      <w:r w:rsidRPr="006045A6">
        <w:rPr>
          <w:rFonts w:ascii="Times New Roman" w:hAnsi="Times New Roman" w:cs="Times New Roman"/>
        </w:rPr>
        <w:t xml:space="preserve"> it to divert water for irrigation, brought forward a suit against </w:t>
      </w:r>
      <w:proofErr w:type="spellStart"/>
      <w:r w:rsidRPr="006045A6">
        <w:rPr>
          <w:rFonts w:ascii="Times New Roman" w:hAnsi="Times New Roman" w:cs="Times New Roman"/>
        </w:rPr>
        <w:t>Hinderlider</w:t>
      </w:r>
      <w:proofErr w:type="spellEnd"/>
      <w:r w:rsidRPr="006045A6">
        <w:rPr>
          <w:rFonts w:ascii="Times New Roman" w:hAnsi="Times New Roman" w:cs="Times New Roman"/>
        </w:rPr>
        <w:t>, the State Engineer of Colorado, and his subordinates (</w:t>
      </w: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xml:space="preserve">, 1938). The conflict centered around the amount of water that should be diverted after the 1922 La Plata River Compact allocated flows between Colorado and New Mexico. The La Plata River originates in the mountains of Colorado where it flows south into the boundaries of New Mexico and eventually empties into the San Juan River. When the State Engineer curtailed Colorado water users’ diversions to comply with the interstate compact, the ditch company objected, arguing that its long-standing prior appropriation right held precedent. The legal issue, therefore, concerned whether an interstate compact approved by Congress could supersede existing state-based water rights, and whether the state had the authority to lawfully reduce diversions of senior appropriators. This raised a fundamental question of how state water law interacts with federal authority and interstate agreements.        </w:t>
      </w:r>
    </w:p>
    <w:p w14:paraId="34E79EA6" w14:textId="77777777" w:rsidR="008F557E" w:rsidRPr="006045A6" w:rsidRDefault="008F557E" w:rsidP="008F557E">
      <w:pPr>
        <w:spacing w:line="480" w:lineRule="auto"/>
        <w:rPr>
          <w:rFonts w:ascii="Times New Roman" w:hAnsi="Times New Roman" w:cs="Times New Roman"/>
          <w:b/>
          <w:bCs/>
        </w:rPr>
      </w:pPr>
      <w:r w:rsidRPr="006045A6">
        <w:rPr>
          <w:rFonts w:ascii="Times New Roman" w:hAnsi="Times New Roman" w:cs="Times New Roman"/>
          <w:b/>
          <w:bCs/>
          <w:u w:val="single"/>
        </w:rPr>
        <w:t>Rule</w:t>
      </w:r>
      <w:r w:rsidRPr="006045A6">
        <w:rPr>
          <w:rFonts w:ascii="Times New Roman" w:hAnsi="Times New Roman" w:cs="Times New Roman"/>
          <w:b/>
          <w:bCs/>
        </w:rPr>
        <w:t xml:space="preserve">: </w:t>
      </w:r>
    </w:p>
    <w:p w14:paraId="34BE0F83"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b/>
          <w:bCs/>
        </w:rPr>
        <w:lastRenderedPageBreak/>
        <w:tab/>
      </w:r>
      <w:r w:rsidRPr="006045A6">
        <w:rPr>
          <w:rFonts w:ascii="Times New Roman" w:hAnsi="Times New Roman" w:cs="Times New Roman"/>
        </w:rPr>
        <w:t xml:space="preserve">In this case the ditch company’s claim is based on the guiding principles that make up the Colorado prior appropriation doctrine. By establishing </w:t>
      </w:r>
      <w:proofErr w:type="gramStart"/>
      <w:r w:rsidRPr="006045A6">
        <w:rPr>
          <w:rFonts w:ascii="Times New Roman" w:hAnsi="Times New Roman" w:cs="Times New Roman"/>
        </w:rPr>
        <w:t>a water right</w:t>
      </w:r>
      <w:proofErr w:type="gramEnd"/>
      <w:r w:rsidRPr="006045A6">
        <w:rPr>
          <w:rFonts w:ascii="Times New Roman" w:hAnsi="Times New Roman" w:cs="Times New Roman"/>
        </w:rPr>
        <w:t xml:space="preserve">, the ditch company is entitled to divert the water and apply it to a beneficial use (Jones &amp; Cech, 2009). However, at the heart of this case is the relationship between prior appropriation priority and interstate compacts. According to Jones &amp; Cech (2009), the La Plata River Compact was the second oldest Colorado compact to be signed into law and states that between February 15 to December 1 Colorado must deliver half the average flow to New Mexico when the river falls below 100 </w:t>
      </w:r>
      <w:proofErr w:type="spellStart"/>
      <w:r w:rsidRPr="006045A6">
        <w:rPr>
          <w:rFonts w:ascii="Times New Roman" w:hAnsi="Times New Roman" w:cs="Times New Roman"/>
        </w:rPr>
        <w:t>cfs</w:t>
      </w:r>
      <w:proofErr w:type="spellEnd"/>
      <w:r w:rsidRPr="006045A6">
        <w:rPr>
          <w:rFonts w:ascii="Times New Roman" w:hAnsi="Times New Roman" w:cs="Times New Roman"/>
        </w:rPr>
        <w:t xml:space="preserve">, otherwise usage is unrestricted. So, Colorado water law recognizes that a state may be legally bound by interstate compacts and therefore may limit the quantity available for interstate users. The authority of the state engineer is also in question as they have the task of regulating diversions and administering compact obligations. The central legal issue, therefore, is the interaction between prior appropriation and interstate compact law. Specifically, whether compact administration can lawfully supersede or limit the full exercise of senior water rights within Colorado.       </w:t>
      </w:r>
    </w:p>
    <w:p w14:paraId="7A65D9D2" w14:textId="77777777" w:rsidR="008F557E" w:rsidRPr="006045A6" w:rsidRDefault="008F557E" w:rsidP="008F557E">
      <w:pPr>
        <w:spacing w:line="480" w:lineRule="auto"/>
        <w:rPr>
          <w:rFonts w:ascii="Times New Roman" w:hAnsi="Times New Roman" w:cs="Times New Roman"/>
          <w:b/>
          <w:bCs/>
        </w:rPr>
      </w:pPr>
      <w:r w:rsidRPr="006045A6">
        <w:rPr>
          <w:rFonts w:ascii="Times New Roman" w:hAnsi="Times New Roman" w:cs="Times New Roman"/>
          <w:b/>
          <w:bCs/>
          <w:u w:val="single"/>
        </w:rPr>
        <w:t xml:space="preserve">Analysis: </w:t>
      </w:r>
      <w:r w:rsidRPr="006045A6">
        <w:rPr>
          <w:rFonts w:ascii="Times New Roman" w:hAnsi="Times New Roman" w:cs="Times New Roman"/>
          <w:b/>
          <w:bCs/>
        </w:rPr>
        <w:t> </w:t>
      </w:r>
    </w:p>
    <w:p w14:paraId="30624733"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b/>
          <w:bCs/>
        </w:rPr>
        <w:tab/>
      </w:r>
      <w:r w:rsidRPr="006045A6">
        <w:rPr>
          <w:rFonts w:ascii="Times New Roman" w:hAnsi="Times New Roman" w:cs="Times New Roman"/>
        </w:rPr>
        <w:t xml:space="preserve">In resolving </w:t>
      </w: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the courts examined both factual and legal evidence regarding how water from the La Plata River had historically been diverted and how the 1922 La Plata River Compact obligated Colorado to manage the river jointly with New Mexico. The case was formed around the Cherry Creek Ditch Company claiming that the State Engineer (</w:t>
      </w:r>
      <w:proofErr w:type="spellStart"/>
      <w:r w:rsidRPr="006045A6">
        <w:rPr>
          <w:rFonts w:ascii="Times New Roman" w:hAnsi="Times New Roman" w:cs="Times New Roman"/>
        </w:rPr>
        <w:t>Hinderlinder</w:t>
      </w:r>
      <w:proofErr w:type="spellEnd"/>
      <w:r w:rsidRPr="006045A6">
        <w:rPr>
          <w:rFonts w:ascii="Times New Roman" w:hAnsi="Times New Roman" w:cs="Times New Roman"/>
        </w:rPr>
        <w:t xml:space="preserve">) curtailment orders unlawfully reduced their senior water rights.  </w:t>
      </w:r>
      <w:proofErr w:type="spellStart"/>
      <w:r w:rsidRPr="006045A6">
        <w:rPr>
          <w:rFonts w:ascii="Times New Roman" w:hAnsi="Times New Roman" w:cs="Times New Roman"/>
        </w:rPr>
        <w:t>Hinderlinder</w:t>
      </w:r>
      <w:proofErr w:type="spellEnd"/>
      <w:r w:rsidRPr="006045A6">
        <w:rPr>
          <w:rFonts w:ascii="Times New Roman" w:hAnsi="Times New Roman" w:cs="Times New Roman"/>
        </w:rPr>
        <w:t xml:space="preserve"> on the other hand, argued that Colorado was legally required to enforce the compact allocation requirements, even when doing so would limit water to state appropriators (</w:t>
      </w: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xml:space="preserve">, 1938). The courts reviewed extensive hydrological evidence documenting the seasonal flow variability of </w:t>
      </w:r>
      <w:r w:rsidRPr="006045A6">
        <w:rPr>
          <w:rFonts w:ascii="Times New Roman" w:hAnsi="Times New Roman" w:cs="Times New Roman"/>
        </w:rPr>
        <w:lastRenderedPageBreak/>
        <w:t xml:space="preserve">the La Plata River as well as historical diversion records that showed that Colorado’s users often depleted flows entirely before the river reached New Mexico. This data became essential in the court understanding why the compact had been negotiated in the first place (Knox, 2001). </w:t>
      </w:r>
    </w:p>
    <w:p w14:paraId="45523762"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tab/>
        <w:t xml:space="preserve">The compact itself was also thoroughly analyzed, which provided specific procedures for measuring flow and distributing it between the two states based on river conditions (LA Plata River Compact, 1922). Testimony from engineers and state officials illustrated that compliance with these procedures required real-time regulation of Colorado irrigators, including reductions for senior appropriators. Evidence showed that in the years leading up to the dispute, Colorado had not consistently met its delivery obligations, prompting New Mexico to demand more rigorous enforcement. As a result, state engineers of both states had come to agree on a system of alternating periods where the full flow would be distributed on a rotating schedule to maximize the beneficial use for each state (Knox, 2001). When </w:t>
      </w:r>
      <w:proofErr w:type="spellStart"/>
      <w:r w:rsidRPr="006045A6">
        <w:rPr>
          <w:rFonts w:ascii="Times New Roman" w:hAnsi="Times New Roman" w:cs="Times New Roman"/>
        </w:rPr>
        <w:t>Hinderlider</w:t>
      </w:r>
      <w:proofErr w:type="spellEnd"/>
      <w:r w:rsidRPr="006045A6">
        <w:rPr>
          <w:rFonts w:ascii="Times New Roman" w:hAnsi="Times New Roman" w:cs="Times New Roman"/>
        </w:rPr>
        <w:t xml:space="preserve"> issued an order limiting Colorado diversions to achieve compact compliance, senior Colorado appropriators objected, demanding property rights to the full extent of their priority even if that meant violating compact terms. </w:t>
      </w:r>
    </w:p>
    <w:p w14:paraId="7E238BDB"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rPr>
        <w:tab/>
        <w:t xml:space="preserve">The court’s analysis turned on the legal question of whether Colorado appropriators held a vested right to water that the state was obligated by compact to deliver elsewhere. The water users argued that the original 1898 decree, which awarded the ditch company a specific quantity of water, could not be diminished by state officials without compensation. The state engineer countered that interstate compacts are binding federal agreements, authorized by the U.S. Congress. To address the conflict the court considered precedent involving federal involvement over interstate streams, such </w:t>
      </w:r>
      <w:r w:rsidRPr="006045A6">
        <w:rPr>
          <w:rFonts w:ascii="Times New Roman" w:hAnsi="Times New Roman" w:cs="Times New Roman"/>
          <w:i/>
          <w:iCs/>
        </w:rPr>
        <w:t>as Kansas v. Colorado (1907)</w:t>
      </w:r>
      <w:r w:rsidRPr="006045A6">
        <w:rPr>
          <w:rFonts w:ascii="Times New Roman" w:hAnsi="Times New Roman" w:cs="Times New Roman"/>
        </w:rPr>
        <w:t xml:space="preserve"> and </w:t>
      </w:r>
      <w:r w:rsidRPr="006045A6">
        <w:rPr>
          <w:rFonts w:ascii="Times New Roman" w:hAnsi="Times New Roman" w:cs="Times New Roman"/>
          <w:i/>
          <w:iCs/>
        </w:rPr>
        <w:t>Wyoming v. Colorado (1922)</w:t>
      </w:r>
      <w:r w:rsidRPr="006045A6">
        <w:rPr>
          <w:rFonts w:ascii="Times New Roman" w:hAnsi="Times New Roman" w:cs="Times New Roman"/>
        </w:rPr>
        <w:t xml:space="preserve">. These cases recognized that both states sharing a river system have a substantial interest in the </w:t>
      </w:r>
      <w:r w:rsidRPr="006045A6">
        <w:rPr>
          <w:rFonts w:ascii="Times New Roman" w:hAnsi="Times New Roman" w:cs="Times New Roman"/>
        </w:rPr>
        <w:lastRenderedPageBreak/>
        <w:t>waters that must be respected (</w:t>
      </w: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1938).  The U.S. Supreme Court ultimately drew on this precedent when it reviewed the case. The Court emphasized that a compact ratified by Congress becomes federal law, and therefore no individual water right, no matter how senior, can override the state's compact duties.</w:t>
      </w:r>
    </w:p>
    <w:p w14:paraId="34B947EC" w14:textId="77777777" w:rsidR="008F557E" w:rsidRPr="006045A6" w:rsidRDefault="008F557E" w:rsidP="008F557E">
      <w:pPr>
        <w:spacing w:line="480" w:lineRule="auto"/>
        <w:rPr>
          <w:rFonts w:ascii="Times New Roman" w:hAnsi="Times New Roman" w:cs="Times New Roman"/>
          <w:b/>
          <w:bCs/>
        </w:rPr>
      </w:pPr>
      <w:r w:rsidRPr="006045A6">
        <w:rPr>
          <w:rFonts w:ascii="Times New Roman" w:hAnsi="Times New Roman" w:cs="Times New Roman"/>
          <w:b/>
          <w:bCs/>
          <w:u w:val="single"/>
        </w:rPr>
        <w:t>Conclusion</w:t>
      </w:r>
      <w:r w:rsidRPr="006045A6">
        <w:rPr>
          <w:rFonts w:ascii="Times New Roman" w:hAnsi="Times New Roman" w:cs="Times New Roman"/>
          <w:b/>
          <w:bCs/>
        </w:rPr>
        <w:t xml:space="preserve">: </w:t>
      </w:r>
    </w:p>
    <w:p w14:paraId="4308E9D9" w14:textId="77777777" w:rsidR="008F557E" w:rsidRPr="006045A6" w:rsidRDefault="008F557E" w:rsidP="008F557E">
      <w:pPr>
        <w:spacing w:line="480" w:lineRule="auto"/>
        <w:rPr>
          <w:rFonts w:ascii="Times New Roman" w:hAnsi="Times New Roman" w:cs="Times New Roman"/>
        </w:rPr>
      </w:pPr>
      <w:r w:rsidRPr="006045A6">
        <w:rPr>
          <w:rFonts w:ascii="Times New Roman" w:hAnsi="Times New Roman" w:cs="Times New Roman"/>
          <w:b/>
          <w:bCs/>
        </w:rPr>
        <w:tab/>
      </w: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xml:space="preserve"> was Initiated in 1928 at the district court level where the District Court ruled against the Colorado irrigators. Then after </w:t>
      </w:r>
      <w:proofErr w:type="gramStart"/>
      <w:r w:rsidRPr="006045A6">
        <w:rPr>
          <w:rFonts w:ascii="Times New Roman" w:hAnsi="Times New Roman" w:cs="Times New Roman"/>
        </w:rPr>
        <w:t>appeal</w:t>
      </w:r>
      <w:proofErr w:type="gramEnd"/>
      <w:r w:rsidRPr="006045A6">
        <w:rPr>
          <w:rFonts w:ascii="Times New Roman" w:hAnsi="Times New Roman" w:cs="Times New Roman"/>
        </w:rPr>
        <w:t>, the Colorado Supreme Court reversed the decision ruling in favor of the water users. Finally on April 5, 1938, after multiple appeals to the U.S Supreme Court, it was decided that the La Plata River Compact held precedent over state water rights. This decision upheld the State Engineer’s authority to curtail diversions even for long-standing Colorado water rights.</w:t>
      </w:r>
    </w:p>
    <w:p w14:paraId="47FFFDC0" w14:textId="77777777" w:rsidR="008F557E" w:rsidRPr="006045A6" w:rsidRDefault="008F557E" w:rsidP="008F557E">
      <w:pPr>
        <w:spacing w:line="480" w:lineRule="auto"/>
        <w:rPr>
          <w:rFonts w:ascii="Times New Roman" w:hAnsi="Times New Roman" w:cs="Times New Roman"/>
          <w:b/>
          <w:bCs/>
        </w:rPr>
      </w:pPr>
      <w:r w:rsidRPr="006045A6">
        <w:rPr>
          <w:rFonts w:ascii="Times New Roman" w:hAnsi="Times New Roman" w:cs="Times New Roman"/>
          <w:b/>
          <w:bCs/>
          <w:u w:val="single"/>
        </w:rPr>
        <w:t>Implications</w:t>
      </w:r>
      <w:r w:rsidRPr="006045A6">
        <w:rPr>
          <w:rFonts w:ascii="Times New Roman" w:hAnsi="Times New Roman" w:cs="Times New Roman"/>
          <w:b/>
          <w:bCs/>
        </w:rPr>
        <w:t>:</w:t>
      </w:r>
    </w:p>
    <w:p w14:paraId="42B69960" w14:textId="77777777" w:rsidR="008F557E" w:rsidRPr="006045A6" w:rsidRDefault="008F557E" w:rsidP="008F557E">
      <w:pPr>
        <w:numPr>
          <w:ilvl w:val="0"/>
          <w:numId w:val="1"/>
        </w:numPr>
        <w:spacing w:line="480" w:lineRule="auto"/>
        <w:rPr>
          <w:rFonts w:ascii="Times New Roman" w:hAnsi="Times New Roman" w:cs="Times New Roman"/>
        </w:rPr>
      </w:pPr>
      <w:r w:rsidRPr="006045A6">
        <w:rPr>
          <w:rFonts w:ascii="Times New Roman" w:hAnsi="Times New Roman" w:cs="Times New Roman"/>
        </w:rPr>
        <w:t xml:space="preserve">Stakeholder impact: </w:t>
      </w:r>
    </w:p>
    <w:p w14:paraId="7226BD8E" w14:textId="77777777" w:rsidR="008F557E" w:rsidRPr="006045A6" w:rsidRDefault="008F557E" w:rsidP="008F557E">
      <w:pPr>
        <w:spacing w:line="480" w:lineRule="auto"/>
        <w:ind w:left="720" w:firstLine="720"/>
        <w:rPr>
          <w:rFonts w:ascii="Times New Roman" w:hAnsi="Times New Roman" w:cs="Times New Roman"/>
        </w:rPr>
      </w:pPr>
      <w:r w:rsidRPr="006045A6">
        <w:rPr>
          <w:rFonts w:ascii="Times New Roman" w:hAnsi="Times New Roman" w:cs="Times New Roman"/>
        </w:rPr>
        <w:t>As a result of the ruling in the case, interstate compacts and their authority over state decrees were strengthened. Today there are over 30 interstate compacts, including 9 in Colorado alone (Jones &amp; Cech, 2009). This case sets the precedent that these compact obligations must be met and are an extension of federal law. Therefore, downstream states who benefit from a compact have the right to challenge when upstream states attempt to assert absolute ownership over a shared river (</w:t>
      </w:r>
      <w:proofErr w:type="spellStart"/>
      <w:r w:rsidRPr="006045A6">
        <w:rPr>
          <w:rFonts w:ascii="Times New Roman" w:hAnsi="Times New Roman" w:cs="Times New Roman"/>
        </w:rPr>
        <w:t>DuMars</w:t>
      </w:r>
      <w:proofErr w:type="spellEnd"/>
      <w:r w:rsidRPr="006045A6">
        <w:rPr>
          <w:rFonts w:ascii="Times New Roman" w:hAnsi="Times New Roman" w:cs="Times New Roman"/>
        </w:rPr>
        <w:t xml:space="preserve">, 2012). While some priority water users might not necessarily benefit as their water is limited to satisfy interstate compact agreements, other downstream users can rest assured that their apportioned water is legally protected. Additionally, by federally binding compacts, </w:t>
      </w:r>
      <w:r w:rsidRPr="006045A6">
        <w:rPr>
          <w:rFonts w:ascii="Times New Roman" w:hAnsi="Times New Roman" w:cs="Times New Roman"/>
        </w:rPr>
        <w:lastRenderedPageBreak/>
        <w:t xml:space="preserve">actors who rely on predictable and enforceable interstate water allocation are now benefited. This includes interstate planners and state government administrators who gain from the reduced legal uncertainty.              </w:t>
      </w:r>
    </w:p>
    <w:p w14:paraId="5342EDF1" w14:textId="77777777" w:rsidR="008F557E" w:rsidRPr="006045A6" w:rsidRDefault="008F557E" w:rsidP="008F557E">
      <w:pPr>
        <w:numPr>
          <w:ilvl w:val="0"/>
          <w:numId w:val="1"/>
        </w:numPr>
        <w:spacing w:line="480" w:lineRule="auto"/>
        <w:rPr>
          <w:rFonts w:ascii="Times New Roman" w:hAnsi="Times New Roman" w:cs="Times New Roman"/>
        </w:rPr>
      </w:pPr>
      <w:r w:rsidRPr="006045A6">
        <w:rPr>
          <w:rFonts w:ascii="Times New Roman" w:hAnsi="Times New Roman" w:cs="Times New Roman"/>
        </w:rPr>
        <w:t xml:space="preserve">Interpretation of law: </w:t>
      </w:r>
    </w:p>
    <w:p w14:paraId="49AF0C0B" w14:textId="77777777" w:rsidR="008F557E" w:rsidRPr="006045A6" w:rsidRDefault="008F557E" w:rsidP="008F557E">
      <w:pPr>
        <w:spacing w:line="480" w:lineRule="auto"/>
        <w:ind w:left="720" w:firstLine="720"/>
        <w:rPr>
          <w:rFonts w:ascii="Times New Roman" w:hAnsi="Times New Roman" w:cs="Times New Roman"/>
        </w:rPr>
      </w:pPr>
      <w:r w:rsidRPr="006045A6">
        <w:rPr>
          <w:rFonts w:ascii="Times New Roman" w:hAnsi="Times New Roman" w:cs="Times New Roman"/>
        </w:rPr>
        <w:t xml:space="preserve">The importance of this case to interstate water law cannot be overstated. The </w:t>
      </w:r>
      <w:proofErr w:type="spellStart"/>
      <w:r w:rsidRPr="006045A6">
        <w:rPr>
          <w:rFonts w:ascii="Times New Roman" w:hAnsi="Times New Roman" w:cs="Times New Roman"/>
        </w:rPr>
        <w:t>Hinderlider</w:t>
      </w:r>
      <w:proofErr w:type="spellEnd"/>
      <w:r w:rsidRPr="006045A6">
        <w:rPr>
          <w:rFonts w:ascii="Times New Roman" w:hAnsi="Times New Roman" w:cs="Times New Roman"/>
        </w:rPr>
        <w:t xml:space="preserve"> decision has had significant implications for the interpretation of Colorado water law, particularly involving the scope of state authority over water rights when interstate compacts are involved. With the ultimate ruling that federal equitable water allocation overrides individual state appointed rights, Colorado cannot rely solely on its prior appropriation doctrine when managing water shared across state boundaries. This establishes the precedent that senior Colorado water rights are not absolute and predetermined quantities are subject to change when the state is required to fulfill compact obligations. Consequently, the case continues to shape Colorado’s approach to water administration by embedding interstate obligations into the interpretation, enforcement, and modification of water rights within the state.         </w:t>
      </w:r>
    </w:p>
    <w:p w14:paraId="5B6DE580" w14:textId="77777777" w:rsidR="008F557E" w:rsidRPr="006045A6" w:rsidRDefault="008F557E" w:rsidP="008F557E">
      <w:pPr>
        <w:numPr>
          <w:ilvl w:val="0"/>
          <w:numId w:val="1"/>
        </w:numPr>
        <w:spacing w:line="480" w:lineRule="auto"/>
        <w:rPr>
          <w:rFonts w:ascii="Times New Roman" w:hAnsi="Times New Roman" w:cs="Times New Roman"/>
        </w:rPr>
      </w:pPr>
      <w:r w:rsidRPr="006045A6">
        <w:rPr>
          <w:rFonts w:ascii="Times New Roman" w:hAnsi="Times New Roman" w:cs="Times New Roman"/>
        </w:rPr>
        <w:t xml:space="preserve">Alternate conclusion: </w:t>
      </w:r>
    </w:p>
    <w:p w14:paraId="7E8881CA" w14:textId="11A19CB3" w:rsidR="008F557E" w:rsidRPr="006045A6" w:rsidRDefault="008F557E" w:rsidP="008F557E">
      <w:pPr>
        <w:spacing w:line="480" w:lineRule="auto"/>
        <w:ind w:left="720" w:firstLine="720"/>
        <w:rPr>
          <w:rFonts w:ascii="Times New Roman" w:hAnsi="Times New Roman" w:cs="Times New Roman"/>
        </w:rPr>
      </w:pPr>
      <w:r w:rsidRPr="006045A6">
        <w:rPr>
          <w:rFonts w:ascii="Times New Roman" w:hAnsi="Times New Roman" w:cs="Times New Roman"/>
        </w:rPr>
        <w:t xml:space="preserve">If the courts had accepted the arguments of the ditch company the implications would be profound. This alternative ruling would determine that prior appropriation rights were definite even when they conflict with interstate compact delivery requirements. As a result, Colorado water users would be entitled to continue diverting water even if it meant reducing flows to the point where New Mexico does not receive its apportioned quantity. Additionally, the state engineer would have lost the authority to </w:t>
      </w:r>
      <w:r w:rsidRPr="006045A6">
        <w:rPr>
          <w:rFonts w:ascii="Times New Roman" w:hAnsi="Times New Roman" w:cs="Times New Roman"/>
        </w:rPr>
        <w:lastRenderedPageBreak/>
        <w:t>curtail Colorado diverters for the purpose of meeting compact delivery obligations. This means that future compacts are virtually unenforceable and downstream states would bear the risk of systemic shortages. A contrary ruling would effectively undermine the fundamental structure of western water governance by making equitable apportionment impossible to achieve without constant litigation between states and individual water users. For instance, under the Colorado River Compact upper basin states are obligated to guarantee releases at Lee Ferry (Jones &amp; Cech, 2009), yet if individual appropriators could defeat compact administration Colorado would be incapable of managing their share. Ultimately, if this case placed private rights above federally backed compact provisions, the consequences would destabilize cooperative water governance nationwide, especially as climate variability intensifies.</w:t>
      </w:r>
    </w:p>
    <w:p w14:paraId="55E820F0" w14:textId="77777777" w:rsidR="008F557E" w:rsidRPr="006045A6" w:rsidRDefault="008F557E" w:rsidP="008F557E">
      <w:pPr>
        <w:spacing w:line="480" w:lineRule="auto"/>
        <w:jc w:val="center"/>
        <w:rPr>
          <w:rFonts w:ascii="Times New Roman" w:hAnsi="Times New Roman" w:cs="Times New Roman"/>
          <w:b/>
          <w:bCs/>
        </w:rPr>
      </w:pPr>
      <w:r w:rsidRPr="006045A6">
        <w:rPr>
          <w:rFonts w:ascii="Times New Roman" w:hAnsi="Times New Roman" w:cs="Times New Roman"/>
          <w:b/>
          <w:bCs/>
        </w:rPr>
        <w:t xml:space="preserve">References </w:t>
      </w:r>
    </w:p>
    <w:p w14:paraId="45446916" w14:textId="77777777" w:rsidR="008F557E" w:rsidRPr="006045A6" w:rsidRDefault="008F557E" w:rsidP="008F557E">
      <w:pPr>
        <w:spacing w:line="480" w:lineRule="auto"/>
        <w:ind w:left="720" w:hanging="720"/>
        <w:rPr>
          <w:rFonts w:ascii="Times New Roman" w:hAnsi="Times New Roman" w:cs="Times New Roman"/>
        </w:rPr>
      </w:pPr>
      <w:proofErr w:type="spellStart"/>
      <w:r w:rsidRPr="006045A6">
        <w:rPr>
          <w:rFonts w:ascii="Times New Roman" w:hAnsi="Times New Roman" w:cs="Times New Roman"/>
        </w:rPr>
        <w:t>DuMars</w:t>
      </w:r>
      <w:proofErr w:type="spellEnd"/>
      <w:r w:rsidRPr="006045A6">
        <w:rPr>
          <w:rFonts w:ascii="Times New Roman" w:hAnsi="Times New Roman" w:cs="Times New Roman"/>
        </w:rPr>
        <w:t xml:space="preserve">, C. T., &amp; Curtice, S. (2012). </w:t>
      </w:r>
      <w:r w:rsidRPr="006045A6">
        <w:rPr>
          <w:rFonts w:ascii="Times New Roman" w:hAnsi="Times New Roman" w:cs="Times New Roman"/>
          <w:i/>
          <w:iCs/>
        </w:rPr>
        <w:t>Interstate compacts establishing state entitlements to water: An essential part of the water-planning process.</w:t>
      </w:r>
      <w:r w:rsidRPr="006045A6">
        <w:rPr>
          <w:rFonts w:ascii="Times New Roman" w:hAnsi="Times New Roman" w:cs="Times New Roman"/>
        </w:rPr>
        <w:t xml:space="preserve"> </w:t>
      </w:r>
      <w:r w:rsidRPr="006045A6">
        <w:rPr>
          <w:rFonts w:ascii="Times New Roman" w:hAnsi="Times New Roman" w:cs="Times New Roman"/>
          <w:i/>
          <w:iCs/>
        </w:rPr>
        <w:t>Oklahoma Law Review, 64</w:t>
      </w:r>
      <w:r w:rsidRPr="006045A6">
        <w:rPr>
          <w:rFonts w:ascii="Times New Roman" w:hAnsi="Times New Roman" w:cs="Times New Roman"/>
        </w:rPr>
        <w:t xml:space="preserve">(4), 515–562. </w:t>
      </w:r>
      <w:hyperlink r:id="rId7" w:tgtFrame="_new" w:history="1">
        <w:r w:rsidRPr="006045A6">
          <w:rPr>
            <w:rStyle w:val="Hyperlink"/>
            <w:rFonts w:ascii="Times New Roman" w:hAnsi="Times New Roman" w:cs="Times New Roman"/>
          </w:rPr>
          <w:t>https://digitalcommons.law.ou.edu/olr/vol64/iss4/2/</w:t>
        </w:r>
      </w:hyperlink>
    </w:p>
    <w:p w14:paraId="6C8038EC" w14:textId="77777777" w:rsidR="008F557E" w:rsidRPr="006045A6" w:rsidRDefault="008F557E" w:rsidP="008F557E">
      <w:pPr>
        <w:spacing w:line="480" w:lineRule="auto"/>
        <w:ind w:left="720" w:hanging="720"/>
        <w:rPr>
          <w:rFonts w:ascii="Times New Roman" w:hAnsi="Times New Roman" w:cs="Times New Roman"/>
        </w:rPr>
      </w:pPr>
      <w:proofErr w:type="spellStart"/>
      <w:r w:rsidRPr="006045A6">
        <w:rPr>
          <w:rFonts w:ascii="Times New Roman" w:hAnsi="Times New Roman" w:cs="Times New Roman"/>
          <w:i/>
          <w:iCs/>
        </w:rPr>
        <w:t>Hinderlider</w:t>
      </w:r>
      <w:proofErr w:type="spellEnd"/>
      <w:r w:rsidRPr="006045A6">
        <w:rPr>
          <w:rFonts w:ascii="Times New Roman" w:hAnsi="Times New Roman" w:cs="Times New Roman"/>
          <w:i/>
          <w:iCs/>
        </w:rPr>
        <w:t xml:space="preserve"> v. La Plata River &amp; Cherry Creek Ditch Co.</w:t>
      </w:r>
      <w:r w:rsidRPr="006045A6">
        <w:rPr>
          <w:rFonts w:ascii="Times New Roman" w:hAnsi="Times New Roman" w:cs="Times New Roman"/>
        </w:rPr>
        <w:t xml:space="preserve">, 304 U.S. 92 (1938). Retrieved from </w:t>
      </w:r>
      <w:hyperlink r:id="rId8" w:tgtFrame="_new" w:history="1">
        <w:r w:rsidRPr="006045A6">
          <w:rPr>
            <w:rStyle w:val="Hyperlink"/>
            <w:rFonts w:ascii="Times New Roman" w:hAnsi="Times New Roman" w:cs="Times New Roman"/>
          </w:rPr>
          <w:t>https://supreme.justia.com/cases/federal/us/304/92/</w:t>
        </w:r>
      </w:hyperlink>
    </w:p>
    <w:p w14:paraId="0E149DF7" w14:textId="77777777" w:rsidR="008F557E" w:rsidRPr="006045A6" w:rsidRDefault="008F557E" w:rsidP="008F557E">
      <w:pPr>
        <w:spacing w:line="480" w:lineRule="auto"/>
        <w:ind w:left="720" w:hanging="720"/>
        <w:rPr>
          <w:rFonts w:ascii="Times New Roman" w:hAnsi="Times New Roman" w:cs="Times New Roman"/>
        </w:rPr>
      </w:pPr>
      <w:r w:rsidRPr="006045A6">
        <w:rPr>
          <w:rFonts w:ascii="Times New Roman" w:hAnsi="Times New Roman" w:cs="Times New Roman"/>
        </w:rPr>
        <w:t xml:space="preserve">Jones, G. E., &amp; Cech, T. V. (2009). </w:t>
      </w:r>
      <w:r w:rsidRPr="006045A6">
        <w:rPr>
          <w:rFonts w:ascii="Times New Roman" w:hAnsi="Times New Roman" w:cs="Times New Roman"/>
          <w:i/>
          <w:iCs/>
        </w:rPr>
        <w:t>Colorado water law for non-lawyers</w:t>
      </w:r>
      <w:r w:rsidRPr="006045A6">
        <w:rPr>
          <w:rFonts w:ascii="Times New Roman" w:hAnsi="Times New Roman" w:cs="Times New Roman"/>
        </w:rPr>
        <w:t>. University Press of Colorado.</w:t>
      </w:r>
      <w:r w:rsidRPr="006045A6">
        <w:rPr>
          <w:rFonts w:ascii="Times New Roman" w:hAnsi="Times New Roman" w:cs="Times New Roman"/>
        </w:rPr>
        <w:br/>
      </w:r>
      <w:hyperlink r:id="rId9" w:tgtFrame="_new" w:history="1">
        <w:r w:rsidRPr="006045A6">
          <w:rPr>
            <w:rStyle w:val="Hyperlink"/>
            <w:rFonts w:ascii="Times New Roman" w:hAnsi="Times New Roman" w:cs="Times New Roman"/>
          </w:rPr>
          <w:t>https://ebookcentral-proquest-com.ezproxy2.library.colostate.edu/lib/csu/reader.action?docID=3039693</w:t>
        </w:r>
      </w:hyperlink>
    </w:p>
    <w:p w14:paraId="47FCB352" w14:textId="77777777" w:rsidR="008F557E" w:rsidRPr="006045A6" w:rsidRDefault="008F557E" w:rsidP="008F557E">
      <w:pPr>
        <w:spacing w:line="480" w:lineRule="auto"/>
        <w:ind w:left="720" w:hanging="720"/>
        <w:rPr>
          <w:rFonts w:ascii="Times New Roman" w:hAnsi="Times New Roman" w:cs="Times New Roman"/>
        </w:rPr>
      </w:pPr>
      <w:r w:rsidRPr="006045A6">
        <w:rPr>
          <w:rFonts w:ascii="Times New Roman" w:hAnsi="Times New Roman" w:cs="Times New Roman"/>
        </w:rPr>
        <w:lastRenderedPageBreak/>
        <w:t xml:space="preserve">Knox, K. W. (2001). The La Plata River Compact: Administration of an ephemeral river in the arid Southwest. </w:t>
      </w:r>
      <w:r w:rsidRPr="006045A6">
        <w:rPr>
          <w:rFonts w:ascii="Times New Roman" w:hAnsi="Times New Roman" w:cs="Times New Roman"/>
          <w:i/>
          <w:iCs/>
        </w:rPr>
        <w:t>University of Denver Water Law Review, 5</w:t>
      </w:r>
      <w:r w:rsidRPr="006045A6">
        <w:rPr>
          <w:rFonts w:ascii="Times New Roman" w:hAnsi="Times New Roman" w:cs="Times New Roman"/>
        </w:rPr>
        <w:t xml:space="preserve">(1), 104–121. </w:t>
      </w:r>
      <w:hyperlink r:id="rId10" w:tgtFrame="_new" w:history="1">
        <w:r w:rsidRPr="006045A6">
          <w:rPr>
            <w:rStyle w:val="Hyperlink"/>
            <w:rFonts w:ascii="Times New Roman" w:hAnsi="Times New Roman" w:cs="Times New Roman"/>
          </w:rPr>
          <w:t>https://digitalcommons.du.edu/cgi/viewcontent.cgi?article=2526&amp;context=wlr</w:t>
        </w:r>
      </w:hyperlink>
    </w:p>
    <w:p w14:paraId="4478192B" w14:textId="77777777" w:rsidR="008F557E" w:rsidRPr="006045A6" w:rsidRDefault="008F557E" w:rsidP="008F557E">
      <w:pPr>
        <w:spacing w:line="480" w:lineRule="auto"/>
        <w:ind w:left="720" w:hanging="720"/>
        <w:rPr>
          <w:rFonts w:ascii="Times New Roman" w:hAnsi="Times New Roman" w:cs="Times New Roman"/>
        </w:rPr>
      </w:pPr>
      <w:r w:rsidRPr="006045A6">
        <w:rPr>
          <w:rFonts w:ascii="Times New Roman" w:hAnsi="Times New Roman" w:cs="Times New Roman"/>
        </w:rPr>
        <w:t xml:space="preserve">La Plata River Compact. (1922). </w:t>
      </w:r>
      <w:r w:rsidRPr="006045A6">
        <w:rPr>
          <w:rFonts w:ascii="Times New Roman" w:hAnsi="Times New Roman" w:cs="Times New Roman"/>
          <w:i/>
          <w:iCs/>
        </w:rPr>
        <w:t>Compact between the states of Colorado and New Mexico concerning the La Plata River</w:t>
      </w:r>
      <w:r w:rsidRPr="006045A6">
        <w:rPr>
          <w:rFonts w:ascii="Times New Roman" w:hAnsi="Times New Roman" w:cs="Times New Roman"/>
        </w:rPr>
        <w:t xml:space="preserve"> (CSG Compacts collection). </w:t>
      </w:r>
      <w:hyperlink r:id="rId11" w:tgtFrame="_new" w:history="1">
        <w:r w:rsidRPr="006045A6">
          <w:rPr>
            <w:rStyle w:val="Hyperlink"/>
            <w:rFonts w:ascii="Times New Roman" w:hAnsi="Times New Roman" w:cs="Times New Roman"/>
          </w:rPr>
          <w:t>https://compacts.csg.org/wp-content/uploads/2024/03/La-Plata-River-Compact.pdf</w:t>
        </w:r>
      </w:hyperlink>
    </w:p>
    <w:p w14:paraId="4E6A724B" w14:textId="77777777" w:rsidR="008F557E" w:rsidRPr="006045A6" w:rsidRDefault="008F557E" w:rsidP="008F557E">
      <w:pPr>
        <w:spacing w:line="480" w:lineRule="auto"/>
        <w:rPr>
          <w:rFonts w:ascii="Times New Roman" w:hAnsi="Times New Roman" w:cs="Times New Roman"/>
        </w:rPr>
      </w:pPr>
    </w:p>
    <w:p w14:paraId="64AF81C2" w14:textId="77777777" w:rsidR="008F557E" w:rsidRPr="006045A6" w:rsidRDefault="008F557E" w:rsidP="008F557E">
      <w:pPr>
        <w:spacing w:line="480" w:lineRule="auto"/>
        <w:rPr>
          <w:rFonts w:ascii="Times New Roman" w:hAnsi="Times New Roman" w:cs="Times New Roman"/>
        </w:rPr>
      </w:pPr>
    </w:p>
    <w:p w14:paraId="34693624" w14:textId="77777777" w:rsidR="004B4CBD" w:rsidRPr="006045A6" w:rsidRDefault="004B4CBD" w:rsidP="008F557E">
      <w:pPr>
        <w:rPr>
          <w:rFonts w:ascii="Times New Roman" w:hAnsi="Times New Roman" w:cs="Times New Roman"/>
        </w:rPr>
      </w:pPr>
    </w:p>
    <w:sectPr w:rsidR="004B4CBD" w:rsidRPr="006045A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BE4D" w14:textId="77777777" w:rsidR="009C1EDE" w:rsidRDefault="009C1EDE" w:rsidP="003D7484">
      <w:pPr>
        <w:spacing w:after="0" w:line="240" w:lineRule="auto"/>
      </w:pPr>
      <w:r>
        <w:separator/>
      </w:r>
    </w:p>
  </w:endnote>
  <w:endnote w:type="continuationSeparator" w:id="0">
    <w:p w14:paraId="0B9847A7" w14:textId="77777777" w:rsidR="009C1EDE" w:rsidRDefault="009C1EDE" w:rsidP="003D7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38A5" w14:textId="77777777" w:rsidR="009C1EDE" w:rsidRDefault="009C1EDE" w:rsidP="003D7484">
      <w:pPr>
        <w:spacing w:after="0" w:line="240" w:lineRule="auto"/>
      </w:pPr>
      <w:r>
        <w:separator/>
      </w:r>
    </w:p>
  </w:footnote>
  <w:footnote w:type="continuationSeparator" w:id="0">
    <w:p w14:paraId="1852D155" w14:textId="77777777" w:rsidR="009C1EDE" w:rsidRDefault="009C1EDE" w:rsidP="003D7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240319"/>
      <w:docPartObj>
        <w:docPartGallery w:val="Page Numbers (Top of Page)"/>
        <w:docPartUnique/>
      </w:docPartObj>
    </w:sdtPr>
    <w:sdtEndPr>
      <w:rPr>
        <w:noProof/>
      </w:rPr>
    </w:sdtEndPr>
    <w:sdtContent>
      <w:p w14:paraId="1BC760CB" w14:textId="02F1E8CF" w:rsidR="003D7484" w:rsidRDefault="003D7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2C64D3" w14:textId="77777777" w:rsidR="003D7484" w:rsidRDefault="003D74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A14A9"/>
    <w:multiLevelType w:val="multilevel"/>
    <w:tmpl w:val="A04AD8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84"/>
    <w:rsid w:val="001C2758"/>
    <w:rsid w:val="00357BAB"/>
    <w:rsid w:val="003D7484"/>
    <w:rsid w:val="004B4CBD"/>
    <w:rsid w:val="006045A6"/>
    <w:rsid w:val="008F557E"/>
    <w:rsid w:val="009C1EDE"/>
    <w:rsid w:val="009F109E"/>
    <w:rsid w:val="00B518A2"/>
    <w:rsid w:val="00C80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012C"/>
  <w15:chartTrackingRefBased/>
  <w15:docId w15:val="{C8E13458-F716-4954-9D2F-77A71CD29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57E"/>
  </w:style>
  <w:style w:type="paragraph" w:styleId="Heading1">
    <w:name w:val="heading 1"/>
    <w:basedOn w:val="Normal"/>
    <w:next w:val="Normal"/>
    <w:link w:val="Heading1Char"/>
    <w:uiPriority w:val="9"/>
    <w:qFormat/>
    <w:rsid w:val="003D7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84"/>
    <w:rPr>
      <w:rFonts w:eastAsiaTheme="majorEastAsia" w:cstheme="majorBidi"/>
      <w:color w:val="272727" w:themeColor="text1" w:themeTint="D8"/>
    </w:rPr>
  </w:style>
  <w:style w:type="paragraph" w:styleId="Title">
    <w:name w:val="Title"/>
    <w:basedOn w:val="Normal"/>
    <w:next w:val="Normal"/>
    <w:link w:val="TitleChar"/>
    <w:uiPriority w:val="10"/>
    <w:qFormat/>
    <w:rsid w:val="003D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484"/>
    <w:pPr>
      <w:spacing w:before="160"/>
      <w:jc w:val="center"/>
    </w:pPr>
    <w:rPr>
      <w:i/>
      <w:iCs/>
      <w:color w:val="404040" w:themeColor="text1" w:themeTint="BF"/>
    </w:rPr>
  </w:style>
  <w:style w:type="character" w:customStyle="1" w:styleId="QuoteChar">
    <w:name w:val="Quote Char"/>
    <w:basedOn w:val="DefaultParagraphFont"/>
    <w:link w:val="Quote"/>
    <w:uiPriority w:val="29"/>
    <w:rsid w:val="003D7484"/>
    <w:rPr>
      <w:i/>
      <w:iCs/>
      <w:color w:val="404040" w:themeColor="text1" w:themeTint="BF"/>
    </w:rPr>
  </w:style>
  <w:style w:type="paragraph" w:styleId="ListParagraph">
    <w:name w:val="List Paragraph"/>
    <w:basedOn w:val="Normal"/>
    <w:uiPriority w:val="34"/>
    <w:qFormat/>
    <w:rsid w:val="003D7484"/>
    <w:pPr>
      <w:ind w:left="720"/>
      <w:contextualSpacing/>
    </w:pPr>
  </w:style>
  <w:style w:type="character" w:styleId="IntenseEmphasis">
    <w:name w:val="Intense Emphasis"/>
    <w:basedOn w:val="DefaultParagraphFont"/>
    <w:uiPriority w:val="21"/>
    <w:qFormat/>
    <w:rsid w:val="003D7484"/>
    <w:rPr>
      <w:i/>
      <w:iCs/>
      <w:color w:val="0F4761" w:themeColor="accent1" w:themeShade="BF"/>
    </w:rPr>
  </w:style>
  <w:style w:type="paragraph" w:styleId="IntenseQuote">
    <w:name w:val="Intense Quote"/>
    <w:basedOn w:val="Normal"/>
    <w:next w:val="Normal"/>
    <w:link w:val="IntenseQuoteChar"/>
    <w:uiPriority w:val="30"/>
    <w:qFormat/>
    <w:rsid w:val="003D7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484"/>
    <w:rPr>
      <w:i/>
      <w:iCs/>
      <w:color w:val="0F4761" w:themeColor="accent1" w:themeShade="BF"/>
    </w:rPr>
  </w:style>
  <w:style w:type="character" w:styleId="IntenseReference">
    <w:name w:val="Intense Reference"/>
    <w:basedOn w:val="DefaultParagraphFont"/>
    <w:uiPriority w:val="32"/>
    <w:qFormat/>
    <w:rsid w:val="003D7484"/>
    <w:rPr>
      <w:b/>
      <w:bCs/>
      <w:smallCaps/>
      <w:color w:val="0F4761" w:themeColor="accent1" w:themeShade="BF"/>
      <w:spacing w:val="5"/>
    </w:rPr>
  </w:style>
  <w:style w:type="paragraph" w:styleId="Header">
    <w:name w:val="header"/>
    <w:basedOn w:val="Normal"/>
    <w:link w:val="HeaderChar"/>
    <w:uiPriority w:val="99"/>
    <w:unhideWhenUsed/>
    <w:rsid w:val="003D7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484"/>
  </w:style>
  <w:style w:type="paragraph" w:styleId="Footer">
    <w:name w:val="footer"/>
    <w:basedOn w:val="Normal"/>
    <w:link w:val="FooterChar"/>
    <w:uiPriority w:val="99"/>
    <w:unhideWhenUsed/>
    <w:rsid w:val="003D7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484"/>
  </w:style>
  <w:style w:type="character" w:styleId="Hyperlink">
    <w:name w:val="Hyperlink"/>
    <w:basedOn w:val="DefaultParagraphFont"/>
    <w:uiPriority w:val="99"/>
    <w:unhideWhenUsed/>
    <w:rsid w:val="008F55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304/92/?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gitalcommons.law.ou.edu/olr/vol64/iss4/2/?utm_source=chatgpt.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pacts.csg.org/wp-content/uploads/2024/03/La-Plata-River-Compact.pdf?utm_source=chatgpt.com" TargetMode="External"/><Relationship Id="rId5" Type="http://schemas.openxmlformats.org/officeDocument/2006/relationships/footnotes" Target="footnotes.xml"/><Relationship Id="rId10" Type="http://schemas.openxmlformats.org/officeDocument/2006/relationships/hyperlink" Target="https://digitalcommons.du.edu/cgi/viewcontent.cgi?article=2526&amp;context=wlr&amp;utm_source=chatgpt.com" TargetMode="External"/><Relationship Id="rId4" Type="http://schemas.openxmlformats.org/officeDocument/2006/relationships/webSettings" Target="webSettings.xml"/><Relationship Id="rId9" Type="http://schemas.openxmlformats.org/officeDocument/2006/relationships/hyperlink" Target="https://ebookcentral-proquest-com.ezproxy2.library.colostate.edu/lib/csu/reader.action?docID=303969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1757</Words>
  <Characters>10015</Characters>
  <Application>Microsoft Office Word</Application>
  <DocSecurity>0</DocSecurity>
  <Lines>83</Lines>
  <Paragraphs>23</Paragraphs>
  <ScaleCrop>false</ScaleCrop>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Robinette,Kyle</dc:creator>
  <cp:keywords/>
  <dc:description/>
  <cp:lastModifiedBy>Robinette,Kyle</cp:lastModifiedBy>
  <cp:revision>5</cp:revision>
  <dcterms:created xsi:type="dcterms:W3CDTF">2025-12-04T17:58:00Z</dcterms:created>
  <dcterms:modified xsi:type="dcterms:W3CDTF">2025-12-11T15:40:00Z</dcterms:modified>
</cp:coreProperties>
</file>