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ID"/>
        <w:spacing w:after="240"/>
      </w:pPr>
      <w:r>
        <w:rPr>
          <w:rFonts w:ascii="Arial" w:hAnsi="Arial"/>
        </w:rPr>
        <w:t>UID-200</w:t>
      </w:r>
    </w:p>
    <w:p>
      <w:pPr>
        <w:pStyle w:val="TitleMain"/>
        <w:spacing w:after="60"/>
      </w:pPr>
      <w:r>
        <w:rPr>
          <w:rFonts w:ascii="Arial" w:hAnsi="Arial"/>
        </w:rPr>
        <w:t>Audit Engagement Management User Interface Design Specification</w:t>
      </w:r>
    </w:p>
    <w:p>
      <w:pPr>
        <w:spacing w:after="40"/>
      </w:pPr>
      <w:r>
        <w:rPr>
          <w:rFonts w:ascii="Aptos" w:hAnsi="Aptos"/>
        </w:rPr>
        <w:t>Version 0.5 — MDS-200 v0.8 Alignment Draft — For Review</w:t>
      </w:r>
    </w:p>
    <w:p>
      <w:pPr>
        <w:pStyle w:val="SmallText"/>
      </w:pPr>
      <w:r>
        <w:rPr>
          <w:rFonts w:ascii="Arial" w:hAnsi="Arial"/>
        </w:rPr>
        <w:t>City Internal Audit Service — Information Systems Team</w:t>
        <w:br/>
        <w:t>Audit Governance Information System (AGIS)</w:t>
      </w:r>
    </w:p>
    <w:p>
      <w:pPr>
        <w:spacing w:before="0" w:after="100"/>
        <w:pBdr>
          <w:bottom w:val="single" w:sz="6" w:space="1" w:color="B7B7B7"/>
        </w:pBdr>
      </w:pPr>
    </w:p>
    <w:p>
      <w:pPr>
        <w:pStyle w:val="SubHeading"/>
      </w:pPr>
      <w:r>
        <w:rPr>
          <w:rFonts w:ascii="Arial" w:hAnsi="Arial"/>
        </w:rPr>
        <w:t>Document Control</w:t>
      </w:r>
    </w:p>
    <w:tbl>
      <w:tblPr>
        <w:tblW w:type="dxa" w:w="9519"/>
        <w:jc w:val="center"/>
        <w:tblLayout w:type="fixed"/>
        <w:tblLook w:firstColumn="1" w:firstRow="1" w:lastColumn="0" w:lastRow="0" w:noHBand="0" w:noVBand="1" w:val="04A0"/>
      </w:tblPr>
      <w:tblGrid>
        <w:gridCol w:w="2217"/>
        <w:gridCol w:w="7302"/>
      </w:tblGrid>
      <w:tr>
        <w:trPr>
          <w:tblHeader w:val="true"/>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Document ID</w:t>
            </w:r>
          </w:p>
        </w:tc>
        <w:tc>
          <w:tcPr>
            <w:tcW w:type="dxa" w:w="7302"/>
            <w:vAlign w:val="center"/>
            <w:tcMar>
              <w:top w:w="80" w:type="dxa"/>
              <w:start w:w="100" w:type="dxa"/>
              <w:bottom w:w="80" w:type="dxa"/>
              <w:end w:w="100" w:type="dxa"/>
            </w:tcMar>
            <w:tcBorders>
              <w:bottom w:val="single" w:sz="4" w:color="D9D9D9"/>
            </w:tcBorders>
          </w:tcPr>
          <w:p>
            <w:pPr>
              <w:spacing w:after="0"/>
            </w:pPr>
            <w:r>
              <w:rPr>
                <w:rFonts w:ascii="Arial" w:hAnsi="Arial"/>
                <w:color w:val="222222"/>
                <w:sz w:val="18"/>
              </w:rPr>
              <w:t>UID-200</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Title</w:t>
            </w:r>
          </w:p>
        </w:tc>
        <w:tc>
          <w:tcPr>
            <w:tcW w:type="dxa" w:w="7302"/>
            <w:vAlign w:val="center"/>
            <w:tcMar>
              <w:top w:w="80" w:type="dxa"/>
              <w:start w:w="100" w:type="dxa"/>
              <w:bottom w:w="80" w:type="dxa"/>
              <w:end w:w="100" w:type="dxa"/>
            </w:tcMar>
            <w:tcBorders>
              <w:bottom w:val="single" w:sz="4" w:color="D9D9D9"/>
            </w:tcBorders>
          </w:tcPr>
          <w:p>
            <w:pPr>
              <w:spacing w:after="0"/>
            </w:pPr>
            <w:r>
              <w:rPr>
                <w:rFonts w:ascii="Arial" w:hAnsi="Arial"/>
                <w:color w:val="222222"/>
                <w:sz w:val="18"/>
              </w:rPr>
              <w:t>Audit Engagement Management User Interface Design Specification</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Version</w:t>
            </w:r>
          </w:p>
        </w:tc>
        <w:tc>
          <w:tcPr>
            <w:tcW w:type="dxa" w:w="7302"/>
            <w:vAlign w:val="center"/>
            <w:tcMar>
              <w:top w:w="80" w:type="dxa"/>
              <w:start w:w="100" w:type="dxa"/>
              <w:bottom w:w="80" w:type="dxa"/>
              <w:end w:w="100" w:type="dxa"/>
            </w:tcMar>
            <w:tcBorders>
              <w:bottom w:val="single" w:sz="4" w:color="D9D9D9"/>
            </w:tcBorders>
          </w:tcPr>
          <w:p>
            <w:r>
              <w:rPr>
                <w:rFonts w:ascii="Aptos" w:hAnsi="Aptos"/>
              </w:rPr>
              <w:t>0.5</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Revision Date</w:t>
            </w:r>
          </w:p>
        </w:tc>
        <w:tc>
          <w:tcPr>
            <w:tcW w:type="dxa" w:w="7302"/>
            <w:vAlign w:val="center"/>
            <w:tcMar>
              <w:top w:w="80" w:type="dxa"/>
              <w:start w:w="100" w:type="dxa"/>
              <w:bottom w:w="80" w:type="dxa"/>
              <w:end w:w="100" w:type="dxa"/>
            </w:tcMar>
            <w:tcBorders>
              <w:bottom w:val="single" w:sz="4" w:color="D9D9D9"/>
            </w:tcBorders>
          </w:tcPr>
          <w:p>
            <w:r>
              <w:rPr>
                <w:rFonts w:ascii="Aptos" w:hAnsi="Aptos"/>
              </w:rPr>
              <w:t>11 August 2026</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Effective Date</w:t>
            </w:r>
          </w:p>
        </w:tc>
        <w:tc>
          <w:tcPr>
            <w:tcW w:type="dxa" w:w="7302"/>
            <w:vAlign w:val="center"/>
            <w:tcMar>
              <w:top w:w="80" w:type="dxa"/>
              <w:start w:w="100" w:type="dxa"/>
              <w:bottom w:w="80" w:type="dxa"/>
              <w:end w:w="100" w:type="dxa"/>
            </w:tcMar>
            <w:tcBorders>
              <w:bottom w:val="single" w:sz="4" w:color="D9D9D9"/>
            </w:tcBorders>
          </w:tcPr>
          <w:p>
            <w:pPr>
              <w:spacing w:after="0"/>
            </w:pPr>
            <w:r>
              <w:rPr>
                <w:rFonts w:ascii="Arial" w:hAnsi="Arial"/>
                <w:color w:val="222222"/>
                <w:sz w:val="18"/>
              </w:rPr>
              <w:t>Upon approval</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Status</w:t>
            </w:r>
          </w:p>
        </w:tc>
        <w:tc>
          <w:tcPr>
            <w:tcW w:type="dxa" w:w="7302"/>
            <w:vAlign w:val="center"/>
            <w:tcMar>
              <w:top w:w="80" w:type="dxa"/>
              <w:start w:w="100" w:type="dxa"/>
              <w:bottom w:w="80" w:type="dxa"/>
              <w:end w:w="100" w:type="dxa"/>
            </w:tcMar>
            <w:tcBorders>
              <w:bottom w:val="single" w:sz="4" w:color="D9D9D9"/>
            </w:tcBorders>
          </w:tcPr>
          <w:p>
            <w:r>
              <w:rPr>
                <w:rFonts w:ascii="Aptos" w:hAnsi="Aptos"/>
              </w:rPr>
              <w:t>MDS-200 v0.8 Aligned Controlled Screen Architecture Draft — For Review</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Classification</w:t>
            </w:r>
          </w:p>
        </w:tc>
        <w:tc>
          <w:tcPr>
            <w:tcW w:type="dxa" w:w="7302"/>
            <w:vAlign w:val="center"/>
            <w:tcMar>
              <w:top w:w="80" w:type="dxa"/>
              <w:start w:w="100" w:type="dxa"/>
              <w:bottom w:w="80" w:type="dxa"/>
              <w:end w:w="100" w:type="dxa"/>
            </w:tcMar>
            <w:tcBorders>
              <w:bottom w:val="single" w:sz="4" w:color="D9D9D9"/>
            </w:tcBorders>
          </w:tcPr>
          <w:p>
            <w:pPr>
              <w:spacing w:after="0"/>
            </w:pPr>
            <w:r>
              <w:rPr>
                <w:rFonts w:ascii="Arial" w:hAnsi="Arial"/>
                <w:color w:val="222222"/>
                <w:sz w:val="18"/>
              </w:rPr>
              <w:t>Internal</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Owner</w:t>
            </w:r>
          </w:p>
        </w:tc>
        <w:tc>
          <w:tcPr>
            <w:tcW w:type="dxa" w:w="7302"/>
            <w:vAlign w:val="center"/>
            <w:tcMar>
              <w:top w:w="80" w:type="dxa"/>
              <w:start w:w="100" w:type="dxa"/>
              <w:bottom w:w="80" w:type="dxa"/>
              <w:end w:w="100" w:type="dxa"/>
            </w:tcMar>
            <w:tcBorders>
              <w:bottom w:val="single" w:sz="4" w:color="D9D9D9"/>
            </w:tcBorders>
          </w:tcPr>
          <w:p>
            <w:pPr>
              <w:spacing w:after="0"/>
            </w:pPr>
            <w:r>
              <w:rPr>
                <w:rFonts w:ascii="Arial" w:hAnsi="Arial"/>
                <w:color w:val="222222"/>
                <w:sz w:val="18"/>
              </w:rPr>
              <w:t>City Internal Audit Service (CIAS)</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Prepared By</w:t>
            </w:r>
          </w:p>
        </w:tc>
        <w:tc>
          <w:tcPr>
            <w:tcW w:type="dxa" w:w="7302"/>
            <w:vAlign w:val="center"/>
            <w:tcMar>
              <w:top w:w="80" w:type="dxa"/>
              <w:start w:w="100" w:type="dxa"/>
              <w:bottom w:w="80" w:type="dxa"/>
              <w:end w:w="100" w:type="dxa"/>
            </w:tcMar>
            <w:tcBorders>
              <w:bottom w:val="single" w:sz="4" w:color="D9D9D9"/>
            </w:tcBorders>
          </w:tcPr>
          <w:p>
            <w:pPr>
              <w:spacing w:after="0"/>
            </w:pPr>
            <w:r>
              <w:rPr>
                <w:rFonts w:ascii="Arial" w:hAnsi="Arial"/>
                <w:color w:val="222222"/>
                <w:sz w:val="18"/>
              </w:rPr>
              <w:t>Kim V. Lao — Project Manager / IS Lead, CIAS-IS | CIAS-AGIS</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Approved By</w:t>
            </w:r>
          </w:p>
        </w:tc>
        <w:tc>
          <w:tcPr>
            <w:tcW w:type="dxa" w:w="7302"/>
            <w:vAlign w:val="center"/>
            <w:tcMar>
              <w:top w:w="80" w:type="dxa"/>
              <w:start w:w="100" w:type="dxa"/>
              <w:bottom w:w="80" w:type="dxa"/>
              <w:end w:w="100" w:type="dxa"/>
            </w:tcMar>
            <w:tcBorders>
              <w:bottom w:val="single" w:sz="4" w:color="D9D9D9"/>
            </w:tcBorders>
          </w:tcPr>
          <w:p>
            <w:pPr>
              <w:spacing w:after="0"/>
            </w:pPr>
            <w:r>
              <w:rPr>
                <w:rFonts w:ascii="Arial" w:hAnsi="Arial"/>
                <w:color w:val="222222"/>
                <w:sz w:val="18"/>
              </w:rPr>
              <w:t>Cherrybelle A. Lao, CPA, CrFA, CICA, REB, MBA — CIAS Department Head</w:t>
            </w:r>
          </w:p>
        </w:tc>
      </w:tr>
      <w:tr>
        <w:trPr>
          <w:cantSplit/>
        </w:trPr>
        <w:tc>
          <w:tcPr>
            <w:tcW w:type="dxa" w:w="2217"/>
            <w:vAlign w:val="center"/>
            <w:tcMar>
              <w:top w:w="80" w:type="dxa"/>
              <w:start w:w="100" w:type="dxa"/>
              <w:bottom w:w="80" w:type="dxa"/>
              <w:end w:w="100" w:type="dxa"/>
            </w:tcMar>
            <w:tcBorders>
              <w:bottom w:val="single" w:sz="4" w:color="D9D9D9"/>
            </w:tcBorders>
          </w:tcPr>
          <w:p>
            <w:pPr>
              <w:spacing w:after="0"/>
            </w:pPr>
            <w:r>
              <w:rPr>
                <w:rFonts w:ascii="Arial" w:hAnsi="Arial"/>
                <w:b/>
                <w:color w:val="222222"/>
                <w:sz w:val="18"/>
              </w:rPr>
              <w:t>Related Documents</w:t>
            </w:r>
          </w:p>
        </w:tc>
        <w:tc>
          <w:tcPr>
            <w:tcW w:type="dxa" w:w="7302"/>
            <w:vAlign w:val="center"/>
            <w:tcMar>
              <w:top w:w="80" w:type="dxa"/>
              <w:start w:w="100" w:type="dxa"/>
              <w:bottom w:w="80" w:type="dxa"/>
              <w:end w:w="100" w:type="dxa"/>
            </w:tcMar>
            <w:tcBorders>
              <w:bottom w:val="single" w:sz="4" w:color="D9D9D9"/>
            </w:tcBorders>
          </w:tcPr>
          <w:p>
            <w:r>
              <w:rPr>
                <w:rFonts w:ascii="Aptos" w:hAnsi="Aptos"/>
              </w:rPr>
              <w:t>ARC-000; MDS-000 v1.7; MDS-200 v0.8; MET-001; STD-004; STD-005; UID-000 v1.2; UID-100 v0.2; SCR-210 v0.2; SCR-211 to SCR-214 v0.1; DGM-200-01 v0.1; DBM IAM for LGUs 2023; COA IASPPS 2017; Revised PGIAM 2020; NGICS; ICSPPS; COA Memorandum No. 2014-002 and AAPSI/APMT templates; ISA 500 as supplemental evidence guidance; applicable SCRs</w:t>
            </w:r>
          </w:p>
        </w:tc>
      </w:tr>
    </w:tbl>
    <w:p/>
    <w:p>
      <w:pPr>
        <w:pStyle w:val="SubHeading"/>
      </w:pPr>
      <w:r>
        <w:rPr>
          <w:rFonts w:ascii="Arial" w:hAnsi="Arial"/>
        </w:rPr>
        <w:t>Revision History</w:t>
      </w:r>
    </w:p>
    <w:tbl>
      <w:tblPr>
        <w:tblW w:type="dxa" w:w="9519"/>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938"/>
        <w:gridCol w:w="1542"/>
        <w:gridCol w:w="7039"/>
      </w:tblGrid>
      <w:tr>
        <w:trPr>
          <w:tblHeader w:val="true"/>
          <w:cantSplit/>
          <w:tblHeader w:val="true"/>
          <w:cantSplit/>
          <w:cantSplit/>
          <w:tblHeader w:val="true"/>
        </w:trPr>
        <w:tc>
          <w:tcPr>
            <w:tcW w:type="dxa" w:w="936"/>
            <w:shd w:fill="D9E2F3"/>
            <w:tcMar>
              <w:top w:w="70" w:type="dxa"/>
              <w:start w:w="80" w:type="dxa"/>
              <w:bottom w:w="70" w:type="dxa"/>
              <w:end w:w="80" w:type="dxa"/>
            </w:tcMar>
            <w:tcBorders>
              <w:top w:val="single" w:sz="5" w:color="A6A6A6"/>
              <w:left w:val="single" w:sz="5" w:color="A6A6A6"/>
              <w:bottom w:val="single" w:sz="5" w:color="A6A6A6"/>
              <w:right w:val="single" w:sz="5" w:color="A6A6A6"/>
            </w:tcBorders>
            <w:vAlign w:val="center"/>
          </w:tcPr>
          <w:p>
            <w:pPr>
              <w:spacing w:before="0" w:after="0"/>
            </w:pPr>
            <w:r>
              <w:rPr>
                <w:rFonts w:ascii="Arial" w:hAnsi="Arial"/>
                <w:b/>
                <w:color w:val="222222"/>
                <w:sz w:val="17"/>
              </w:rPr>
              <w:t>Version</w:t>
            </w:r>
          </w:p>
        </w:tc>
        <w:tc>
          <w:tcPr>
            <w:tcW w:type="dxa" w:w="1540"/>
            <w:shd w:fill="D9E2F3"/>
            <w:tcMar>
              <w:top w:w="70" w:type="dxa"/>
              <w:start w:w="80" w:type="dxa"/>
              <w:bottom w:w="70" w:type="dxa"/>
              <w:end w:w="80" w:type="dxa"/>
            </w:tcMar>
            <w:tcBorders>
              <w:top w:val="single" w:sz="5" w:color="A6A6A6"/>
              <w:left w:val="single" w:sz="5" w:color="A6A6A6"/>
              <w:bottom w:val="single" w:sz="5" w:color="A6A6A6"/>
              <w:right w:val="single" w:sz="5" w:color="A6A6A6"/>
            </w:tcBorders>
            <w:vAlign w:val="center"/>
          </w:tcPr>
          <w:p>
            <w:pPr>
              <w:spacing w:before="0" w:after="0"/>
            </w:pPr>
            <w:r>
              <w:rPr>
                <w:rFonts w:ascii="Arial" w:hAnsi="Arial"/>
                <w:b/>
                <w:color w:val="222222"/>
                <w:sz w:val="17"/>
              </w:rPr>
              <w:t>Date</w:t>
            </w:r>
          </w:p>
        </w:tc>
        <w:tc>
          <w:tcPr>
            <w:tcW w:type="dxa" w:w="7041"/>
            <w:shd w:fill="D9E2F3"/>
            <w:tcMar>
              <w:top w:w="70" w:type="dxa"/>
              <w:start w:w="80" w:type="dxa"/>
              <w:bottom w:w="70" w:type="dxa"/>
              <w:end w:w="80" w:type="dxa"/>
            </w:tcMar>
            <w:tcBorders>
              <w:top w:val="single" w:sz="5" w:color="A6A6A6"/>
              <w:left w:val="single" w:sz="5" w:color="A6A6A6"/>
              <w:bottom w:val="single" w:sz="5" w:color="A6A6A6"/>
              <w:right w:val="single" w:sz="5" w:color="A6A6A6"/>
            </w:tcBorders>
            <w:vAlign w:val="center"/>
          </w:tcPr>
          <w:p>
            <w:pPr>
              <w:spacing w:before="0" w:after="0"/>
            </w:pPr>
            <w:r>
              <w:rPr>
                <w:rFonts w:ascii="Arial" w:hAnsi="Arial"/>
                <w:b/>
                <w:color w:val="222222"/>
                <w:sz w:val="17"/>
              </w:rPr>
              <w:t>Description</w:t>
            </w:r>
          </w:p>
        </w:tc>
      </w:tr>
      <w:tr>
        <w:trPr>
          <w:cantSplit/>
          <w:cantSplit/>
          <w:cantSplit/>
        </w:trPr>
        <w:tc>
          <w:tcPr>
            <w:tcW w:type="dxa" w:w="936"/>
            <w:tcMar>
              <w:top w:w="70" w:type="dxa"/>
              <w:start w:w="80" w:type="dxa"/>
              <w:bottom w:w="70" w:type="dxa"/>
              <w:end w:w="80" w:type="dxa"/>
            </w:tcMar>
            <w:tcBorders>
              <w:top w:val="single" w:sz="4" w:color="D9D9D9"/>
              <w:left w:val="single" w:sz="4" w:color="D9D9D9"/>
              <w:bottom w:val="single" w:sz="4" w:color="D9D9D9"/>
              <w:right w:val="single" w:sz="4" w:color="D9D9D9"/>
            </w:tcBorders>
            <w:vAlign w:val="center"/>
          </w:tcPr>
          <w:p>
            <w:pPr>
              <w:spacing w:after="0" w:before="0"/>
            </w:pPr>
            <w:r>
              <w:rPr>
                <w:rFonts w:ascii="Arial" w:hAnsi="Arial"/>
                <w:color w:val="222222"/>
                <w:sz w:val="17"/>
              </w:rPr>
              <w:t>0.1</w:t>
            </w:r>
          </w:p>
        </w:tc>
        <w:tc>
          <w:tcPr>
            <w:tcW w:type="dxa" w:w="1540"/>
            <w:tcMar>
              <w:top w:w="70" w:type="dxa"/>
              <w:start w:w="80" w:type="dxa"/>
              <w:bottom w:w="70" w:type="dxa"/>
              <w:end w:w="80" w:type="dxa"/>
            </w:tcMar>
            <w:tcBorders>
              <w:top w:val="single" w:sz="4" w:color="D9D9D9"/>
              <w:left w:val="single" w:sz="4" w:color="D9D9D9"/>
              <w:bottom w:val="single" w:sz="4" w:color="D9D9D9"/>
              <w:right w:val="single" w:sz="4" w:color="D9D9D9"/>
            </w:tcBorders>
            <w:vAlign w:val="center"/>
          </w:tcPr>
          <w:p>
            <w:pPr>
              <w:spacing w:after="0" w:before="0"/>
            </w:pPr>
            <w:r>
              <w:rPr>
                <w:rFonts w:ascii="Arial" w:hAnsi="Arial"/>
                <w:color w:val="222222"/>
                <w:sz w:val="17"/>
              </w:rPr>
              <w:t>2 August 2026</w:t>
            </w:r>
          </w:p>
        </w:tc>
        <w:tc>
          <w:tcPr>
            <w:tcW w:type="dxa" w:w="7041"/>
            <w:tcMar>
              <w:top w:w="70" w:type="dxa"/>
              <w:start w:w="80" w:type="dxa"/>
              <w:bottom w:w="70" w:type="dxa"/>
              <w:end w:w="80" w:type="dxa"/>
            </w:tcMar>
            <w:tcBorders>
              <w:top w:val="single" w:sz="4" w:color="D9D9D9"/>
              <w:left w:val="single" w:sz="4" w:color="D9D9D9"/>
              <w:bottom w:val="single" w:sz="4" w:color="D9D9D9"/>
              <w:right w:val="single" w:sz="4" w:color="D9D9D9"/>
            </w:tcBorders>
            <w:vAlign w:val="center"/>
          </w:tcPr>
          <w:p>
            <w:pPr>
              <w:spacing w:after="0" w:before="0"/>
            </w:pPr>
            <w:r>
              <w:rPr>
                <w:rFonts w:ascii="Arial" w:hAnsi="Arial"/>
                <w:color w:val="222222"/>
                <w:sz w:val="17"/>
              </w:rPr>
              <w:t>Initial AEM UI draft aligned with MDS-200 v0.4, the Office → Audit Subject → Audit Focus hierarchy, the engagement lifecycle, and the 200-series SCR structure.</w:t>
            </w:r>
          </w:p>
        </w:tc>
      </w:tr>
      <w:tr>
        <w:trPr>
          <w:cantSplit/>
          <w:cantSplit/>
        </w:trPr>
        <w:tc>
          <w:tcPr>
            <w:tcW w:type="dxa" w:w="936"/>
            <w:vAlign w:val="center"/>
            <w:tcMar>
              <w:top w:w="70" w:type="dxa"/>
              <w:start w:w="80" w:type="dxa"/>
              <w:bottom w:w="70" w:type="dxa"/>
              <w:end w:w="80" w:type="dxa"/>
            </w:tcMar>
          </w:tcPr>
          <w:p>
            <w:pPr>
              <w:spacing w:before="0" w:after="0"/>
            </w:pPr>
            <w:r>
              <w:rPr>
                <w:rFonts w:ascii="Arial" w:hAnsi="Arial"/>
                <w:color w:val="222222"/>
                <w:sz w:val="17"/>
              </w:rPr>
              <w:t>0.2</w:t>
            </w:r>
          </w:p>
        </w:tc>
        <w:tc>
          <w:tcPr>
            <w:tcW w:type="dxa" w:w="1540"/>
            <w:vAlign w:val="center"/>
            <w:tcMar>
              <w:top w:w="70" w:type="dxa"/>
              <w:start w:w="80" w:type="dxa"/>
              <w:bottom w:w="70" w:type="dxa"/>
              <w:end w:w="80" w:type="dxa"/>
            </w:tcMar>
          </w:tcPr>
          <w:p>
            <w:pPr>
              <w:spacing w:before="0" w:after="0"/>
            </w:pPr>
            <w:r>
              <w:rPr>
                <w:rFonts w:ascii="Arial" w:hAnsi="Arial"/>
                <w:color w:val="222222"/>
                <w:sz w:val="17"/>
              </w:rPr>
              <w:t>2 August 2026</w:t>
            </w:r>
          </w:p>
        </w:tc>
        <w:tc>
          <w:tcPr>
            <w:tcW w:type="dxa" w:w="7041"/>
            <w:vAlign w:val="center"/>
            <w:tcMar>
              <w:top w:w="70" w:type="dxa"/>
              <w:start w:w="80" w:type="dxa"/>
              <w:bottom w:w="70" w:type="dxa"/>
              <w:end w:w="80" w:type="dxa"/>
            </w:tcMar>
          </w:tcPr>
          <w:p>
            <w:pPr>
              <w:spacing w:before="0" w:after="0"/>
            </w:pPr>
            <w:r>
              <w:rPr>
                <w:rFonts w:ascii="Arial" w:hAnsi="Arial"/>
                <w:color w:val="222222"/>
                <w:sz w:val="17"/>
              </w:rPr>
              <w:t>Aligned the UID-200 screen inventory and lifecycle navigation with the approved SCR-210, SCR-220, SCR-230, and SCR-240 screen structure; simplified related screen numbering and removed conflicting screen assignments.</w:t>
            </w:r>
          </w:p>
        </w:tc>
      </w:tr>
      <w:tr>
        <w:trPr>
          <w:cantSplit/>
        </w:trPr>
        <w:tc>
          <w:tcPr>
            <w:tcW w:type="dxa" w:w="936"/>
            <w:tcMar>
              <w:top w:w="70" w:type="dxa"/>
              <w:start w:w="80" w:type="dxa"/>
              <w:bottom w:w="70" w:type="dxa"/>
              <w:end w:w="80" w:type="dxa"/>
            </w:tcMar>
          </w:tcPr>
          <w:p>
            <w:pPr>
              <w:spacing w:before="0" w:after="0"/>
            </w:pPr>
            <w:r>
              <w:rPr>
                <w:rFonts w:ascii="Arial" w:hAnsi="Arial"/>
                <w:color w:val="222222"/>
                <w:sz w:val="17"/>
              </w:rPr>
              <w:t>0.3</w:t>
            </w:r>
          </w:p>
        </w:tc>
        <w:tc>
          <w:tcPr>
            <w:tcW w:type="dxa" w:w="1540"/>
            <w:tcMar>
              <w:top w:w="70" w:type="dxa"/>
              <w:start w:w="80" w:type="dxa"/>
              <w:bottom w:w="70" w:type="dxa"/>
              <w:end w:w="80" w:type="dxa"/>
            </w:tcMar>
          </w:tcPr>
          <w:p>
            <w:pPr>
              <w:spacing w:before="0" w:after="0"/>
            </w:pPr>
            <w:r>
              <w:rPr>
                <w:rFonts w:ascii="Arial" w:hAnsi="Arial"/>
                <w:color w:val="222222"/>
                <w:sz w:val="17"/>
              </w:rPr>
              <w:t>5 August 2026</w:t>
            </w:r>
          </w:p>
        </w:tc>
        <w:tc>
          <w:tcPr>
            <w:tcW w:type="dxa" w:w="7041"/>
            <w:tcMar>
              <w:top w:w="70" w:type="dxa"/>
              <w:start w:w="80" w:type="dxa"/>
              <w:bottom w:w="70" w:type="dxa"/>
              <w:end w:w="80" w:type="dxa"/>
            </w:tcMar>
          </w:tcPr>
          <w:p>
            <w:pPr>
              <w:spacing w:before="0" w:after="0"/>
            </w:pPr>
            <w:r>
              <w:rPr>
                <w:rFonts w:ascii="Arial" w:hAnsi="Arial"/>
                <w:color w:val="222222"/>
                <w:sz w:val="17"/>
              </w:rPr>
              <w:t>Established the authoritative AEM screen architecture and lifecycle flow; preserved the approved SCR-210, SCR-220, SCR-230, and SCR-240 anchors; restored Audit Area terminology; added Create Audit Issue, Interim Audit Report, Entry Conference, engagement KPI, progress and completion assessment, evidence-quality, report-distribution, and public-sector audit-control requirements.</w:t>
            </w:r>
          </w:p>
        </w:tc>
      </w:tr>
      <w:tr>
        <w:trPr>
          <w:cantSplit/>
        </w:trPr>
        <w:tc>
          <w:tcPr>
            <w:tcW w:type="dxa" w:w="936"/>
            <w:tcMar>
              <w:top w:w="70" w:type="dxa"/>
              <w:start w:w="80" w:type="dxa"/>
              <w:bottom w:w="70" w:type="dxa"/>
              <w:end w:w="80" w:type="dxa"/>
            </w:tcMar>
          </w:tcPr>
          <w:p>
            <w:pPr>
              <w:spacing w:before="0" w:after="0"/>
            </w:pPr>
            <w:r>
              <w:rPr>
                <w:rFonts w:ascii="Arial" w:hAnsi="Arial"/>
                <w:color w:val="222222"/>
                <w:sz w:val="17"/>
              </w:rPr>
              <w:t>0.4</w:t>
            </w:r>
          </w:p>
        </w:tc>
        <w:tc>
          <w:tcPr>
            <w:tcW w:type="dxa" w:w="1540"/>
            <w:tcMar>
              <w:top w:w="70" w:type="dxa"/>
              <w:start w:w="80" w:type="dxa"/>
              <w:bottom w:w="70" w:type="dxa"/>
              <w:end w:w="80" w:type="dxa"/>
            </w:tcMar>
          </w:tcPr>
          <w:p>
            <w:pPr>
              <w:spacing w:before="0" w:after="0"/>
            </w:pPr>
            <w:r>
              <w:rPr>
                <w:rFonts w:ascii="Arial" w:hAnsi="Arial"/>
                <w:color w:val="222222"/>
                <w:sz w:val="17"/>
              </w:rPr>
              <w:t>5 August 2026</w:t>
            </w:r>
          </w:p>
        </w:tc>
        <w:tc>
          <w:tcPr>
            <w:tcW w:type="dxa" w:w="7041"/>
            <w:tcMar>
              <w:top w:w="70" w:type="dxa"/>
              <w:start w:w="80" w:type="dxa"/>
              <w:bottom w:w="70" w:type="dxa"/>
              <w:end w:w="80" w:type="dxa"/>
            </w:tcMar>
          </w:tcPr>
          <w:p>
            <w:pPr>
              <w:spacing w:before="0" w:after="0"/>
            </w:pPr>
            <w:r>
              <w:rPr>
                <w:rFonts w:ascii="Arial" w:hAnsi="Arial"/>
                <w:color w:val="222222"/>
                <w:sz w:val="17"/>
              </w:rPr>
              <w:t>Aligned UID-200 with the detailed AEM master workflow and DGM artifact structure; renamed SCR-229 to Audit Evidence Management; separated Evidence Request and Audit Evidence lifecycles; expanded evidence registration, assessment, protection, linkage, and gap monitoring; and established companion DGM governance and numbering.</w:t>
            </w:r>
          </w:p>
        </w:tc>
      </w:tr>
      <w:tr>
        <w:trPr>
          <w:cantSplit/>
        </w:trPr>
        <w:tc>
          <w:tcPr>
            <w:tcW w:type="dxa" w:w="938"/>
          </w:tcPr>
          <w:p>
            <w:r>
              <w:rPr>
                <w:rFonts w:ascii="Aptos" w:hAnsi="Aptos"/>
              </w:rPr>
              <w:t>0.5</w:t>
            </w:r>
          </w:p>
        </w:tc>
        <w:tc>
          <w:tcPr>
            <w:tcW w:type="dxa" w:w="1542"/>
          </w:tcPr>
          <w:p>
            <w:r>
              <w:rPr>
                <w:rFonts w:ascii="Aptos" w:hAnsi="Aptos"/>
              </w:rPr>
              <w:t>11 August 2026</w:t>
            </w:r>
          </w:p>
        </w:tc>
        <w:tc>
          <w:tcPr>
            <w:tcW w:type="dxa" w:w="7039"/>
          </w:tcPr>
          <w:p>
            <w:r>
              <w:rPr>
                <w:rFonts w:ascii="Aptos" w:hAnsi="Aptos"/>
              </w:rPr>
              <w:t>Aligned UID-200 with MDS-200 v0.8; expanded the Audit Planning Package to include Process Flow Documentation, Risk Matrix and Risk Matrix Items, detailed Audit Program information, planned man-days and Working Paper references; corrected the Management Comment / CMS boundary by removing Management Action from AEM and reserving SCR-243; strengthened Audit Evidence Management and source-to-report traceability; and updated the controlled screen inventory, outputs, interfaces, and DGM alignment status.</w:t>
            </w:r>
          </w:p>
        </w:tc>
      </w:tr>
    </w:tbl>
    <w:p/>
    <w:tbl>
      <w:tblPr>
        <w:tblW w:type="auto" w:w="0"/>
        <w:tblLayout w:type="fixed"/>
        <w:tblLook w:firstColumn="1" w:firstRow="1" w:lastColumn="0" w:lastRow="0" w:noHBand="0" w:noVBand="1" w:val="04A0"/>
        <w:jc w:val="center"/>
        <w:tblBorders>
          <w:top w:val="single" w:sz="8" w:space="0" w:color="AAB7C4"/>
          <w:start w:val="single" w:sz="8" w:space="0" w:color="AAB7C4"/>
          <w:bottom w:val="single" w:sz="8" w:space="0" w:color="AAB7C4"/>
          <w:end w:val="single" w:sz="8" w:space="0" w:color="AAB7C4"/>
          <w:insideH w:val="single" w:sz="8" w:space="0" w:color="AAB7C4"/>
          <w:insideV w:val="single" w:sz="8" w:space="0" w:color="AAB7C4"/>
        </w:tblBorders>
      </w:tblPr>
      <w:tblGrid>
        <w:gridCol w:w="9519"/>
      </w:tblGrid>
      <w:tr>
        <w:trPr>
          <w:cantSplit/>
        </w:trPr>
        <w:tc>
          <w:tcPr>
            <w:tcW w:type="dxa" w:w="9518"/>
            <w:tcMar>
              <w:top w:w="110" w:type="dxa"/>
              <w:start w:w="120" w:type="dxa"/>
              <w:bottom w:w="110" w:type="dxa"/>
              <w:end w:w="120" w:type="dxa"/>
            </w:tcMar>
            <w:shd w:fill="EEF3F8"/>
          </w:tcPr>
          <w:p>
            <w:pPr>
              <w:spacing w:after="60"/>
            </w:pPr>
            <w:r>
              <w:t>DESIGN POSITION | UID-200 is the authoritative module-level blueprint for AEM screens, screen relationships, lifecycle navigation, and user flow. SCR documents define the detailed behavior of individual screens; companion wireframes visually present one screen; and DGM artifacts visually present cross-screen workflows, events, status transitions, and responsibilities. Audit Findings and Recommendations remain controlled records and outputs within AEM, not a separate AGIS module.</w:t>
            </w:r>
          </w:p>
        </w:tc>
      </w:tr>
    </w:tbl>
    <w:p>
      <w:pPr>
        <w:spacing w:after="80" w:line="120" w:lineRule="auto"/>
      </w:pPr>
    </w:p>
    <w:p>
      <w:pPr>
        <w:pStyle w:val="SectionHeading"/>
        <w:keepNext/>
      </w:pPr>
      <w:r>
        <w:rPr>
          <w:rFonts w:ascii="Arial" w:hAnsi="Arial"/>
        </w:rPr>
        <w:t>1. Purpose</w:t>
      </w:r>
    </w:p>
    <w:p>
      <w:pPr>
        <w:spacing w:after="80"/>
      </w:pPr>
      <w:r>
        <w:rPr>
          <w:rFonts w:ascii="Aptos" w:hAnsi="Aptos"/>
        </w:rPr>
        <w:t>This specification defines the module-level user interface architecture for Audit Engagement Management (AEM). It translates MET-001 and MDS-200 v0.8 into a coherent screen structure, lifecycle navigation, transaction entry points, role-aware workspaces, controlled planning and audit-document interactions, and traceable movement from engagement initiation through reporting, CMS transfer, completion, and closure.</w:t>
      </w:r>
    </w:p>
    <w:p>
      <w:pPr>
        <w:spacing w:after="80"/>
      </w:pPr>
      <w:r>
        <w:rPr>
          <w:rFonts w:ascii="Arial" w:hAnsi="Arial"/>
        </w:rPr>
        <w:t>UID-200 establishes which AEM screens exist and how they relate. Detailed fields, validation, permissions, states, actions, and wireframe callouts belong in the applicable SCR. Companion DGM artifacts visualize cross-screen workflows, major events, record transitions, and responsibility handoffs without replacing UID-200 or the SCRs.</w:t>
      </w:r>
    </w:p>
    <w:p>
      <w:pPr>
        <w:pStyle w:val="SectionHeading"/>
        <w:keepNext/>
      </w:pPr>
      <w:r>
        <w:rPr>
          <w:rFonts w:ascii="Arial" w:hAnsi="Arial"/>
        </w:rPr>
        <w:t>2. Scope</w:t>
      </w:r>
    </w:p>
    <w:p>
      <w:pPr>
        <w:spacing w:after="80"/>
      </w:pPr>
      <w:r>
        <w:rPr>
          <w:rFonts w:ascii="Arial" w:hAnsi="Arial"/>
        </w:rPr>
        <w:t>UID-200 covers interfaces for:</w:t>
      </w:r>
    </w:p>
    <w:p>
      <w:pPr>
        <w:pStyle w:val="ListBullet"/>
        <w:spacing w:after="30"/>
      </w:pPr>
      <w:r>
        <w:rPr>
          <w:rFonts w:ascii="Arial" w:hAnsi="Arial"/>
        </w:rPr>
        <w:t>Activation of approved IAP items and creation of authorized unplanned engagements;</w:t>
      </w:r>
    </w:p>
    <w:p>
      <w:pPr>
        <w:pStyle w:val="ListBullet"/>
        <w:spacing w:after="30"/>
      </w:pPr>
      <w:r>
        <w:rPr>
          <w:rFonts w:ascii="Arial" w:hAnsi="Arial"/>
        </w:rPr>
        <w:t>formal authority, engagement scope, Audit Team assignment, and Audit Engagement Order;</w:t>
      </w:r>
    </w:p>
    <w:p>
      <w:pPr>
        <w:pStyle w:val="ListBullet"/>
        <w:spacing w:after="30"/>
      </w:pPr>
      <w:r>
        <w:rPr>
          <w:rFonts w:ascii="Aptos" w:hAnsi="Aptos"/>
        </w:rPr>
        <w:t>preliminary survey, Process Flow Documentation, Audit Engagement Plan, engagement KPIs, Risk Matrix, Audit Program, Audit Procedures, planned man-days, Working Paper references, and applicable Sampling Working Papers;</w:t>
      </w:r>
    </w:p>
    <w:p>
      <w:pPr>
        <w:pStyle w:val="ListBullet"/>
        <w:spacing w:after="30"/>
      </w:pPr>
      <w:r>
        <w:rPr>
          <w:rFonts w:ascii="Arial" w:hAnsi="Arial"/>
        </w:rPr>
        <w:t>Entry and Exit Conferences, including authorized waivers and alternative procedures;</w:t>
      </w:r>
    </w:p>
    <w:p>
      <w:pPr>
        <w:pStyle w:val="ListBullet"/>
        <w:spacing w:after="30"/>
      </w:pPr>
      <w:r>
        <w:rPr>
          <w:rFonts w:ascii="Aptos" w:hAnsi="Aptos"/>
        </w:rPr>
        <w:t>fieldwork, Working Papers, Audit Evidence Management, Evidence Requests, evidence receipt and registration, evidence assessment, evidence gaps, restrictions, Review Notes, and progress assessment;</w:t>
      </w:r>
    </w:p>
    <w:p>
      <w:pPr>
        <w:pStyle w:val="ListBullet"/>
        <w:spacing w:after="30"/>
      </w:pPr>
      <w:r>
        <w:rPr>
          <w:rFonts w:ascii="Arial" w:hAnsi="Arial"/>
        </w:rPr>
        <w:t>Audit Issues, formal findings using the required finding structure, recommendations, and AFR workflow;</w:t>
      </w:r>
    </w:p>
    <w:p>
      <w:pPr>
        <w:pStyle w:val="ListBullet"/>
        <w:spacing w:after="30"/>
      </w:pPr>
      <w:r>
        <w:rPr>
          <w:rFonts w:ascii="Aptos" w:hAnsi="Aptos"/>
        </w:rPr>
        <w:t>Management Comments, optional intended or proposed corrective actions stated within the comment, and Auditor’s Rejoinders;</w:t>
      </w:r>
    </w:p>
    <w:p>
      <w:pPr>
        <w:pStyle w:val="ListBullet"/>
        <w:spacing w:after="30"/>
      </w:pPr>
      <w:r>
        <w:rPr>
          <w:rFonts w:ascii="Arial" w:hAnsi="Arial"/>
        </w:rPr>
        <w:t>Interim, Draft, and Final Audit Reports, including controlled issuance and distribution;</w:t>
      </w:r>
    </w:p>
    <w:p>
      <w:pPr>
        <w:pStyle w:val="ListBullet"/>
        <w:spacing w:after="30"/>
      </w:pPr>
      <w:r>
        <w:rPr>
          <w:rFonts w:ascii="Aptos" w:hAnsi="Aptos"/>
        </w:rPr>
        <w:t>completion assessment, transfer and reconciliation of formally issued Audit Recommendations and authoritative source references to CMS, records checks, closure, and authorized reopening.</w:t>
      </w:r>
    </w:p>
    <w:p>
      <w:pPr>
        <w:spacing w:after="80"/>
      </w:pPr>
      <w:r>
        <w:rPr>
          <w:rFonts w:ascii="Aptos" w:hAnsi="Aptos"/>
        </w:rPr>
        <w:t>Formal post-report Action Plans, responsible parties, target dates, management-reported implementation status, implementation evidence, CIAS follow-up validation, and recommendation closure belong in CMS. Strategic and annual planning belongs in IAP. Resource master information belongs in ARM. Cross-module intelligence and analytics belong in AIS.</w:t>
      </w:r>
    </w:p>
    <w:p>
      <w:pPr>
        <w:pStyle w:val="SectionHeading"/>
        <w:keepNext/>
      </w:pPr>
      <w:r>
        <w:rPr>
          <w:rFonts w:ascii="Arial" w:hAnsi="Arial"/>
        </w:rPr>
        <w:t>3. Objectives</w:t>
      </w:r>
    </w:p>
    <w:p>
      <w:pPr>
        <w:pStyle w:val="ListNumber"/>
        <w:spacing w:after="30"/>
      </w:pPr>
      <w:r>
        <w:rPr>
          <w:rFonts w:ascii="Arial" w:hAnsi="Arial"/>
        </w:rPr>
        <w:t>Provide one coherent and auditor-understandable interface for the full operational lifecycle of an audit engagement.</w:t>
      </w:r>
    </w:p>
    <w:p>
      <w:pPr>
        <w:pStyle w:val="ListNumber"/>
        <w:spacing w:after="30"/>
      </w:pPr>
      <w:r>
        <w:rPr>
          <w:rFonts w:ascii="Aptos" w:hAnsi="Aptos"/>
        </w:rPr>
        <w:t>Preserve the engagement, Office, Audit Area, Audit Focus, Process Flow, Risk Matrix, Audit Program, procedure, evidence, issue, finding, recommendation, Management Comment, rejoinder, and report context during navigation.</w:t>
      </w:r>
    </w:p>
    <w:p>
      <w:pPr>
        <w:pStyle w:val="ListNumber"/>
        <w:spacing w:after="30"/>
      </w:pPr>
      <w:r>
        <w:rPr>
          <w:rFonts w:ascii="Arial" w:hAnsi="Arial"/>
        </w:rPr>
        <w:t>Make required creation, preparation, assignment, submission, review, approval, issuance, transfer, completion, and closure transactions visible and controlled.</w:t>
      </w:r>
    </w:p>
    <w:p>
      <w:pPr>
        <w:pStyle w:val="ListNumber"/>
        <w:spacing w:after="30"/>
      </w:pPr>
      <w:r>
        <w:rPr>
          <w:rFonts w:ascii="Arial" w:hAnsi="Arial"/>
        </w:rPr>
        <w:t>Prioritize assigned work, due dates, high-risk matters, unresolved issues, review actions, exceptions, and blockers.</w:t>
      </w:r>
    </w:p>
    <w:p>
      <w:pPr>
        <w:pStyle w:val="ListNumber"/>
        <w:spacing w:after="30"/>
      </w:pPr>
      <w:r>
        <w:rPr>
          <w:rFonts w:ascii="Arial" w:hAnsi="Arial"/>
        </w:rPr>
        <w:t>Preserve source-to-report and source-to-CMS traceability.</w:t>
      </w:r>
    </w:p>
    <w:p>
      <w:pPr>
        <w:pStyle w:val="ListNumber"/>
        <w:spacing w:after="30"/>
      </w:pPr>
      <w:r>
        <w:rPr>
          <w:rFonts w:ascii="Arial" w:hAnsi="Arial"/>
        </w:rPr>
        <w:t>Implement applicable public-sector audit and internal-control requirements without copying the manuals screen by screen.</w:t>
      </w:r>
    </w:p>
    <w:p>
      <w:pPr>
        <w:pStyle w:val="ListNumber"/>
        <w:spacing w:after="30"/>
      </w:pPr>
      <w:r>
        <w:rPr>
          <w:rFonts w:ascii="Arial" w:hAnsi="Arial"/>
        </w:rPr>
        <w:t>Keep UID-200 focused on screen architecture while SCRs remain authoritative for individual screen behavior.</w:t>
      </w:r>
    </w:p>
    <w:p>
      <w:pPr>
        <w:pStyle w:val="SectionHeading"/>
        <w:keepNext/>
      </w:pPr>
      <w:r>
        <w:rPr>
          <w:rFonts w:ascii="Arial" w:hAnsi="Arial"/>
        </w:rPr>
        <w:t>4. Module Interface Overview</w:t>
      </w:r>
    </w:p>
    <w:p>
      <w:pPr>
        <w:spacing w:after="80"/>
      </w:pPr>
      <w:r>
        <w:rPr>
          <w:rFonts w:ascii="Aptos" w:hAnsi="Aptos"/>
        </w:rPr>
        <w:t>AEM begins when an approved IAP item is activated or an authorized unplanned engagement is initiated. It remains the authoritative operational record through controlled planning, Entry Conference or authorized commencement, execution, issue and finding development, Management Comment and auditor evaluation, reporting, CMS transfer and reconciliation, completion assessment, records checks, and administrative closure.</w:t>
      </w:r>
    </w:p>
    <w:tbl>
      <w:tblPr>
        <w:tblW w:type="auto" w:w="0"/>
        <w:tblLayout w:type="fixed"/>
        <w:tblLook w:firstColumn="1" w:firstRow="1" w:lastColumn="0" w:lastRow="0" w:noHBand="0" w:noVBand="1" w:val="04A0"/>
        <w:jc w:val="center"/>
        <w:tblBorders>
          <w:top w:val="single" w:sz="8" w:space="0" w:color="AAB7C4"/>
          <w:start w:val="single" w:sz="8" w:space="0" w:color="AAB7C4"/>
          <w:bottom w:val="single" w:sz="8" w:space="0" w:color="AAB7C4"/>
          <w:end w:val="single" w:sz="8" w:space="0" w:color="AAB7C4"/>
          <w:insideH w:val="single" w:sz="8" w:space="0" w:color="AAB7C4"/>
          <w:insideV w:val="single" w:sz="8" w:space="0" w:color="AAB7C4"/>
        </w:tblBorders>
      </w:tblPr>
      <w:tblGrid>
        <w:gridCol w:w="9519"/>
      </w:tblGrid>
      <w:tr>
        <w:trPr>
          <w:cantSplit/>
        </w:trPr>
        <w:tc>
          <w:tcPr>
            <w:tcW w:type="dxa" w:w="9518"/>
            <w:tcMar>
              <w:top w:w="110" w:type="dxa"/>
              <w:start w:w="120" w:type="dxa"/>
              <w:bottom w:w="110" w:type="dxa"/>
              <w:end w:w="120" w:type="dxa"/>
            </w:tcMar>
            <w:shd w:fill="F4F4F4"/>
          </w:tcPr>
          <w:p>
            <w:r>
              <w:rPr>
                <w:rFonts w:ascii="Aptos" w:hAnsi="Aptos"/>
              </w:rPr>
              <w:t>END-TO-END AEM FLOW</w:t>
              <w:br/>
              <w:t>Audit Engagements Workspace → Create / Activate Engagement → Define Scope → Assign Audit Team → Prepare and Issue AEO → Audit Engagement Details → Complete Audit Planning Package (Preliminary Survey / Process Flow / AEP + KPIs / Risk Matrix / Audit Program) → Conduct Entry Conference → Execute Audit → Manage Working Papers and Audit Evidence → Create and Evaluate Audit Issues → Develop AFR → Obtain Management Comment → Prepare Auditor’s Rejoinder → Conduct Exit Conference → Prepare Interim / Draft / Final Reports → Control Report Distribution → Transfer Formally Issued Recommendations and Source References to CMS → Complete and Close Engagement</w:t>
            </w:r>
          </w:p>
        </w:tc>
      </w:tr>
    </w:tbl>
    <w:p>
      <w:pPr>
        <w:spacing w:after="60" w:line="120" w:lineRule="auto"/>
      </w:pPr>
    </w:p>
    <w:tbl>
      <w:tblPr>
        <w:tblW w:type="auto" w:w="0"/>
        <w:tblLayout w:type="fixed"/>
        <w:tblLook w:firstColumn="1" w:firstRow="1" w:lastColumn="0" w:lastRow="0" w:noHBand="0" w:noVBand="1" w:val="04A0"/>
        <w:jc w:val="center"/>
        <w:tblBorders>
          <w:top w:val="single" w:sz="8" w:space="0" w:color="AAB7C4"/>
          <w:start w:val="single" w:sz="8" w:space="0" w:color="AAB7C4"/>
          <w:bottom w:val="single" w:sz="8" w:space="0" w:color="AAB7C4"/>
          <w:end w:val="single" w:sz="8" w:space="0" w:color="AAB7C4"/>
          <w:insideH w:val="single" w:sz="8" w:space="0" w:color="AAB7C4"/>
          <w:insideV w:val="single" w:sz="8" w:space="0" w:color="AAB7C4"/>
        </w:tblBorders>
      </w:tblPr>
      <w:tblGrid>
        <w:gridCol w:w="9519"/>
      </w:tblGrid>
      <w:tr>
        <w:trPr>
          <w:cantSplit/>
        </w:trPr>
        <w:tc>
          <w:tcPr>
            <w:tcW w:type="dxa" w:w="9518"/>
            <w:tcMar>
              <w:top w:w="110" w:type="dxa"/>
              <w:start w:w="120" w:type="dxa"/>
              <w:bottom w:w="110" w:type="dxa"/>
              <w:end w:w="120" w:type="dxa"/>
            </w:tcMar>
            <w:shd w:fill="EEF3F8"/>
          </w:tcPr>
          <w:p>
            <w:pPr>
              <w:spacing w:after="60"/>
            </w:pPr>
            <w:r/>
            <w:r>
              <w:rPr>
                <w:rFonts w:ascii="Arial" w:hAnsi="Arial"/>
                <w:b/>
                <w:color w:val="111111"/>
                <w:sz w:val="21"/>
              </w:rPr>
              <w:t>AUTHORITATIVE SCOPE HIERARCHY</w:t>
            </w:r>
          </w:p>
          <w:p>
            <w:pPr>
              <w:spacing w:after="0"/>
            </w:pPr>
            <w:r>
              <w:rPr>
                <w:rFonts w:ascii="Arial" w:hAnsi="Arial"/>
                <w:color w:val="222222"/>
                <w:sz w:val="19"/>
              </w:rPr>
              <w:t>Office → Audit Area → Audit Focus. Every engagement belongs to one Office. Every selected Audit Area shall belong to that Office. Every selected Audit Focus shall belong to a selected Audit Area.</w:t>
            </w:r>
          </w:p>
        </w:tc>
      </w:tr>
    </w:tbl>
    <w:p>
      <w:pPr>
        <w:pStyle w:val="SectionHeading"/>
        <w:keepNext/>
      </w:pPr>
      <w:r>
        <w:rPr>
          <w:rFonts w:ascii="Arial" w:hAnsi="Arial"/>
        </w:rPr>
        <w:t>5. User Interface Architecture</w:t>
      </w:r>
    </w:p>
    <w:p>
      <w:pPr>
        <w:pStyle w:val="SubHeading"/>
        <w:keepNext/>
      </w:pPr>
      <w:r>
        <w:rPr>
          <w:rFonts w:ascii="Arial" w:hAnsi="Arial"/>
        </w:rPr>
        <w:t>5.1 Governing Standards</w:t>
      </w:r>
    </w:p>
    <w:p>
      <w:pPr>
        <w:spacing w:after="80"/>
      </w:pPr>
      <w:r>
        <w:rPr>
          <w:rFonts w:ascii="Arial" w:hAnsi="Arial"/>
        </w:rPr>
        <w:t>AEM interfaces shall conform to STD-004, STD-005, UID-000, MET-001, MDS-200, and applicable approved SCRs. Public-sector audit requirements shall be implemented through controlled workflows, records, approvals, evidence links, and audit trails.</w:t>
      </w:r>
    </w:p>
    <w:p>
      <w:pPr>
        <w:pStyle w:val="SubHeading"/>
        <w:keepNext/>
      </w:pPr>
      <w:r>
        <w:rPr>
          <w:rFonts w:ascii="Arial" w:hAnsi="Arial"/>
        </w:rPr>
        <w:t>5.2 Engagement-Centered Workspace</w:t>
      </w:r>
    </w:p>
    <w:p>
      <w:pPr>
        <w:spacing w:after="80"/>
      </w:pPr>
      <w:r>
        <w:rPr>
          <w:rFonts w:ascii="Aptos" w:hAnsi="Aptos"/>
        </w:rPr>
        <w:t>SCR-220 — Audit Engagement Details is the stable center of AEM. It shall preserve the engagement number, title, Office, Audit Areas, Audit Focuses, phase, status, authority, team, schedule, priority, confidentiality, progress, current planning and execution requirements, and key actions while users move among related records.</w:t>
      </w:r>
    </w:p>
    <w:p>
      <w:pPr>
        <w:pStyle w:val="SubHeading"/>
        <w:keepNext/>
      </w:pPr>
      <w:r>
        <w:rPr>
          <w:rFonts w:ascii="Arial" w:hAnsi="Arial"/>
        </w:rPr>
        <w:t>5.3 Phase and Status Separation</w:t>
      </w:r>
    </w:p>
    <w:p>
      <w:pPr>
        <w:spacing w:after="80"/>
      </w:pPr>
      <w:r>
        <w:rPr>
          <w:rFonts w:ascii="Arial" w:hAnsi="Arial"/>
        </w:rPr>
        <w:t>Lifecycle phase and administrative status are separate controlled attributes and shall be displayed distinctly. The interface shall not infer one solely from the other.</w:t>
      </w:r>
    </w:p>
    <w:p>
      <w:pPr>
        <w:pStyle w:val="SubHeading"/>
        <w:keepNext/>
      </w:pPr>
      <w:r>
        <w:rPr>
          <w:rFonts w:ascii="Arial" w:hAnsi="Arial"/>
        </w:rPr>
        <w:t>5.4 Controlled Initiation and Authority</w:t>
      </w:r>
    </w:p>
    <w:p>
      <w:pPr>
        <w:spacing w:after="80"/>
      </w:pPr>
      <w:r>
        <w:rPr>
          <w:rFonts w:ascii="Arial" w:hAnsi="Arial"/>
        </w:rPr>
        <w:t>The engagement creation flow shall distinguish an approved IAP item from an authorized unplanned engagement. The interface shall preserve the authority reference, directing or requesting authority, date received, authorization decision, and source record.</w:t>
      </w:r>
    </w:p>
    <w:p>
      <w:pPr>
        <w:pStyle w:val="SubHeading"/>
      </w:pPr>
      <w:r>
        <w:rPr>
          <w:rFonts w:ascii="Aptos" w:hAnsi="Aptos"/>
        </w:rPr>
        <w:t>5.5 Audit Planning Package Architecture</w:t>
      </w:r>
    </w:p>
    <w:p>
      <w:pPr/>
      <w:r>
        <w:rPr>
          <w:rFonts w:ascii="Aptos" w:hAnsi="Aptos"/>
        </w:rPr>
        <w:t>SCR-221 — Engagement Planning Workspace shall coordinate the complete Audit Planning Package without creating unnecessary separate Screen IDs. Process Flow Documentation and the Risk Matrix are controlled planning artifacts within SCR-221; SCR-222 governs the AEP and engagement KPIs; SCR-223 governs one or more Audit Programs and their detailed procedures; and SCR-224 governs one Audit Procedure. The interface shall preserve review, approval, communication, version, amendment, and source-traceability history.</w:t>
      </w:r>
    </w:p>
    <w:p>
      <w:pPr>
        <w:pStyle w:val="SubHeading"/>
      </w:pPr>
      <w:r>
        <w:rPr>
          <w:rFonts w:ascii="Aptos" w:hAnsi="Aptos"/>
        </w:rPr>
        <w:t>5.6 AEM–CMS Boundary</w:t>
      </w:r>
    </w:p>
    <w:p>
      <w:pPr/>
      <w:r>
        <w:rPr>
          <w:rFonts w:ascii="Aptos" w:hAnsi="Aptos"/>
        </w:rPr>
        <w:t>AEM shall capture Management Comments and Auditor’s Rejoinders through the reporting workflow. An intended or proposed corrective action may be preserved as part of a Management Comment, but it shall not become the formal post-report Action Plan in AEM. After authorized report issuance, AEM shall transfer formally issued Audit Recommendations and authoritative source references to CMS; formal Action Plans, implementation status, implementation evidence, follow-up validation, and recommendation closure are CMS responsibilities.</w:t>
      </w:r>
    </w:p>
    <w:p>
      <w:pPr>
        <w:pStyle w:val="SectionHeading"/>
        <w:keepNext/>
      </w:pPr>
      <w:r>
        <w:rPr>
          <w:rFonts w:ascii="Arial" w:hAnsi="Arial"/>
        </w:rPr>
        <w:t>6. Navigation and Engagement Information Architecture</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2476"/>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Engagement Area / Tab</w:t>
            </w:r>
          </w:p>
        </w:tc>
        <w:tc>
          <w:tcPr>
            <w:tcW w:type="dxa" w:w="7041"/>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Primary Content</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Overview</w:t>
            </w:r>
          </w:p>
        </w:tc>
        <w:tc>
          <w:tcPr>
            <w:tcW w:type="dxa" w:w="704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Engagement identity, authority, phase, status, scope, team, schedule, progress, current requirements, operational counts, and recent activity.</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Planning</w:t>
            </w:r>
          </w:p>
        </w:tc>
        <w:tc>
          <w:tcPr>
            <w:tcW w:type="dxa" w:w="7041"/>
            <w:vAlign w:val="center"/>
            <w:tcMar>
              <w:top w:w="70" w:type="dxa"/>
              <w:start w:w="80" w:type="dxa"/>
              <w:bottom w:w="70" w:type="dxa"/>
              <w:end w:w="80" w:type="dxa"/>
            </w:tcMar>
          </w:tcPr>
          <w:p>
            <w:r>
              <w:rPr>
                <w:rFonts w:ascii="Aptos" w:hAnsi="Aptos"/>
              </w:rPr>
              <w:t>AEO, preliminary survey, Process Flow Documentation, AEP, engagement KPIs, Risk Matrix, Audit Program, Audit Procedures, planned man-days, Working Paper references, applicable Sampling Working Papers, review, approval, communication, amendments, and planning-package readiness.</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Execution</w:t>
            </w:r>
          </w:p>
        </w:tc>
        <w:tc>
          <w:tcPr>
            <w:tcW w:type="dxa" w:w="7041"/>
            <w:vAlign w:val="center"/>
            <w:tcMar>
              <w:top w:w="70" w:type="dxa"/>
              <w:start w:w="80" w:type="dxa"/>
              <w:bottom w:w="70" w:type="dxa"/>
              <w:end w:w="80" w:type="dxa"/>
            </w:tcMar>
          </w:tcPr>
          <w:p>
            <w:r>
              <w:rPr>
                <w:rFonts w:ascii="Aptos" w:hAnsi="Aptos"/>
              </w:rPr>
              <w:t>Audit Procedures, Fieldwork Records, Working Papers, Audit Evidence Management, Evidence Requests, evidence receipt and registration, assessment of sufficiency and appropriateness, relevance, reliability, accuracy, completeness, integrity and limitations, evidence gaps, restrictions, Review Notes, tasks, progress assessment, and approved changes.</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Audit Issues</w:t>
            </w:r>
          </w:p>
        </w:tc>
        <w:tc>
          <w:tcPr>
            <w:tcW w:type="dxa" w:w="704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Preliminary matters under evaluation, supporting records, significance, assignment, review, disposition, and conversion to AFR.</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AFRs</w:t>
            </w:r>
          </w:p>
        </w:tc>
        <w:tc>
          <w:tcPr>
            <w:tcW w:type="dxa" w:w="7041"/>
            <w:vAlign w:val="center"/>
            <w:tcMar>
              <w:top w:w="70" w:type="dxa"/>
              <w:start w:w="80" w:type="dxa"/>
              <w:bottom w:w="70" w:type="dxa"/>
              <w:end w:w="80" w:type="dxa"/>
            </w:tcMar>
          </w:tcPr>
          <w:p>
            <w:r>
              <w:rPr>
                <w:rFonts w:ascii="Aptos" w:hAnsi="Aptos"/>
              </w:rPr>
              <w:t>Criteria, Condition, Conclusion, Cause, Significance / Effect / Risk, recommendations, evidence links, risk rating, review, issuance, Management Comments, Auditor’s Rejoinders, and report inclusion.</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Conferences</w:t>
            </w:r>
          </w:p>
        </w:tc>
        <w:tc>
          <w:tcPr>
            <w:tcW w:type="dxa" w:w="704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Entry and Exit Conference notices, briefing papers, agendas, participants, attendance, notes, minutes, agreements, actions, documents, and approved waivers.</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Audit Reports</w:t>
            </w:r>
          </w:p>
        </w:tc>
        <w:tc>
          <w:tcPr>
            <w:tcW w:type="dxa" w:w="704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Interim, Draft, and Final Audit Reports; quality and completeness checks; review; approval; issuance; versions; distribution authority; and delivery records.</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Completion &amp; Transfer</w:t>
            </w:r>
          </w:p>
        </w:tc>
        <w:tc>
          <w:tcPr>
            <w:tcW w:type="dxa" w:w="7041"/>
            <w:vAlign w:val="center"/>
            <w:tcMar>
              <w:top w:w="70" w:type="dxa"/>
              <w:start w:w="80" w:type="dxa"/>
              <w:bottom w:w="70" w:type="dxa"/>
              <w:end w:w="80" w:type="dxa"/>
            </w:tcMar>
          </w:tcPr>
          <w:p>
            <w:r>
              <w:rPr>
                <w:rFonts w:ascii="Aptos" w:hAnsi="Aptos"/>
              </w:rPr>
              <w:t>Completion assessment, checklist, records reconciliation, transfer and reconciliation of formally issued Audit Recommendations and authoritative source references to CMS, transfer exceptions, lessons learned, closure readiness, and reopening controls.</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Activity</w:t>
            </w:r>
          </w:p>
        </w:tc>
        <w:tc>
          <w:tcPr>
            <w:tcW w:type="dxa" w:w="704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Assignments, workflow events, reviews, approvals, amendments, issuances, transfers, changes, completion, closure, and system history.</w:t>
            </w:r>
          </w:p>
        </w:tc>
      </w:tr>
    </w:tbl>
    <w:p>
      <w:pPr>
        <w:pStyle w:val="SectionHeading"/>
        <w:keepNext/>
      </w:pPr>
      <w:r>
        <w:rPr>
          <w:rFonts w:ascii="Arial" w:hAnsi="Arial"/>
        </w:rPr>
        <w:t>7. AEM Workspace Design</w:t>
      </w:r>
    </w:p>
    <w:p>
      <w:pPr>
        <w:pStyle w:val="SubHeading"/>
        <w:keepNext/>
      </w:pPr>
      <w:r>
        <w:rPr>
          <w:rFonts w:ascii="Arial" w:hAnsi="Arial"/>
        </w:rPr>
        <w:t>7.1 Main Workspace Priorities</w:t>
      </w:r>
    </w:p>
    <w:p>
      <w:pPr>
        <w:pStyle w:val="ListBullet"/>
        <w:spacing w:after="30"/>
      </w:pPr>
      <w:r>
        <w:rPr>
          <w:rFonts w:ascii="Arial" w:hAnsi="Arial"/>
        </w:rPr>
        <w:t>My Engagement Tasks / Needs Attention;</w:t>
      </w:r>
    </w:p>
    <w:p>
      <w:pPr>
        <w:pStyle w:val="ListBullet"/>
        <w:spacing w:after="30"/>
      </w:pPr>
      <w:r>
        <w:rPr>
          <w:rFonts w:ascii="Arial" w:hAnsi="Arial"/>
        </w:rPr>
        <w:t>active engagements and current phase;</w:t>
      </w:r>
    </w:p>
    <w:p>
      <w:pPr>
        <w:pStyle w:val="ListBullet"/>
        <w:spacing w:after="30"/>
      </w:pPr>
      <w:r>
        <w:rPr>
          <w:rFonts w:ascii="Arial" w:hAnsi="Arial"/>
        </w:rPr>
        <w:t>due and overdue procedures, reviews, evidence requests, comments, reports, and milestones;</w:t>
      </w:r>
    </w:p>
    <w:p>
      <w:pPr>
        <w:pStyle w:val="ListBullet"/>
        <w:spacing w:after="30"/>
      </w:pPr>
      <w:r>
        <w:rPr>
          <w:rFonts w:ascii="Arial" w:hAnsi="Arial"/>
        </w:rPr>
        <w:t>returned, rejected, incomplete, waived, withdrawn, superseded, failed-transfer, or blocked records;</w:t>
      </w:r>
    </w:p>
    <w:p>
      <w:pPr>
        <w:pStyle w:val="ListBullet"/>
        <w:spacing w:after="30"/>
      </w:pPr>
      <w:r>
        <w:rPr>
          <w:rFonts w:ascii="Arial" w:hAnsi="Arial"/>
        </w:rPr>
        <w:t>high-risk findings, urgent issues, and matters requiring interim communication;</w:t>
      </w:r>
    </w:p>
    <w:p>
      <w:pPr>
        <w:pStyle w:val="ListBullet"/>
        <w:spacing w:after="30"/>
      </w:pPr>
      <w:r>
        <w:rPr>
          <w:rFonts w:ascii="Arial" w:hAnsi="Arial"/>
        </w:rPr>
        <w:t>upcoming Entry or Exit Conferences and report due dates;</w:t>
      </w:r>
    </w:p>
    <w:p>
      <w:pPr>
        <w:pStyle w:val="ListBullet"/>
        <w:spacing w:after="30"/>
      </w:pPr>
      <w:r>
        <w:rPr>
          <w:rFonts w:ascii="Arial" w:hAnsi="Arial"/>
        </w:rPr>
        <w:t>progress against engagement KPIs and approved schedule;</w:t>
      </w:r>
    </w:p>
    <w:p>
      <w:pPr>
        <w:pStyle w:val="ListBullet"/>
        <w:spacing w:after="30"/>
      </w:pPr>
      <w:r>
        <w:rPr>
          <w:rFonts w:ascii="Arial" w:hAnsi="Arial"/>
        </w:rPr>
        <w:t>recent engagement activity.</w:t>
      </w:r>
    </w:p>
    <w:p>
      <w:pPr>
        <w:pStyle w:val="SubHeading"/>
        <w:keepNext/>
      </w:pPr>
      <w:r>
        <w:rPr>
          <w:rFonts w:ascii="Arial" w:hAnsi="Arial"/>
        </w:rPr>
        <w:t>7.2 Actionable Work Queues</w:t>
      </w:r>
    </w:p>
    <w:p>
      <w:pPr>
        <w:spacing w:after="80"/>
      </w:pPr>
      <w:r>
        <w:rPr>
          <w:rFonts w:ascii="Arial" w:hAnsi="Arial"/>
        </w:rPr>
        <w:t>Every queue item shall identify the expected action, related engagement or record, responsible user or role, due date, priority or risk, current state, and navigation target. Informational notices shall not be mixed with work items requiring action.</w:t>
      </w:r>
    </w:p>
    <w:p>
      <w:pPr>
        <w:pStyle w:val="SubHeading"/>
        <w:keepNext/>
      </w:pPr>
      <w:r>
        <w:rPr>
          <w:rFonts w:ascii="Arial" w:hAnsi="Arial"/>
        </w:rPr>
        <w:t>7.3 Controlled Documents</w:t>
      </w:r>
    </w:p>
    <w:p>
      <w:pPr>
        <w:spacing w:after="80"/>
      </w:pPr>
      <w:r>
        <w:rPr>
          <w:rFonts w:ascii="Aptos" w:hAnsi="Aptos"/>
        </w:rPr>
        <w:t>AEOs, AEPs, Process Flow Documentation, Risk Matrices, Audit Programs, Working Papers, AFRs, Interim Reports, Draft Reports, and Final Reports shall show applicable status, version, preparer, reviewer, approver, issue date, source references, and authorized actions. Approved and issued baselines shall not be silently overwritten.</w:t>
      </w:r>
    </w:p>
    <w:p>
      <w:pPr>
        <w:pStyle w:val="SubHeading"/>
        <w:keepNext/>
      </w:pPr>
      <w:r>
        <w:rPr>
          <w:rFonts w:ascii="Arial" w:hAnsi="Arial"/>
        </w:rPr>
        <w:t>7.4 Progress and Completion Assessment</w:t>
      </w:r>
    </w:p>
    <w:p>
      <w:pPr>
        <w:spacing w:after="80"/>
      </w:pPr>
      <w:r>
        <w:rPr>
          <w:rFonts w:ascii="Aptos" w:hAnsi="Aptos"/>
        </w:rPr>
        <w:t>AEM shall show engagement progress against objectives, approved planning-package readiness, procedures, schedule, effort, evidence sufficiency, unresolved issues, and expected reporting date. Completion interfaces shall confirm objectives achieved, approved work completed, Working Papers reviewed, evidence assessed, issues disposed, findings supported, reports issued, recommendation transfers reconciled, quality matters addressed, lessons learned recorded, and required approval obtained.</w:t>
      </w:r>
    </w:p>
    <w:p>
      <w:pPr>
        <w:pStyle w:val="SectionHeading"/>
        <w:keepNext/>
      </w:pPr>
      <w:r>
        <w:rPr>
          <w:rFonts w:ascii="Arial" w:hAnsi="Arial"/>
        </w:rPr>
        <w:t>8. Controlled Screen Architecture</w:t>
      </w:r>
    </w:p>
    <w:p>
      <w:pPr>
        <w:pStyle w:val="SubHeading"/>
        <w:keepNext/>
      </w:pPr>
      <w:r>
        <w:rPr>
          <w:rFonts w:ascii="Arial" w:hAnsi="Arial"/>
        </w:rPr>
        <w:t>8.1 Screen Identification and Approval Rule</w:t>
      </w:r>
    </w:p>
    <w:p>
      <w:pPr>
        <w:spacing w:after="80"/>
      </w:pPr>
      <w:r>
        <w:rPr>
          <w:rFonts w:ascii="Arial" w:hAnsi="Arial"/>
        </w:rPr>
        <w:t>The AEM screen family uses SCR-210 to SCR-299. SCR-200 is reserved for the module family and shall not be assigned to an individual screen. The approved anchor screens are SCR-210 Audit Engagements Workspace, SCR-220 Audit Engagement Details, SCR-230 Audit Issues Workspace, and SCR-240 Audit Finding and Recommendation Details. Released Screen IDs shall not be reused for a different purpose.</w:t>
      </w:r>
    </w:p>
    <w:p>
      <w:pPr>
        <w:spacing w:after="80"/>
      </w:pPr>
      <w:r>
        <w:rPr>
          <w:rFonts w:ascii="Arial" w:hAnsi="Arial"/>
        </w:rPr>
        <w:t>A Screen ID may represent a workspace, details screen, focused transaction form, drawer, dialog, or controlled screen group. A separate screen shall be created only when the interaction has a distinct user objective, substantial information or validation, independent permissions, workflow consequences, or a stable navigation destination.</w:t>
      </w:r>
    </w:p>
    <w:p>
      <w:pPr>
        <w:pStyle w:val="SubHeading"/>
        <w:keepNext/>
      </w:pPr>
      <w:r>
        <w:rPr>
          <w:rFonts w:ascii="Arial" w:hAnsi="Arial"/>
        </w:rPr>
        <w:t>8.2 Lifecycle Screen and Event Flow</w:t>
      </w:r>
    </w:p>
    <w:p>
      <w:pPr/>
      <w:r>
        <w:t>The table below summarizes the controlled screen sequence. DGM-200-01 — AEM Master SCR and Event Workflow Diagram visually presents all controlled AEM screens and major events, including optional, return, escalation, conversion, transfer, exception, and reopening paths.</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2476"/>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Lifecycle Group</w:t>
            </w:r>
          </w:p>
        </w:tc>
        <w:tc>
          <w:tcPr>
            <w:tcW w:type="dxa" w:w="7041"/>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Controlled Flow</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Engagement Foundation</w:t>
            </w:r>
          </w:p>
        </w:tc>
        <w:tc>
          <w:tcPr>
            <w:tcW w:type="dxa" w:w="704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SCR-210 → SCR-211 → SCR-212 → SCR-213 → SCR-214 → SCR-220</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Planning and Execution</w:t>
            </w:r>
          </w:p>
        </w:tc>
        <w:tc>
          <w:tcPr>
            <w:tcW w:type="dxa" w:w="7041"/>
            <w:vAlign w:val="center"/>
            <w:tcMar>
              <w:top w:w="70" w:type="dxa"/>
              <w:start w:w="80" w:type="dxa"/>
              <w:bottom w:w="70" w:type="dxa"/>
              <w:end w:w="80" w:type="dxa"/>
            </w:tcMar>
          </w:tcPr>
          <w:p>
            <w:r>
              <w:rPr>
                <w:rFonts w:ascii="Aptos" w:hAnsi="Aptos"/>
              </w:rPr>
              <w:t>SCR-221 → SCR-222 → SCR-223 → SCR-224 → SCR-225 → SCR-226 → SCR-227 → SCR-228 → SCR-229</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Issues and AFR</w:t>
            </w:r>
          </w:p>
        </w:tc>
        <w:tc>
          <w:tcPr>
            <w:tcW w:type="dxa" w:w="7041"/>
            <w:vAlign w:val="center"/>
            <w:tcMar>
              <w:top w:w="70" w:type="dxa"/>
              <w:start w:w="80" w:type="dxa"/>
              <w:bottom w:w="70" w:type="dxa"/>
              <w:end w:w="80" w:type="dxa"/>
            </w:tcMar>
          </w:tcPr>
          <w:p>
            <w:r>
              <w:rPr>
                <w:rFonts w:ascii="Aptos" w:hAnsi="Aptos"/>
              </w:rPr>
              <w:t>SCR-230 → SCR-231 → SCR-232 → SCR-240 → SCR-241 → SCR-242 → SCR-244  (SCR-243 Reserved)</w:t>
            </w:r>
          </w:p>
        </w:tc>
      </w:tr>
      <w:tr>
        <w:trPr>
          <w:cantSplit/>
        </w:trPr>
        <w:tc>
          <w:tcPr>
            <w:tcW w:type="dxa" w:w="247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Reporting and Closure</w:t>
            </w:r>
          </w:p>
        </w:tc>
        <w:tc>
          <w:tcPr>
            <w:tcW w:type="dxa" w:w="7041"/>
            <w:vAlign w:val="center"/>
            <w:tcMar>
              <w:top w:w="70" w:type="dxa"/>
              <w:start w:w="80" w:type="dxa"/>
              <w:bottom w:w="70" w:type="dxa"/>
              <w:end w:w="80" w:type="dxa"/>
            </w:tcMar>
          </w:tcPr>
          <w:p>
            <w:r>
              <w:rPr>
                <w:rFonts w:ascii="Aptos" w:hAnsi="Aptos"/>
              </w:rPr>
              <w:t>SCR-250 → SCR-251 → SCR-252 → SCR-253 → SCR-254 → SCR-260 → SCR-261 → SCR-262 → SCR-263</w:t>
            </w:r>
          </w:p>
        </w:tc>
      </w:tr>
    </w:tbl>
    <w:p>
      <w:pPr>
        <w:pStyle w:val="SubHeading"/>
        <w:keepNext/>
      </w:pPr>
      <w:r>
        <w:rPr>
          <w:rFonts w:ascii="Arial" w:hAnsi="Arial"/>
        </w:rPr>
        <w:t>8.3 Controlled Screen Inventory</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2380"/>
        <w:gridCol w:w="2380"/>
        <w:gridCol w:w="2380"/>
        <w:gridCol w:w="2380"/>
      </w:tblGrid>
      <w:tr>
        <w:trPr>
          <w:cantSplit/>
          <w:tblHeader w:val="true"/>
        </w:trPr>
        <w:tc>
          <w:tcPr>
            <w:tcW w:type="dxa" w:w="1036"/>
            <w:vAlign w:val="center"/>
            <w:tcMar>
              <w:top w:w="70" w:type="dxa"/>
              <w:start w:w="80" w:type="dxa"/>
              <w:bottom w:w="70" w:type="dxa"/>
              <w:end w:w="80" w:type="dxa"/>
            </w:tcMar>
            <w:shd w:fill="D9E2F3"/>
          </w:tcPr>
          <w:p>
            <w:pPr>
              <w:spacing w:after="0" w:before="0"/>
            </w:pPr>
            <w:r>
              <w:rPr>
                <w:rFonts w:ascii="Arial" w:hAnsi="Arial"/>
                <w:b/>
                <w:color w:val="222222"/>
                <w:sz w:val="15"/>
              </w:rPr>
            </w:r>
            <w:r>
              <w:rPr>
                <w:rFonts w:ascii="Arial" w:hAnsi="Arial"/>
                <w:b/>
                <w:color w:val="222222"/>
                <w:sz w:val="15"/>
              </w:rPr>
              <w:t>Screen ID</w:t>
            </w:r>
          </w:p>
        </w:tc>
        <w:tc>
          <w:tcPr>
            <w:tcW w:type="dxa" w:w="2505"/>
            <w:vAlign w:val="center"/>
            <w:tcMar>
              <w:top w:w="70" w:type="dxa"/>
              <w:start w:w="80" w:type="dxa"/>
              <w:bottom w:w="70" w:type="dxa"/>
              <w:end w:w="80" w:type="dxa"/>
            </w:tcMar>
            <w:shd w:fill="D9E2F3"/>
          </w:tcPr>
          <w:p>
            <w:pPr>
              <w:spacing w:after="0" w:before="0"/>
            </w:pPr>
            <w:r>
              <w:rPr>
                <w:rFonts w:ascii="Arial" w:hAnsi="Arial"/>
                <w:b/>
                <w:color w:val="222222"/>
                <w:sz w:val="15"/>
              </w:rPr>
            </w:r>
            <w:r>
              <w:rPr>
                <w:rFonts w:ascii="Arial" w:hAnsi="Arial"/>
                <w:b/>
                <w:color w:val="222222"/>
                <w:sz w:val="15"/>
              </w:rPr>
              <w:t>Screen / Group</w:t>
            </w:r>
          </w:p>
        </w:tc>
        <w:tc>
          <w:tcPr>
            <w:tcW w:type="dxa" w:w="1843"/>
            <w:vAlign w:val="center"/>
            <w:tcMar>
              <w:top w:w="70" w:type="dxa"/>
              <w:start w:w="80" w:type="dxa"/>
              <w:bottom w:w="70" w:type="dxa"/>
              <w:end w:w="80" w:type="dxa"/>
            </w:tcMar>
            <w:shd w:fill="D9E2F3"/>
          </w:tcPr>
          <w:p>
            <w:pPr>
              <w:spacing w:after="0" w:before="0"/>
            </w:pPr>
            <w:r>
              <w:rPr>
                <w:rFonts w:ascii="Arial" w:hAnsi="Arial"/>
                <w:b/>
                <w:color w:val="222222"/>
                <w:sz w:val="15"/>
              </w:rPr>
            </w:r>
            <w:r>
              <w:rPr>
                <w:rFonts w:ascii="Arial" w:hAnsi="Arial"/>
                <w:b/>
                <w:color w:val="222222"/>
                <w:sz w:val="15"/>
              </w:rPr>
              <w:t>Pattern / Status</w:t>
            </w:r>
          </w:p>
        </w:tc>
        <w:tc>
          <w:tcPr>
            <w:tcW w:type="dxa" w:w="4132"/>
            <w:vAlign w:val="center"/>
            <w:tcMar>
              <w:top w:w="70" w:type="dxa"/>
              <w:start w:w="80" w:type="dxa"/>
              <w:bottom w:w="70" w:type="dxa"/>
              <w:end w:w="80" w:type="dxa"/>
            </w:tcMar>
            <w:shd w:fill="D9E2F3"/>
          </w:tcPr>
          <w:p>
            <w:pPr>
              <w:spacing w:after="0" w:before="0"/>
            </w:pPr>
            <w:r>
              <w:rPr>
                <w:rFonts w:ascii="Arial" w:hAnsi="Arial"/>
                <w:b/>
                <w:color w:val="222222"/>
                <w:sz w:val="15"/>
              </w:rPr>
            </w:r>
            <w:r>
              <w:rPr>
                <w:rFonts w:ascii="Arial" w:hAnsi="Arial"/>
                <w:b/>
                <w:color w:val="222222"/>
                <w:sz w:val="15"/>
              </w:rPr>
              <w:t>Purpose / Primary Transaction</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SCR-210</w:t>
            </w:r>
          </w:p>
        </w:tc>
        <w:tc>
          <w:tcPr>
            <w:tcW w:type="dxa" w:w="2505"/>
            <w:vAlign w:val="center"/>
            <w:tcMar>
              <w:top w:w="70" w:type="dxa"/>
              <w:start w:w="80" w:type="dxa"/>
              <w:bottom w:w="70" w:type="dxa"/>
              <w:end w:w="80" w:type="dxa"/>
            </w:tcMar>
          </w:tcPr>
          <w:p>
            <w:r>
              <w:rPr>
                <w:rFonts w:ascii="Aptos" w:hAnsi="Aptos"/>
              </w:rPr>
              <w:t>Audit Engagements Workspace</w:t>
            </w:r>
          </w:p>
        </w:tc>
        <w:tc>
          <w:tcPr>
            <w:tcW w:type="dxa" w:w="1843"/>
            <w:vAlign w:val="center"/>
            <w:tcMar>
              <w:top w:w="70" w:type="dxa"/>
              <w:start w:w="80" w:type="dxa"/>
              <w:bottom w:w="70" w:type="dxa"/>
              <w:end w:w="80" w:type="dxa"/>
            </w:tcMar>
          </w:tcPr>
          <w:p>
            <w:r>
              <w:rPr>
                <w:rFonts w:ascii="Aptos" w:hAnsi="Aptos"/>
              </w:rPr>
              <w:t>Workspace / Existing anchor</w:t>
            </w:r>
          </w:p>
        </w:tc>
        <w:tc>
          <w:tcPr>
            <w:tcW w:type="dxa" w:w="4132"/>
            <w:vAlign w:val="center"/>
            <w:tcMar>
              <w:top w:w="70" w:type="dxa"/>
              <w:start w:w="80" w:type="dxa"/>
              <w:bottom w:w="70" w:type="dxa"/>
              <w:end w:w="80" w:type="dxa"/>
            </w:tcMar>
          </w:tcPr>
          <w:p>
            <w:r>
              <w:rPr>
                <w:rFonts w:ascii="Aptos" w:hAnsi="Aptos"/>
              </w:rPr>
              <w:t>Main AEM workspace for authorized engagements, My Engagement Tasks / Needs Attention, search, filters, deadlines, blockers, and recent activity.</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SCR-211</w:t>
            </w:r>
          </w:p>
        </w:tc>
        <w:tc>
          <w:tcPr>
            <w:tcW w:type="dxa" w:w="2505"/>
            <w:vAlign w:val="center"/>
            <w:tcMar>
              <w:top w:w="70" w:type="dxa"/>
              <w:start w:w="80" w:type="dxa"/>
              <w:bottom w:w="70" w:type="dxa"/>
              <w:end w:w="80" w:type="dxa"/>
            </w:tcMar>
          </w:tcPr>
          <w:p>
            <w:r>
              <w:rPr>
                <w:rFonts w:ascii="Aptos" w:hAnsi="Aptos"/>
              </w:rPr>
              <w:t>Create / Activate Audit Engagement</w:t>
            </w:r>
          </w:p>
        </w:tc>
        <w:tc>
          <w:tcPr>
            <w:tcW w:type="dxa" w:w="1843"/>
            <w:vAlign w:val="center"/>
            <w:tcMar>
              <w:top w:w="70" w:type="dxa"/>
              <w:start w:w="80" w:type="dxa"/>
              <w:bottom w:w="70" w:type="dxa"/>
              <w:end w:w="80" w:type="dxa"/>
            </w:tcMar>
          </w:tcPr>
          <w:p>
            <w:r>
              <w:rPr>
                <w:rFonts w:ascii="Aptos" w:hAnsi="Aptos"/>
              </w:rPr>
              <w:t>Transaction / Existing</w:t>
            </w:r>
          </w:p>
        </w:tc>
        <w:tc>
          <w:tcPr>
            <w:tcW w:type="dxa" w:w="4132"/>
            <w:vAlign w:val="center"/>
            <w:tcMar>
              <w:top w:w="70" w:type="dxa"/>
              <w:start w:w="80" w:type="dxa"/>
              <w:bottom w:w="70" w:type="dxa"/>
              <w:end w:w="80" w:type="dxa"/>
            </w:tcMar>
          </w:tcPr>
          <w:p>
            <w:r>
              <w:rPr>
                <w:rFonts w:ascii="Aptos" w:hAnsi="Aptos"/>
              </w:rPr>
              <w:t>Activate an eligible approved IAP item or create an authorized unplanned engagement while preserving origin, source, authority, duplicate controls, and initial readiness.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SCR-212</w:t>
            </w:r>
          </w:p>
        </w:tc>
        <w:tc>
          <w:tcPr>
            <w:tcW w:type="dxa" w:w="2505"/>
            <w:vAlign w:val="center"/>
            <w:tcMar>
              <w:top w:w="70" w:type="dxa"/>
              <w:start w:w="80" w:type="dxa"/>
              <w:bottom w:w="70" w:type="dxa"/>
              <w:end w:w="80" w:type="dxa"/>
            </w:tcMar>
          </w:tcPr>
          <w:p>
            <w:r>
              <w:rPr>
                <w:rFonts w:ascii="Aptos" w:hAnsi="Aptos"/>
              </w:rPr>
              <w:t>Define Engagement Scope</w:t>
            </w:r>
          </w:p>
        </w:tc>
        <w:tc>
          <w:tcPr>
            <w:tcW w:type="dxa" w:w="1843"/>
            <w:vAlign w:val="center"/>
            <w:tcMar>
              <w:top w:w="70" w:type="dxa"/>
              <w:start w:w="80" w:type="dxa"/>
              <w:bottom w:w="70" w:type="dxa"/>
              <w:end w:w="80" w:type="dxa"/>
            </w:tcMar>
          </w:tcPr>
          <w:p>
            <w:r>
              <w:rPr>
                <w:rFonts w:ascii="Aptos" w:hAnsi="Aptos"/>
              </w:rPr>
              <w:t>Transaction / Existing</w:t>
            </w:r>
          </w:p>
        </w:tc>
        <w:tc>
          <w:tcPr>
            <w:tcW w:type="dxa" w:w="4132"/>
            <w:vAlign w:val="center"/>
            <w:tcMar>
              <w:top w:w="70" w:type="dxa"/>
              <w:start w:w="80" w:type="dxa"/>
              <w:bottom w:w="70" w:type="dxa"/>
              <w:end w:w="80" w:type="dxa"/>
            </w:tcMar>
          </w:tcPr>
          <w:p>
            <w:r>
              <w:rPr>
                <w:rFonts w:ascii="Aptos" w:hAnsi="Aptos"/>
              </w:rPr>
              <w:t>Select exactly one Office, one or more Audit Areas, and applicable Audit Focuses; document objectives, coverage, boundaries, exclusions, limitations, and authorized source differences.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SCR-213</w:t>
            </w:r>
          </w:p>
        </w:tc>
        <w:tc>
          <w:tcPr>
            <w:tcW w:type="dxa" w:w="2505"/>
            <w:vAlign w:val="center"/>
            <w:tcMar>
              <w:top w:w="70" w:type="dxa"/>
              <w:start w:w="80" w:type="dxa"/>
              <w:bottom w:w="70" w:type="dxa"/>
              <w:end w:w="80" w:type="dxa"/>
            </w:tcMar>
          </w:tcPr>
          <w:p>
            <w:r>
              <w:rPr>
                <w:rFonts w:ascii="Aptos" w:hAnsi="Aptos"/>
              </w:rPr>
              <w:t>Assign Audit Team</w:t>
            </w:r>
          </w:p>
        </w:tc>
        <w:tc>
          <w:tcPr>
            <w:tcW w:type="dxa" w:w="1843"/>
            <w:vAlign w:val="center"/>
            <w:tcMar>
              <w:top w:w="70" w:type="dxa"/>
              <w:start w:w="80" w:type="dxa"/>
              <w:bottom w:w="70" w:type="dxa"/>
              <w:end w:w="80" w:type="dxa"/>
            </w:tcMar>
          </w:tcPr>
          <w:p>
            <w:r>
              <w:rPr>
                <w:rFonts w:ascii="Aptos" w:hAnsi="Aptos"/>
              </w:rPr>
              <w:t>Transaction / Existing</w:t>
            </w:r>
          </w:p>
        </w:tc>
        <w:tc>
          <w:tcPr>
            <w:tcW w:type="dxa" w:w="4132"/>
            <w:vAlign w:val="center"/>
            <w:tcMar>
              <w:top w:w="70" w:type="dxa"/>
              <w:start w:w="80" w:type="dxa"/>
              <w:bottom w:w="70" w:type="dxa"/>
              <w:end w:w="80" w:type="dxa"/>
            </w:tcMar>
          </w:tcPr>
          <w:p>
            <w:r>
              <w:rPr>
                <w:rFonts w:ascii="Aptos" w:hAnsi="Aptos"/>
              </w:rPr>
              <w:t>Assign proposed roles and periods; assess competency, availability, workload, supervision, conflicts, objectivity, safeguards, authority, and readiness for AEO preparation.</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SCR-214</w:t>
            </w:r>
          </w:p>
        </w:tc>
        <w:tc>
          <w:tcPr>
            <w:tcW w:type="dxa" w:w="2505"/>
            <w:vAlign w:val="center"/>
            <w:tcMar>
              <w:top w:w="70" w:type="dxa"/>
              <w:start w:w="80" w:type="dxa"/>
              <w:bottom w:w="70" w:type="dxa"/>
              <w:end w:w="80" w:type="dxa"/>
            </w:tcMar>
          </w:tcPr>
          <w:p>
            <w:r>
              <w:rPr>
                <w:rFonts w:ascii="Aptos" w:hAnsi="Aptos"/>
              </w:rPr>
              <w:t>Prepare Audit Engagement Order</w:t>
            </w:r>
          </w:p>
        </w:tc>
        <w:tc>
          <w:tcPr>
            <w:tcW w:type="dxa" w:w="1843"/>
            <w:vAlign w:val="center"/>
            <w:tcMar>
              <w:top w:w="70" w:type="dxa"/>
              <w:start w:w="80" w:type="dxa"/>
              <w:bottom w:w="70" w:type="dxa"/>
              <w:end w:w="80" w:type="dxa"/>
            </w:tcMar>
          </w:tcPr>
          <w:p>
            <w:r>
              <w:rPr>
                <w:rFonts w:ascii="Aptos" w:hAnsi="Aptos"/>
              </w:rPr>
              <w:t>Controlled document / Existing</w:t>
            </w:r>
          </w:p>
        </w:tc>
        <w:tc>
          <w:tcPr>
            <w:tcW w:type="dxa" w:w="4132"/>
            <w:vAlign w:val="center"/>
            <w:tcMar>
              <w:top w:w="70" w:type="dxa"/>
              <w:start w:w="80" w:type="dxa"/>
              <w:bottom w:w="70" w:type="dxa"/>
              <w:end w:w="80" w:type="dxa"/>
            </w:tcMar>
          </w:tcPr>
          <w:p>
            <w:r>
              <w:rPr>
                <w:rFonts w:ascii="Aptos" w:hAnsi="Aptos"/>
              </w:rPr>
              <w:t>Generate from controlled baselines; review, approve, sign, issue, distribute, acknowledge, amend, supersede, cancel, void, and preserve the AEO.</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SCR-220</w:t>
            </w:r>
          </w:p>
        </w:tc>
        <w:tc>
          <w:tcPr>
            <w:tcW w:type="dxa" w:w="2505"/>
            <w:vAlign w:val="center"/>
            <w:tcMar>
              <w:top w:w="70" w:type="dxa"/>
              <w:start w:w="80" w:type="dxa"/>
              <w:bottom w:w="70" w:type="dxa"/>
              <w:end w:w="80" w:type="dxa"/>
            </w:tcMar>
          </w:tcPr>
          <w:p>
            <w:r>
              <w:rPr>
                <w:rFonts w:ascii="Aptos" w:hAnsi="Aptos"/>
              </w:rPr>
              <w:t>Audit Engagement Details</w:t>
            </w:r>
          </w:p>
        </w:tc>
        <w:tc>
          <w:tcPr>
            <w:tcW w:type="dxa" w:w="1843"/>
            <w:vAlign w:val="center"/>
            <w:tcMar>
              <w:top w:w="70" w:type="dxa"/>
              <w:start w:w="80" w:type="dxa"/>
              <w:bottom w:w="70" w:type="dxa"/>
              <w:end w:w="80" w:type="dxa"/>
            </w:tcMar>
          </w:tcPr>
          <w:p>
            <w:r>
              <w:rPr>
                <w:rFonts w:ascii="Aptos" w:hAnsi="Aptos"/>
              </w:rPr>
              <w:t>Details / workspace / Existing anchor — update for v0.5</w:t>
            </w:r>
          </w:p>
        </w:tc>
        <w:tc>
          <w:tcPr>
            <w:tcW w:type="dxa" w:w="4132"/>
            <w:vAlign w:val="center"/>
            <w:tcMar>
              <w:top w:w="70" w:type="dxa"/>
              <w:start w:w="80" w:type="dxa"/>
              <w:bottom w:w="70" w:type="dxa"/>
              <w:end w:w="80" w:type="dxa"/>
            </w:tcMar>
          </w:tcPr>
          <w:p>
            <w:r>
              <w:rPr>
                <w:rFonts w:ascii="Aptos" w:hAnsi="Aptos"/>
              </w:rPr>
              <w:t>Stable engagement record, context header, overview, lifecycle navigation, progress, current requirements, and related-record access.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SCR-221</w:t>
            </w:r>
          </w:p>
        </w:tc>
        <w:tc>
          <w:tcPr>
            <w:tcW w:type="dxa" w:w="2505"/>
            <w:vAlign w:val="center"/>
            <w:tcMar>
              <w:top w:w="70" w:type="dxa"/>
              <w:start w:w="80" w:type="dxa"/>
              <w:bottom w:w="70" w:type="dxa"/>
              <w:end w:w="80" w:type="dxa"/>
            </w:tcMar>
          </w:tcPr>
          <w:p>
            <w:r>
              <w:rPr>
                <w:rFonts w:ascii="Aptos" w:hAnsi="Aptos"/>
              </w:rPr>
              <w:t>Engagement Planning Workspace</w:t>
            </w:r>
          </w:p>
        </w:tc>
        <w:tc>
          <w:tcPr>
            <w:tcW w:type="dxa" w:w="1843"/>
            <w:vAlign w:val="center"/>
            <w:tcMar>
              <w:top w:w="70" w:type="dxa"/>
              <w:start w:w="80" w:type="dxa"/>
              <w:bottom w:w="70" w:type="dxa"/>
              <w:end w:w="80" w:type="dxa"/>
            </w:tcMar>
          </w:tcPr>
          <w:p>
            <w:r>
              <w:rPr>
                <w:rFonts w:ascii="Aptos" w:hAnsi="Aptos"/>
              </w:rPr>
              <w:t>Workspace / Planned</w:t>
            </w:r>
          </w:p>
        </w:tc>
        <w:tc>
          <w:tcPr>
            <w:tcW w:type="dxa" w:w="4132"/>
            <w:vAlign w:val="center"/>
            <w:tcMar>
              <w:top w:w="70" w:type="dxa"/>
              <w:start w:w="80" w:type="dxa"/>
              <w:bottom w:w="70" w:type="dxa"/>
              <w:end w:w="80" w:type="dxa"/>
            </w:tcMar>
          </w:tcPr>
          <w:p>
            <w:r>
              <w:rPr>
                <w:rFonts w:ascii="Aptos" w:hAnsi="Aptos"/>
              </w:rPr>
              <w:t>Coordinate preliminary survey, Process Flow Documentation, AEP and KPIs, Risk Matrix, Audit Programs, planning-package status, review, approval, communication, amendments, and readiness for Entry Conference and execution.</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SCR-222</w:t>
            </w:r>
          </w:p>
        </w:tc>
        <w:tc>
          <w:tcPr>
            <w:tcW w:type="dxa" w:w="2505"/>
            <w:vAlign w:val="center"/>
            <w:tcMar>
              <w:top w:w="70" w:type="dxa"/>
              <w:start w:w="80" w:type="dxa"/>
              <w:bottom w:w="70" w:type="dxa"/>
              <w:end w:w="80" w:type="dxa"/>
            </w:tcMar>
          </w:tcPr>
          <w:p>
            <w:r>
              <w:rPr>
                <w:rFonts w:ascii="Aptos" w:hAnsi="Aptos"/>
              </w:rPr>
              <w:t>Prepare Audit Engagement Plan</w:t>
            </w:r>
          </w:p>
        </w:tc>
        <w:tc>
          <w:tcPr>
            <w:tcW w:type="dxa" w:w="1843"/>
            <w:vAlign w:val="center"/>
            <w:tcMar>
              <w:top w:w="70" w:type="dxa"/>
              <w:start w:w="80" w:type="dxa"/>
              <w:bottom w:w="70" w:type="dxa"/>
              <w:end w:w="80" w:type="dxa"/>
            </w:tcMar>
          </w:tcPr>
          <w:p>
            <w:r>
              <w:rPr>
                <w:rFonts w:ascii="Aptos" w:hAnsi="Aptos"/>
              </w:rPr>
              <w:t>Controlled document / Planned</w:t>
            </w:r>
          </w:p>
        </w:tc>
        <w:tc>
          <w:tcPr>
            <w:tcW w:type="dxa" w:w="4132"/>
            <w:vAlign w:val="center"/>
            <w:tcMar>
              <w:top w:w="70" w:type="dxa"/>
              <w:start w:w="80" w:type="dxa"/>
              <w:bottom w:w="70" w:type="dxa"/>
              <w:end w:w="80" w:type="dxa"/>
            </w:tcMar>
          </w:tcPr>
          <w:p>
            <w:r>
              <w:rPr>
                <w:rFonts w:ascii="Aptos" w:hAnsi="Aptos"/>
              </w:rPr>
              <w:t>Prepare, review, approve, communicate, version, and amend the AEP and engagement KPIs.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SCR-223</w:t>
            </w:r>
          </w:p>
        </w:tc>
        <w:tc>
          <w:tcPr>
            <w:tcW w:type="dxa" w:w="2505"/>
            <w:vAlign w:val="center"/>
            <w:tcMar>
              <w:top w:w="70" w:type="dxa"/>
              <w:start w:w="80" w:type="dxa"/>
              <w:bottom w:w="70" w:type="dxa"/>
              <w:end w:w="80" w:type="dxa"/>
            </w:tcMar>
          </w:tcPr>
          <w:p>
            <w:r>
              <w:rPr>
                <w:rFonts w:ascii="Aptos" w:hAnsi="Aptos"/>
              </w:rPr>
              <w:t>Audit Program</w:t>
            </w:r>
          </w:p>
        </w:tc>
        <w:tc>
          <w:tcPr>
            <w:tcW w:type="dxa" w:w="1843"/>
            <w:vAlign w:val="center"/>
            <w:tcMar>
              <w:top w:w="70" w:type="dxa"/>
              <w:start w:w="80" w:type="dxa"/>
              <w:bottom w:w="70" w:type="dxa"/>
              <w:end w:w="80" w:type="dxa"/>
            </w:tcMar>
          </w:tcPr>
          <w:p>
            <w:r>
              <w:rPr>
                <w:rFonts w:ascii="Aptos" w:hAnsi="Aptos"/>
              </w:rPr>
              <w:t>Workspace / controlled document / Planned</w:t>
            </w:r>
          </w:p>
        </w:tc>
        <w:tc>
          <w:tcPr>
            <w:tcW w:type="dxa" w:w="4132"/>
            <w:vAlign w:val="center"/>
            <w:tcMar>
              <w:top w:w="70" w:type="dxa"/>
              <w:start w:w="80" w:type="dxa"/>
              <w:bottom w:w="70" w:type="dxa"/>
              <w:end w:w="80" w:type="dxa"/>
            </w:tcMar>
          </w:tcPr>
          <w:p>
            <w:r>
              <w:rPr>
                <w:rFonts w:ascii="Aptos" w:hAnsi="Aptos"/>
              </w:rPr>
              <w:t>Manage Audit Programs by applicable Audit Area; maintain Audit Information, linked Risk Matrix items and risk statements, Audit Objectives, Audit Criteria, detailed Audit Procedures, persons responsible, planned man-days, Working Paper references, and Review and Approval.</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SCR-224</w:t>
            </w:r>
          </w:p>
        </w:tc>
        <w:tc>
          <w:tcPr>
            <w:tcW w:type="dxa" w:w="2505"/>
            <w:vAlign w:val="center"/>
            <w:tcMar>
              <w:top w:w="70" w:type="dxa"/>
              <w:start w:w="80" w:type="dxa"/>
              <w:bottom w:w="70" w:type="dxa"/>
              <w:end w:w="80" w:type="dxa"/>
            </w:tcMar>
          </w:tcPr>
          <w:p>
            <w:r>
              <w:rPr>
                <w:rFonts w:ascii="Aptos" w:hAnsi="Aptos"/>
              </w:rPr>
              <w:t>Audit Procedure Details</w:t>
            </w:r>
          </w:p>
        </w:tc>
        <w:tc>
          <w:tcPr>
            <w:tcW w:type="dxa" w:w="1843"/>
            <w:vAlign w:val="center"/>
            <w:tcMar>
              <w:top w:w="70" w:type="dxa"/>
              <w:start w:w="80" w:type="dxa"/>
              <w:bottom w:w="70" w:type="dxa"/>
              <w:end w:w="80" w:type="dxa"/>
            </w:tcMar>
          </w:tcPr>
          <w:p>
            <w:r>
              <w:rPr>
                <w:rFonts w:ascii="Aptos" w:hAnsi="Aptos"/>
              </w:rPr>
              <w:t>Details / transaction / Planned</w:t>
            </w:r>
          </w:p>
        </w:tc>
        <w:tc>
          <w:tcPr>
            <w:tcW w:type="dxa" w:w="4132"/>
            <w:vAlign w:val="center"/>
            <w:tcMar>
              <w:top w:w="70" w:type="dxa"/>
              <w:start w:w="80" w:type="dxa"/>
              <w:bottom w:w="70" w:type="dxa"/>
              <w:end w:w="80" w:type="dxa"/>
            </w:tcMar>
          </w:tcPr>
          <w:p>
            <w:r>
              <w:rPr>
                <w:rFonts w:ascii="Aptos" w:hAnsi="Aptos"/>
              </w:rPr>
              <w:t>Add, assign, perform, document, conclude, review, and amend one Audit Procedure while preserving its Process, source Risk Matrix Item, audit method, expected evidence, responsible person, planned man-days, Working Paper reference, results, and conclusion.</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SCR-225</w:t>
            </w:r>
          </w:p>
        </w:tc>
        <w:tc>
          <w:tcPr>
            <w:tcW w:type="dxa" w:w="2505"/>
            <w:vAlign w:val="center"/>
            <w:tcMar>
              <w:top w:w="70" w:type="dxa"/>
              <w:start w:w="80" w:type="dxa"/>
              <w:bottom w:w="70" w:type="dxa"/>
              <w:end w:w="80" w:type="dxa"/>
            </w:tcMar>
          </w:tcPr>
          <w:p>
            <w:r>
              <w:rPr>
                <w:rFonts w:ascii="Aptos" w:hAnsi="Aptos"/>
              </w:rPr>
              <w:t>Conference Management</w:t>
            </w:r>
          </w:p>
        </w:tc>
        <w:tc>
          <w:tcPr>
            <w:tcW w:type="dxa" w:w="1843"/>
            <w:vAlign w:val="center"/>
            <w:tcMar>
              <w:top w:w="70" w:type="dxa"/>
              <w:start w:w="80" w:type="dxa"/>
              <w:bottom w:w="70" w:type="dxa"/>
              <w:end w:w="80" w:type="dxa"/>
            </w:tcMar>
          </w:tcPr>
          <w:p>
            <w:r>
              <w:rPr>
                <w:rFonts w:ascii="Aptos" w:hAnsi="Aptos"/>
              </w:rPr>
              <w:t>Workspace / transaction / Planned</w:t>
            </w:r>
          </w:p>
        </w:tc>
        <w:tc>
          <w:tcPr>
            <w:tcW w:type="dxa" w:w="4132"/>
            <w:vAlign w:val="center"/>
            <w:tcMar>
              <w:top w:w="70" w:type="dxa"/>
              <w:start w:w="80" w:type="dxa"/>
              <w:bottom w:w="70" w:type="dxa"/>
              <w:end w:w="80" w:type="dxa"/>
            </w:tcMar>
          </w:tcPr>
          <w:p>
            <w:r>
              <w:rPr>
                <w:rFonts w:ascii="Aptos" w:hAnsi="Aptos"/>
              </w:rPr>
              <w:t>Schedule and document Entry or Exit Conferences, briefing papers, agendas, participants, notes or minutes, requests, actions, and authorized waivers.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SCR-226</w:t>
            </w:r>
          </w:p>
        </w:tc>
        <w:tc>
          <w:tcPr>
            <w:tcW w:type="dxa" w:w="2505"/>
            <w:vAlign w:val="center"/>
            <w:tcMar>
              <w:top w:w="70" w:type="dxa"/>
              <w:start w:w="80" w:type="dxa"/>
              <w:bottom w:w="70" w:type="dxa"/>
              <w:end w:w="80" w:type="dxa"/>
            </w:tcMar>
          </w:tcPr>
          <w:p>
            <w:r>
              <w:rPr>
                <w:rFonts w:ascii="Aptos" w:hAnsi="Aptos"/>
              </w:rPr>
              <w:t>Audit Execution Workspace</w:t>
            </w:r>
          </w:p>
        </w:tc>
        <w:tc>
          <w:tcPr>
            <w:tcW w:type="dxa" w:w="1843"/>
            <w:vAlign w:val="center"/>
            <w:tcMar>
              <w:top w:w="70" w:type="dxa"/>
              <w:start w:w="80" w:type="dxa"/>
              <w:bottom w:w="70" w:type="dxa"/>
              <w:end w:w="80" w:type="dxa"/>
            </w:tcMar>
          </w:tcPr>
          <w:p>
            <w:r>
              <w:rPr>
                <w:rFonts w:ascii="Aptos" w:hAnsi="Aptos"/>
              </w:rPr>
              <w:t>Workspace / Planned</w:t>
            </w:r>
          </w:p>
        </w:tc>
        <w:tc>
          <w:tcPr>
            <w:tcW w:type="dxa" w:w="4132"/>
            <w:vAlign w:val="center"/>
            <w:tcMar>
              <w:top w:w="70" w:type="dxa"/>
              <w:start w:w="80" w:type="dxa"/>
              <w:bottom w:w="70" w:type="dxa"/>
              <w:end w:w="80" w:type="dxa"/>
            </w:tcMar>
          </w:tcPr>
          <w:p>
            <w:r>
              <w:rPr>
                <w:rFonts w:ascii="Aptos" w:hAnsi="Aptos"/>
              </w:rPr>
              <w:t>Manage fieldwork, procedures, tasks, evidence, Review Notes, progress assessment, approved changes, urgent matters, and execution blockers.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SCR-227</w:t>
            </w:r>
          </w:p>
        </w:tc>
        <w:tc>
          <w:tcPr>
            <w:tcW w:type="dxa" w:w="2505"/>
            <w:vAlign w:val="center"/>
            <w:tcMar>
              <w:top w:w="70" w:type="dxa"/>
              <w:start w:w="80" w:type="dxa"/>
              <w:bottom w:w="70" w:type="dxa"/>
              <w:end w:w="80" w:type="dxa"/>
            </w:tcMar>
          </w:tcPr>
          <w:p>
            <w:r>
              <w:rPr>
                <w:rFonts w:ascii="Aptos" w:hAnsi="Aptos"/>
              </w:rPr>
              <w:t>Fieldwork Record</w:t>
            </w:r>
          </w:p>
        </w:tc>
        <w:tc>
          <w:tcPr>
            <w:tcW w:type="dxa" w:w="1843"/>
            <w:vAlign w:val="center"/>
            <w:tcMar>
              <w:top w:w="70" w:type="dxa"/>
              <w:start w:w="80" w:type="dxa"/>
              <w:bottom w:w="70" w:type="dxa"/>
              <w:end w:w="80" w:type="dxa"/>
            </w:tcMar>
          </w:tcPr>
          <w:p>
            <w:r>
              <w:rPr>
                <w:rFonts w:ascii="Aptos" w:hAnsi="Aptos"/>
              </w:rPr>
              <w:t>Details / transaction / Planned</w:t>
            </w:r>
          </w:p>
        </w:tc>
        <w:tc>
          <w:tcPr>
            <w:tcW w:type="dxa" w:w="4132"/>
            <w:vAlign w:val="center"/>
            <w:tcMar>
              <w:top w:w="70" w:type="dxa"/>
              <w:start w:w="80" w:type="dxa"/>
              <w:bottom w:w="70" w:type="dxa"/>
              <w:end w:w="80" w:type="dxa"/>
            </w:tcMar>
          </w:tcPr>
          <w:p>
            <w:r>
              <w:rPr>
                <w:rFonts w:ascii="Aptos" w:hAnsi="Aptos"/>
              </w:rPr>
              <w:t>Create and preserve interviews, inquiries, observations, walkthroughs, inspections, meetings, field notes, and related source links.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SCR-228</w:t>
            </w:r>
          </w:p>
        </w:tc>
        <w:tc>
          <w:tcPr>
            <w:tcW w:type="dxa" w:w="2505"/>
            <w:vAlign w:val="center"/>
            <w:tcMar>
              <w:top w:w="70" w:type="dxa"/>
              <w:start w:w="80" w:type="dxa"/>
              <w:bottom w:w="70" w:type="dxa"/>
              <w:end w:w="80" w:type="dxa"/>
            </w:tcMar>
          </w:tcPr>
          <w:p>
            <w:r>
              <w:rPr>
                <w:rFonts w:ascii="Aptos" w:hAnsi="Aptos"/>
              </w:rPr>
              <w:t>Working Papers Workspace</w:t>
            </w:r>
          </w:p>
        </w:tc>
        <w:tc>
          <w:tcPr>
            <w:tcW w:type="dxa" w:w="1843"/>
            <w:vAlign w:val="center"/>
            <w:tcMar>
              <w:top w:w="70" w:type="dxa"/>
              <w:start w:w="80" w:type="dxa"/>
              <w:bottom w:w="70" w:type="dxa"/>
              <w:end w:w="80" w:type="dxa"/>
            </w:tcMar>
          </w:tcPr>
          <w:p>
            <w:r>
              <w:rPr>
                <w:rFonts w:ascii="Aptos" w:hAnsi="Aptos"/>
              </w:rPr>
              <w:t>Workspace / details / Planned</w:t>
            </w:r>
          </w:p>
        </w:tc>
        <w:tc>
          <w:tcPr>
            <w:tcW w:type="dxa" w:w="4132"/>
            <w:vAlign w:val="center"/>
            <w:tcMar>
              <w:top w:w="70" w:type="dxa"/>
              <w:start w:w="80" w:type="dxa"/>
              <w:bottom w:w="70" w:type="dxa"/>
              <w:end w:w="80" w:type="dxa"/>
            </w:tcMar>
          </w:tcPr>
          <w:p>
            <w:r>
              <w:rPr>
                <w:rFonts w:ascii="Aptos" w:hAnsi="Aptos"/>
              </w:rPr>
              <w:t>Create, index, cross-reference, prepare, review, version, complete, and clear Working Papers.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SCR-229</w:t>
            </w:r>
          </w:p>
        </w:tc>
        <w:tc>
          <w:tcPr>
            <w:tcW w:type="dxa" w:w="2505"/>
            <w:vAlign w:val="center"/>
            <w:tcMar>
              <w:top w:w="70" w:type="dxa"/>
              <w:start w:w="80" w:type="dxa"/>
              <w:bottom w:w="70" w:type="dxa"/>
              <w:end w:w="80" w:type="dxa"/>
            </w:tcMar>
          </w:tcPr>
          <w:p>
            <w:r>
              <w:rPr>
                <w:rFonts w:ascii="Aptos" w:hAnsi="Aptos"/>
              </w:rPr>
              <w:t>Audit Evidence Management</w:t>
            </w:r>
          </w:p>
        </w:tc>
        <w:tc>
          <w:tcPr>
            <w:tcW w:type="dxa" w:w="1843"/>
            <w:vAlign w:val="center"/>
            <w:tcMar>
              <w:top w:w="70" w:type="dxa"/>
              <w:start w:w="80" w:type="dxa"/>
              <w:bottom w:w="70" w:type="dxa"/>
              <w:end w:w="80" w:type="dxa"/>
            </w:tcMar>
          </w:tcPr>
          <w:p>
            <w:r>
              <w:rPr>
                <w:rFonts w:ascii="Aptos" w:hAnsi="Aptos"/>
              </w:rPr>
              <w:t>Workspace / transaction / Planned</w:t>
            </w:r>
          </w:p>
        </w:tc>
        <w:tc>
          <w:tcPr>
            <w:tcW w:type="dxa" w:w="4132"/>
            <w:vAlign w:val="center"/>
            <w:tcMar>
              <w:top w:w="70" w:type="dxa"/>
              <w:start w:w="80" w:type="dxa"/>
              <w:bottom w:w="70" w:type="dxa"/>
              <w:end w:w="80" w:type="dxa"/>
            </w:tcMar>
          </w:tcPr>
          <w:p>
            <w:r>
              <w:rPr>
                <w:rFonts w:ascii="Aptos" w:hAnsi="Aptos"/>
              </w:rPr>
              <w:t>Manage Evidence Requests and authoritative Audit Evidence Records through need identification, issue, acknowledgment, submission, receipt, registration, classification, assessment, gaps, restrictions, preservation, linking, and issue initiation.</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SCR-230</w:t>
            </w:r>
          </w:p>
        </w:tc>
        <w:tc>
          <w:tcPr>
            <w:tcW w:type="dxa" w:w="2505"/>
            <w:vAlign w:val="center"/>
            <w:tcMar>
              <w:top w:w="70" w:type="dxa"/>
              <w:start w:w="80" w:type="dxa"/>
              <w:bottom w:w="70" w:type="dxa"/>
              <w:end w:w="80" w:type="dxa"/>
            </w:tcMar>
          </w:tcPr>
          <w:p>
            <w:r>
              <w:rPr>
                <w:rFonts w:ascii="Aptos" w:hAnsi="Aptos"/>
              </w:rPr>
              <w:t>Audit Issues Workspace</w:t>
            </w:r>
          </w:p>
        </w:tc>
        <w:tc>
          <w:tcPr>
            <w:tcW w:type="dxa" w:w="1843"/>
            <w:vAlign w:val="center"/>
            <w:tcMar>
              <w:top w:w="70" w:type="dxa"/>
              <w:start w:w="80" w:type="dxa"/>
              <w:bottom w:w="70" w:type="dxa"/>
              <w:end w:w="80" w:type="dxa"/>
            </w:tcMar>
          </w:tcPr>
          <w:p>
            <w:r>
              <w:rPr>
                <w:rFonts w:ascii="Aptos" w:hAnsi="Aptos"/>
              </w:rPr>
              <w:t>Workspace / Existing anchor</w:t>
            </w:r>
          </w:p>
        </w:tc>
        <w:tc>
          <w:tcPr>
            <w:tcW w:type="dxa" w:w="4132"/>
            <w:vAlign w:val="center"/>
            <w:tcMar>
              <w:top w:w="70" w:type="dxa"/>
              <w:start w:w="80" w:type="dxa"/>
              <w:bottom w:w="70" w:type="dxa"/>
              <w:end w:w="80" w:type="dxa"/>
            </w:tcMar>
          </w:tcPr>
          <w:p>
            <w:r>
              <w:rPr>
                <w:rFonts w:ascii="Aptos" w:hAnsi="Aptos"/>
              </w:rPr>
              <w:t>Identify, prioritize, monitor, review, dispose of, and initiate creation of preliminary Audit Issues.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SCR-231</w:t>
            </w:r>
          </w:p>
        </w:tc>
        <w:tc>
          <w:tcPr>
            <w:tcW w:type="dxa" w:w="2505"/>
            <w:vAlign w:val="center"/>
            <w:tcMar>
              <w:top w:w="70" w:type="dxa"/>
              <w:start w:w="80" w:type="dxa"/>
              <w:bottom w:w="70" w:type="dxa"/>
              <w:end w:w="80" w:type="dxa"/>
            </w:tcMar>
          </w:tcPr>
          <w:p>
            <w:r>
              <w:rPr>
                <w:rFonts w:ascii="Aptos" w:hAnsi="Aptos"/>
              </w:rPr>
              <w:t>Create Audit Issue</w:t>
            </w:r>
          </w:p>
        </w:tc>
        <w:tc>
          <w:tcPr>
            <w:tcW w:type="dxa" w:w="1843"/>
            <w:vAlign w:val="center"/>
            <w:tcMar>
              <w:top w:w="70" w:type="dxa"/>
              <w:start w:w="80" w:type="dxa"/>
              <w:bottom w:w="70" w:type="dxa"/>
              <w:end w:w="80" w:type="dxa"/>
            </w:tcMar>
          </w:tcPr>
          <w:p>
            <w:r>
              <w:rPr>
                <w:rFonts w:ascii="Aptos" w:hAnsi="Aptos"/>
              </w:rPr>
              <w:t>Transaction / Planned</w:t>
            </w:r>
          </w:p>
        </w:tc>
        <w:tc>
          <w:tcPr>
            <w:tcW w:type="dxa" w:w="4132"/>
            <w:vAlign w:val="center"/>
            <w:tcMar>
              <w:top w:w="70" w:type="dxa"/>
              <w:start w:w="80" w:type="dxa"/>
              <w:bottom w:w="70" w:type="dxa"/>
              <w:end w:w="80" w:type="dxa"/>
            </w:tcMar>
          </w:tcPr>
          <w:p>
            <w:r>
              <w:rPr>
                <w:rFonts w:ascii="Aptos" w:hAnsi="Aptos"/>
              </w:rPr>
              <w:t>Create a preliminary Audit Issue from execution, a procedure, Fieldwork Record, Working Paper, Audit Evidence, or the Issues Workspace.</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SCR-232</w:t>
            </w:r>
          </w:p>
        </w:tc>
        <w:tc>
          <w:tcPr>
            <w:tcW w:type="dxa" w:w="2505"/>
            <w:vAlign w:val="center"/>
            <w:tcMar>
              <w:top w:w="70" w:type="dxa"/>
              <w:start w:w="80" w:type="dxa"/>
              <w:bottom w:w="70" w:type="dxa"/>
              <w:end w:w="80" w:type="dxa"/>
            </w:tcMar>
          </w:tcPr>
          <w:p>
            <w:r>
              <w:rPr>
                <w:rFonts w:ascii="Aptos" w:hAnsi="Aptos"/>
              </w:rPr>
              <w:t>Audit Issue Details</w:t>
            </w:r>
          </w:p>
        </w:tc>
        <w:tc>
          <w:tcPr>
            <w:tcW w:type="dxa" w:w="1843"/>
            <w:vAlign w:val="center"/>
            <w:tcMar>
              <w:top w:w="70" w:type="dxa"/>
              <w:start w:w="80" w:type="dxa"/>
              <w:bottom w:w="70" w:type="dxa"/>
              <w:end w:w="80" w:type="dxa"/>
            </w:tcMar>
          </w:tcPr>
          <w:p>
            <w:r>
              <w:rPr>
                <w:rFonts w:ascii="Aptos" w:hAnsi="Aptos"/>
              </w:rPr>
              <w:t>Details / Planned</w:t>
            </w:r>
          </w:p>
        </w:tc>
        <w:tc>
          <w:tcPr>
            <w:tcW w:type="dxa" w:w="4132"/>
            <w:vAlign w:val="center"/>
            <w:tcMar>
              <w:top w:w="70" w:type="dxa"/>
              <w:start w:w="80" w:type="dxa"/>
              <w:bottom w:w="70" w:type="dxa"/>
              <w:end w:w="80" w:type="dxa"/>
            </w:tcMar>
          </w:tcPr>
          <w:p>
            <w:r>
              <w:rPr>
                <w:rFonts w:ascii="Aptos" w:hAnsi="Aptos"/>
              </w:rPr>
              <w:t>Analyze, assign, review, link, merge, resolve, retain, refer, close, or convert one Audit Issue to an AFR.</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SCR-240</w:t>
            </w:r>
          </w:p>
        </w:tc>
        <w:tc>
          <w:tcPr>
            <w:tcW w:type="dxa" w:w="2505"/>
            <w:vAlign w:val="center"/>
            <w:tcMar>
              <w:top w:w="70" w:type="dxa"/>
              <w:start w:w="80" w:type="dxa"/>
              <w:bottom w:w="70" w:type="dxa"/>
              <w:end w:w="80" w:type="dxa"/>
            </w:tcMar>
          </w:tcPr>
          <w:p>
            <w:r>
              <w:rPr>
                <w:rFonts w:ascii="Aptos" w:hAnsi="Aptos"/>
              </w:rPr>
              <w:t>Audit Finding and Recommendation Details</w:t>
            </w:r>
          </w:p>
        </w:tc>
        <w:tc>
          <w:tcPr>
            <w:tcW w:type="dxa" w:w="1843"/>
            <w:vAlign w:val="center"/>
            <w:tcMar>
              <w:top w:w="70" w:type="dxa"/>
              <w:start w:w="80" w:type="dxa"/>
              <w:bottom w:w="70" w:type="dxa"/>
              <w:end w:w="80" w:type="dxa"/>
            </w:tcMar>
          </w:tcPr>
          <w:p>
            <w:r>
              <w:rPr>
                <w:rFonts w:ascii="Aptos" w:hAnsi="Aptos"/>
              </w:rPr>
              <w:t>Details / controlled record / Existing anchor</w:t>
            </w:r>
          </w:p>
        </w:tc>
        <w:tc>
          <w:tcPr>
            <w:tcW w:type="dxa" w:w="4132"/>
            <w:vAlign w:val="center"/>
            <w:tcMar>
              <w:top w:w="70" w:type="dxa"/>
              <w:start w:w="80" w:type="dxa"/>
              <w:bottom w:w="70" w:type="dxa"/>
              <w:end w:w="80" w:type="dxa"/>
            </w:tcMar>
          </w:tcPr>
          <w:p>
            <w:r>
              <w:rPr>
                <w:rFonts w:ascii="Aptos" w:hAnsi="Aptos"/>
              </w:rPr>
              <w:t>Develop and control one AFR using Criteria, Condition, Conclusion, Cause, Significance / Effect / Risk, recommendation, evidence, review, issuance, response, and report inclusion.</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SCR-241</w:t>
            </w:r>
          </w:p>
        </w:tc>
        <w:tc>
          <w:tcPr>
            <w:tcW w:type="dxa" w:w="2505"/>
            <w:vAlign w:val="center"/>
            <w:tcMar>
              <w:top w:w="70" w:type="dxa"/>
              <w:start w:w="80" w:type="dxa"/>
              <w:bottom w:w="70" w:type="dxa"/>
              <w:end w:w="80" w:type="dxa"/>
            </w:tcMar>
          </w:tcPr>
          <w:p>
            <w:r>
              <w:rPr>
                <w:rFonts w:ascii="Aptos" w:hAnsi="Aptos"/>
              </w:rPr>
              <w:t>Management Comment Workspace</w:t>
            </w:r>
          </w:p>
        </w:tc>
        <w:tc>
          <w:tcPr>
            <w:tcW w:type="dxa" w:w="1843"/>
            <w:vAlign w:val="center"/>
            <w:tcMar>
              <w:top w:w="70" w:type="dxa"/>
              <w:start w:w="80" w:type="dxa"/>
              <w:bottom w:w="70" w:type="dxa"/>
              <w:end w:w="80" w:type="dxa"/>
            </w:tcMar>
          </w:tcPr>
          <w:p>
            <w:r>
              <w:rPr>
                <w:rFonts w:ascii="Aptos" w:hAnsi="Aptos"/>
              </w:rPr>
              <w:t>Workspace / Planned</w:t>
            </w:r>
          </w:p>
        </w:tc>
        <w:tc>
          <w:tcPr>
            <w:tcW w:type="dxa" w:w="4132"/>
            <w:vAlign w:val="center"/>
            <w:tcMar>
              <w:top w:w="70" w:type="dxa"/>
              <w:start w:w="80" w:type="dxa"/>
              <w:bottom w:w="70" w:type="dxa"/>
              <w:end w:w="80" w:type="dxa"/>
            </w:tcMar>
          </w:tcPr>
          <w:p>
            <w:r>
              <w:rPr>
                <w:rFonts w:ascii="Aptos" w:hAnsi="Aptos"/>
              </w:rPr>
              <w:t>Monitor issued AFRs, response due dates, Management Comment submissions, Auditor’s Rejoinders, extensions, late or no-response cases, and exceptions.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SCR-242</w:t>
            </w:r>
          </w:p>
        </w:tc>
        <w:tc>
          <w:tcPr>
            <w:tcW w:type="dxa" w:w="2505"/>
            <w:vAlign w:val="center"/>
            <w:tcMar>
              <w:top w:w="70" w:type="dxa"/>
              <w:start w:w="80" w:type="dxa"/>
              <w:bottom w:w="70" w:type="dxa"/>
              <w:end w:w="80" w:type="dxa"/>
            </w:tcMar>
          </w:tcPr>
          <w:p>
            <w:r>
              <w:rPr>
                <w:rFonts w:ascii="Aptos" w:hAnsi="Aptos"/>
              </w:rPr>
              <w:t>Submit Management Comment</w:t>
            </w:r>
          </w:p>
        </w:tc>
        <w:tc>
          <w:tcPr>
            <w:tcW w:type="dxa" w:w="1843"/>
            <w:vAlign w:val="center"/>
            <w:tcMar>
              <w:top w:w="70" w:type="dxa"/>
              <w:start w:w="80" w:type="dxa"/>
              <w:bottom w:w="70" w:type="dxa"/>
              <w:end w:w="80" w:type="dxa"/>
            </w:tcMar>
          </w:tcPr>
          <w:p>
            <w:r>
              <w:rPr>
                <w:rFonts w:ascii="Aptos" w:hAnsi="Aptos"/>
              </w:rPr>
              <w:t>Transaction / details / Planned</w:t>
            </w:r>
          </w:p>
        </w:tc>
        <w:tc>
          <w:tcPr>
            <w:tcW w:type="dxa" w:w="4132"/>
            <w:vAlign w:val="center"/>
            <w:tcMar>
              <w:top w:w="70" w:type="dxa"/>
              <w:start w:w="80" w:type="dxa"/>
              <w:bottom w:w="70" w:type="dxa"/>
              <w:end w:w="80" w:type="dxa"/>
            </w:tcMar>
          </w:tcPr>
          <w:p>
            <w:r>
              <w:rPr>
                <w:rFonts w:ascii="Aptos" w:hAnsi="Aptos"/>
              </w:rPr>
              <w:t>Receive, submit, preserve, revise where authorized, and review the formal Management Comment, supporting documents, and optional intended corrective action stated within the comment.</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SCR-243</w:t>
            </w:r>
          </w:p>
        </w:tc>
        <w:tc>
          <w:tcPr>
            <w:tcW w:type="dxa" w:w="2505"/>
            <w:vAlign w:val="center"/>
            <w:tcMar>
              <w:top w:w="70" w:type="dxa"/>
              <w:start w:w="80" w:type="dxa"/>
              <w:bottom w:w="70" w:type="dxa"/>
              <w:end w:w="80" w:type="dxa"/>
            </w:tcMar>
          </w:tcPr>
          <w:p>
            <w:r>
              <w:rPr>
                <w:rFonts w:ascii="Aptos" w:hAnsi="Aptos"/>
              </w:rPr>
              <w:t>Reserved</w:t>
            </w:r>
          </w:p>
        </w:tc>
        <w:tc>
          <w:tcPr>
            <w:tcW w:type="dxa" w:w="1843"/>
            <w:vAlign w:val="center"/>
            <w:tcMar>
              <w:top w:w="70" w:type="dxa"/>
              <w:start w:w="80" w:type="dxa"/>
              <w:bottom w:w="70" w:type="dxa"/>
              <w:end w:w="80" w:type="dxa"/>
            </w:tcMar>
          </w:tcPr>
          <w:p>
            <w:r>
              <w:rPr>
                <w:rFonts w:ascii="Aptos" w:hAnsi="Aptos"/>
              </w:rPr>
              <w:t>Reserved</w:t>
            </w:r>
          </w:p>
        </w:tc>
        <w:tc>
          <w:tcPr>
            <w:tcW w:type="dxa" w:w="4132"/>
            <w:vAlign w:val="center"/>
            <w:tcMar>
              <w:top w:w="70" w:type="dxa"/>
              <w:start w:w="80" w:type="dxa"/>
              <w:bottom w:w="70" w:type="dxa"/>
              <w:end w:w="80" w:type="dxa"/>
            </w:tcMar>
          </w:tcPr>
          <w:p>
            <w:r>
              <w:rPr>
                <w:rFonts w:ascii="Aptos" w:hAnsi="Aptos"/>
              </w:rPr>
              <w:t>Reserved for a future justified AEM screen. Formal Action Plan and implementation-status functions belong to CMS and shall not use this AEM Screen ID.</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SCR-244</w:t>
            </w:r>
          </w:p>
        </w:tc>
        <w:tc>
          <w:tcPr>
            <w:tcW w:type="dxa" w:w="2505"/>
            <w:vAlign w:val="center"/>
            <w:tcMar>
              <w:top w:w="70" w:type="dxa"/>
              <w:start w:w="80" w:type="dxa"/>
              <w:bottom w:w="70" w:type="dxa"/>
              <w:end w:w="80" w:type="dxa"/>
            </w:tcMar>
          </w:tcPr>
          <w:p>
            <w:r>
              <w:rPr>
                <w:rFonts w:ascii="Aptos" w:hAnsi="Aptos"/>
              </w:rPr>
              <w:t>Prepare Auditor’s Rejoinder</w:t>
            </w:r>
          </w:p>
        </w:tc>
        <w:tc>
          <w:tcPr>
            <w:tcW w:type="dxa" w:w="1843"/>
            <w:vAlign w:val="center"/>
            <w:tcMar>
              <w:top w:w="70" w:type="dxa"/>
              <w:start w:w="80" w:type="dxa"/>
              <w:bottom w:w="70" w:type="dxa"/>
              <w:end w:w="80" w:type="dxa"/>
            </w:tcMar>
          </w:tcPr>
          <w:p>
            <w:r>
              <w:rPr>
                <w:rFonts w:ascii="Aptos" w:hAnsi="Aptos"/>
              </w:rPr>
              <w:t>Controlled response / Planned</w:t>
            </w:r>
          </w:p>
        </w:tc>
        <w:tc>
          <w:tcPr>
            <w:tcW w:type="dxa" w:w="4132"/>
            <w:vAlign w:val="center"/>
            <w:tcMar>
              <w:top w:w="70" w:type="dxa"/>
              <w:start w:w="80" w:type="dxa"/>
              <w:bottom w:w="70" w:type="dxa"/>
              <w:end w:w="80" w:type="dxa"/>
            </w:tcMar>
          </w:tcPr>
          <w:p>
            <w:r>
              <w:rPr>
                <w:rFonts w:ascii="Aptos" w:hAnsi="Aptos"/>
              </w:rPr>
              <w:t>Evaluate the Management Comment and prepare, review, approve, and preserve the auditor’s response.</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SCR-250</w:t>
            </w:r>
          </w:p>
        </w:tc>
        <w:tc>
          <w:tcPr>
            <w:tcW w:type="dxa" w:w="2505"/>
            <w:vAlign w:val="center"/>
            <w:tcMar>
              <w:top w:w="70" w:type="dxa"/>
              <w:start w:w="80" w:type="dxa"/>
              <w:bottom w:w="70" w:type="dxa"/>
              <w:end w:w="80" w:type="dxa"/>
            </w:tcMar>
          </w:tcPr>
          <w:p>
            <w:r>
              <w:rPr>
                <w:rFonts w:ascii="Aptos" w:hAnsi="Aptos"/>
              </w:rPr>
              <w:t>Audit Reporting Workspace</w:t>
            </w:r>
          </w:p>
        </w:tc>
        <w:tc>
          <w:tcPr>
            <w:tcW w:type="dxa" w:w="1843"/>
            <w:vAlign w:val="center"/>
            <w:tcMar>
              <w:top w:w="70" w:type="dxa"/>
              <w:start w:w="80" w:type="dxa"/>
              <w:bottom w:w="70" w:type="dxa"/>
              <w:end w:w="80" w:type="dxa"/>
            </w:tcMar>
          </w:tcPr>
          <w:p>
            <w:r>
              <w:rPr>
                <w:rFonts w:ascii="Aptos" w:hAnsi="Aptos"/>
              </w:rPr>
              <w:t>Workspace / Planned</w:t>
            </w:r>
          </w:p>
        </w:tc>
        <w:tc>
          <w:tcPr>
            <w:tcW w:type="dxa" w:w="4132"/>
            <w:vAlign w:val="center"/>
            <w:tcMar>
              <w:top w:w="70" w:type="dxa"/>
              <w:start w:w="80" w:type="dxa"/>
              <w:bottom w:w="70" w:type="dxa"/>
              <w:end w:w="80" w:type="dxa"/>
            </w:tcMar>
          </w:tcPr>
          <w:p>
            <w:r>
              <w:rPr>
                <w:rFonts w:ascii="Aptos" w:hAnsi="Aptos"/>
              </w:rPr>
              <w:t>Manage Interim, Draft, and Final Audit Reports, report assembly, source traceability, quality review, approval, issuance, and distribution.</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SCR-251</w:t>
            </w:r>
          </w:p>
        </w:tc>
        <w:tc>
          <w:tcPr>
            <w:tcW w:type="dxa" w:w="2505"/>
            <w:vAlign w:val="center"/>
            <w:tcMar>
              <w:top w:w="70" w:type="dxa"/>
              <w:start w:w="80" w:type="dxa"/>
              <w:bottom w:w="70" w:type="dxa"/>
              <w:end w:w="80" w:type="dxa"/>
            </w:tcMar>
          </w:tcPr>
          <w:p>
            <w:r>
              <w:rPr>
                <w:rFonts w:ascii="Aptos" w:hAnsi="Aptos"/>
              </w:rPr>
              <w:t>Interim Audit Report</w:t>
            </w:r>
          </w:p>
        </w:tc>
        <w:tc>
          <w:tcPr>
            <w:tcW w:type="dxa" w:w="1843"/>
            <w:vAlign w:val="center"/>
            <w:tcMar>
              <w:top w:w="70" w:type="dxa"/>
              <w:start w:w="80" w:type="dxa"/>
              <w:bottom w:w="70" w:type="dxa"/>
              <w:end w:w="80" w:type="dxa"/>
            </w:tcMar>
          </w:tcPr>
          <w:p>
            <w:r>
              <w:rPr>
                <w:rFonts w:ascii="Aptos" w:hAnsi="Aptos"/>
              </w:rPr>
              <w:t>Controlled document / Planned</w:t>
            </w:r>
          </w:p>
        </w:tc>
        <w:tc>
          <w:tcPr>
            <w:tcW w:type="dxa" w:w="4132"/>
            <w:vAlign w:val="center"/>
            <w:tcMar>
              <w:top w:w="70" w:type="dxa"/>
              <w:start w:w="80" w:type="dxa"/>
              <w:bottom w:w="70" w:type="dxa"/>
              <w:end w:w="80" w:type="dxa"/>
            </w:tcMar>
          </w:tcPr>
          <w:p>
            <w:r>
              <w:rPr>
                <w:rFonts w:ascii="Aptos" w:hAnsi="Aptos"/>
              </w:rPr>
              <w:t>Prepare, review, approve, issue, acknowledge, and link significant or urgent matters requiring communication before the Final Audit Report.</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SCR-252</w:t>
            </w:r>
          </w:p>
        </w:tc>
        <w:tc>
          <w:tcPr>
            <w:tcW w:type="dxa" w:w="2505"/>
            <w:vAlign w:val="center"/>
            <w:tcMar>
              <w:top w:w="70" w:type="dxa"/>
              <w:start w:w="80" w:type="dxa"/>
              <w:bottom w:w="70" w:type="dxa"/>
              <w:end w:w="80" w:type="dxa"/>
            </w:tcMar>
          </w:tcPr>
          <w:p>
            <w:r>
              <w:rPr>
                <w:rFonts w:ascii="Aptos" w:hAnsi="Aptos"/>
              </w:rPr>
              <w:t>Draft Audit Report</w:t>
            </w:r>
          </w:p>
        </w:tc>
        <w:tc>
          <w:tcPr>
            <w:tcW w:type="dxa" w:w="1843"/>
            <w:vAlign w:val="center"/>
            <w:tcMar>
              <w:top w:w="70" w:type="dxa"/>
              <w:start w:w="80" w:type="dxa"/>
              <w:bottom w:w="70" w:type="dxa"/>
              <w:end w:w="80" w:type="dxa"/>
            </w:tcMar>
          </w:tcPr>
          <w:p>
            <w:r>
              <w:rPr>
                <w:rFonts w:ascii="Aptos" w:hAnsi="Aptos"/>
              </w:rPr>
              <w:t>Controlled document / Planned</w:t>
            </w:r>
          </w:p>
        </w:tc>
        <w:tc>
          <w:tcPr>
            <w:tcW w:type="dxa" w:w="4132"/>
            <w:vAlign w:val="center"/>
            <w:tcMar>
              <w:top w:w="70" w:type="dxa"/>
              <w:start w:w="80" w:type="dxa"/>
              <w:bottom w:w="70" w:type="dxa"/>
              <w:end w:w="80" w:type="dxa"/>
            </w:tcMar>
          </w:tcPr>
          <w:p>
            <w:r>
              <w:rPr>
                <w:rFonts w:ascii="Aptos" w:hAnsi="Aptos"/>
              </w:rPr>
              <w:t>Compile authorized report content, Management Comments, Auditor’s Rejoinders, recommendations, prior monitoring information where applicable, and resolve Review Notes.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SCR-253</w:t>
            </w:r>
          </w:p>
        </w:tc>
        <w:tc>
          <w:tcPr>
            <w:tcW w:type="dxa" w:w="2505"/>
            <w:vAlign w:val="center"/>
            <w:tcMar>
              <w:top w:w="70" w:type="dxa"/>
              <w:start w:w="80" w:type="dxa"/>
              <w:bottom w:w="70" w:type="dxa"/>
              <w:end w:w="80" w:type="dxa"/>
            </w:tcMar>
          </w:tcPr>
          <w:p>
            <w:r>
              <w:rPr>
                <w:rFonts w:ascii="Aptos" w:hAnsi="Aptos"/>
              </w:rPr>
              <w:t>Final Audit Report</w:t>
            </w:r>
          </w:p>
        </w:tc>
        <w:tc>
          <w:tcPr>
            <w:tcW w:type="dxa" w:w="1843"/>
            <w:vAlign w:val="center"/>
            <w:tcMar>
              <w:top w:w="70" w:type="dxa"/>
              <w:start w:w="80" w:type="dxa"/>
              <w:bottom w:w="70" w:type="dxa"/>
              <w:end w:w="80" w:type="dxa"/>
            </w:tcMar>
          </w:tcPr>
          <w:p>
            <w:r>
              <w:rPr>
                <w:rFonts w:ascii="Aptos" w:hAnsi="Aptos"/>
              </w:rPr>
              <w:t>Controlled document / Planned</w:t>
            </w:r>
          </w:p>
        </w:tc>
        <w:tc>
          <w:tcPr>
            <w:tcW w:type="dxa" w:w="4132"/>
            <w:vAlign w:val="center"/>
            <w:tcMar>
              <w:top w:w="70" w:type="dxa"/>
              <w:start w:w="80" w:type="dxa"/>
              <w:bottom w:w="70" w:type="dxa"/>
              <w:end w:w="80" w:type="dxa"/>
            </w:tcMar>
          </w:tcPr>
          <w:p>
            <w:r>
              <w:rPr>
                <w:rFonts w:ascii="Aptos" w:hAnsi="Aptos"/>
              </w:rPr>
              <w:t>Finalize, approve, issue, preserve, amend, withdraw, or supersede the authoritative Final Audit Report.</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SCR-254</w:t>
            </w:r>
          </w:p>
        </w:tc>
        <w:tc>
          <w:tcPr>
            <w:tcW w:type="dxa" w:w="2505"/>
            <w:vAlign w:val="center"/>
            <w:tcMar>
              <w:top w:w="70" w:type="dxa"/>
              <w:start w:w="80" w:type="dxa"/>
              <w:bottom w:w="70" w:type="dxa"/>
              <w:end w:w="80" w:type="dxa"/>
            </w:tcMar>
          </w:tcPr>
          <w:p>
            <w:r>
              <w:rPr>
                <w:rFonts w:ascii="Aptos" w:hAnsi="Aptos"/>
              </w:rPr>
              <w:t>Report Distribution</w:t>
            </w:r>
          </w:p>
        </w:tc>
        <w:tc>
          <w:tcPr>
            <w:tcW w:type="dxa" w:w="1843"/>
            <w:vAlign w:val="center"/>
            <w:tcMar>
              <w:top w:w="70" w:type="dxa"/>
              <w:start w:w="80" w:type="dxa"/>
              <w:bottom w:w="70" w:type="dxa"/>
              <w:end w:w="80" w:type="dxa"/>
            </w:tcMar>
          </w:tcPr>
          <w:p>
            <w:r>
              <w:rPr>
                <w:rFonts w:ascii="Aptos" w:hAnsi="Aptos"/>
              </w:rPr>
              <w:t>Transaction / register / Planned</w:t>
            </w:r>
          </w:p>
        </w:tc>
        <w:tc>
          <w:tcPr>
            <w:tcW w:type="dxa" w:w="4132"/>
            <w:vAlign w:val="center"/>
            <w:tcMar>
              <w:top w:w="70" w:type="dxa"/>
              <w:start w:w="80" w:type="dxa"/>
              <w:bottom w:w="70" w:type="dxa"/>
              <w:end w:w="80" w:type="dxa"/>
            </w:tcMar>
          </w:tcPr>
          <w:p>
            <w:r>
              <w:rPr>
                <w:rFonts w:ascii="Aptos" w:hAnsi="Aptos"/>
              </w:rPr>
              <w:t>Record the IAU Head recommendation, authorized LCE or Presiding Officer decision where applicable, approved recipients, delivery method, transmittal, acknowledgment, and status.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SCR-260</w:t>
            </w:r>
          </w:p>
        </w:tc>
        <w:tc>
          <w:tcPr>
            <w:tcW w:type="dxa" w:w="2505"/>
            <w:vAlign w:val="center"/>
            <w:tcMar>
              <w:top w:w="70" w:type="dxa"/>
              <w:start w:w="80" w:type="dxa"/>
              <w:bottom w:w="70" w:type="dxa"/>
              <w:end w:w="80" w:type="dxa"/>
            </w:tcMar>
          </w:tcPr>
          <w:p>
            <w:r>
              <w:rPr>
                <w:rFonts w:ascii="Aptos" w:hAnsi="Aptos"/>
              </w:rPr>
              <w:t>Engagement Completion and Closure</w:t>
            </w:r>
          </w:p>
        </w:tc>
        <w:tc>
          <w:tcPr>
            <w:tcW w:type="dxa" w:w="1843"/>
            <w:vAlign w:val="center"/>
            <w:tcMar>
              <w:top w:w="70" w:type="dxa"/>
              <w:start w:w="80" w:type="dxa"/>
              <w:bottom w:w="70" w:type="dxa"/>
              <w:end w:w="80" w:type="dxa"/>
            </w:tcMar>
          </w:tcPr>
          <w:p>
            <w:r>
              <w:rPr>
                <w:rFonts w:ascii="Aptos" w:hAnsi="Aptos"/>
              </w:rPr>
              <w:t>Workspace / Planned</w:t>
            </w:r>
          </w:p>
        </w:tc>
        <w:tc>
          <w:tcPr>
            <w:tcW w:type="dxa" w:w="4132"/>
            <w:vAlign w:val="center"/>
            <w:tcMar>
              <w:top w:w="70" w:type="dxa"/>
              <w:start w:w="80" w:type="dxa"/>
              <w:bottom w:w="70" w:type="dxa"/>
              <w:end w:w="80" w:type="dxa"/>
            </w:tcMar>
          </w:tcPr>
          <w:p>
            <w:r>
              <w:rPr>
                <w:rFonts w:ascii="Aptos" w:hAnsi="Aptos"/>
              </w:rPr>
              <w:t>Coordinate completion assessment, required outputs, CMS transfer, records, quality matters, time and effort, lessons learned, and closure readiness.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SCR-261</w:t>
            </w:r>
          </w:p>
        </w:tc>
        <w:tc>
          <w:tcPr>
            <w:tcW w:type="dxa" w:w="2505"/>
            <w:vAlign w:val="center"/>
            <w:tcMar>
              <w:top w:w="70" w:type="dxa"/>
              <w:start w:w="80" w:type="dxa"/>
              <w:bottom w:w="70" w:type="dxa"/>
              <w:end w:w="80" w:type="dxa"/>
            </w:tcMar>
          </w:tcPr>
          <w:p>
            <w:r>
              <w:rPr>
                <w:rFonts w:ascii="Aptos" w:hAnsi="Aptos"/>
              </w:rPr>
              <w:t>CMS Transfer and Reconciliation</w:t>
            </w:r>
          </w:p>
        </w:tc>
        <w:tc>
          <w:tcPr>
            <w:tcW w:type="dxa" w:w="1843"/>
            <w:vAlign w:val="center"/>
            <w:tcMar>
              <w:top w:w="70" w:type="dxa"/>
              <w:start w:w="80" w:type="dxa"/>
              <w:bottom w:w="70" w:type="dxa"/>
              <w:end w:w="80" w:type="dxa"/>
            </w:tcMar>
          </w:tcPr>
          <w:p>
            <w:r>
              <w:rPr>
                <w:rFonts w:ascii="Aptos" w:hAnsi="Aptos"/>
              </w:rPr>
              <w:t>Transaction / reconciliation / Planned</w:t>
            </w:r>
          </w:p>
        </w:tc>
        <w:tc>
          <w:tcPr>
            <w:tcW w:type="dxa" w:w="4132"/>
            <w:vAlign w:val="center"/>
            <w:tcMar>
              <w:top w:w="70" w:type="dxa"/>
              <w:start w:w="80" w:type="dxa"/>
              <w:bottom w:w="70" w:type="dxa"/>
              <w:end w:w="80" w:type="dxa"/>
            </w:tcMar>
          </w:tcPr>
          <w:p>
            <w:r>
              <w:rPr>
                <w:rFonts w:ascii="Aptos" w:hAnsi="Aptos"/>
              </w:rPr>
              <w:t>Transfer and reconcile formally issued Audit Recommendations and authoritative source references while preserving stable identifiers, returned CMS Monitoring IDs, and exceptions.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SCR-262</w:t>
            </w:r>
          </w:p>
        </w:tc>
        <w:tc>
          <w:tcPr>
            <w:tcW w:type="dxa" w:w="2505"/>
            <w:vAlign w:val="center"/>
            <w:tcMar>
              <w:top w:w="70" w:type="dxa"/>
              <w:start w:w="80" w:type="dxa"/>
              <w:bottom w:w="70" w:type="dxa"/>
              <w:end w:w="80" w:type="dxa"/>
            </w:tcMar>
          </w:tcPr>
          <w:p>
            <w:r>
              <w:rPr>
                <w:rFonts w:ascii="Aptos" w:hAnsi="Aptos"/>
              </w:rPr>
              <w:t>Completion Checklist and Assessment</w:t>
            </w:r>
          </w:p>
        </w:tc>
        <w:tc>
          <w:tcPr>
            <w:tcW w:type="dxa" w:w="1843"/>
            <w:vAlign w:val="center"/>
            <w:tcMar>
              <w:top w:w="70" w:type="dxa"/>
              <w:start w:w="80" w:type="dxa"/>
              <w:bottom w:w="70" w:type="dxa"/>
              <w:end w:w="80" w:type="dxa"/>
            </w:tcMar>
          </w:tcPr>
          <w:p>
            <w:r>
              <w:rPr>
                <w:rFonts w:ascii="Aptos" w:hAnsi="Aptos"/>
              </w:rPr>
              <w:t>Checklist / assessment / Planned</w:t>
            </w:r>
          </w:p>
        </w:tc>
        <w:tc>
          <w:tcPr>
            <w:tcW w:type="dxa" w:w="4132"/>
            <w:vAlign w:val="center"/>
            <w:tcMar>
              <w:top w:w="70" w:type="dxa"/>
              <w:start w:w="80" w:type="dxa"/>
              <w:bottom w:w="70" w:type="dxa"/>
              <w:end w:w="80" w:type="dxa"/>
            </w:tcMar>
          </w:tcPr>
          <w:p>
            <w:r>
              <w:rPr>
                <w:rFonts w:ascii="Aptos" w:hAnsi="Aptos"/>
              </w:rPr>
              <w:t>Document objectives, work, evidence, records, reports, transfer, time and effort, quality, exceptions, lessons learned, and approval checks.</w:t>
            </w:r>
          </w:p>
        </w:tc>
      </w:tr>
      <w:tr>
        <w:trPr>
          <w:cantSplit/>
        </w:trPr>
        <w:tc>
          <w:tcPr>
            <w:tcW w:type="dxa" w:w="1036"/>
            <w:vAlign w:val="center"/>
            <w:tcMar>
              <w:top w:w="70" w:type="dxa"/>
              <w:start w:w="80" w:type="dxa"/>
              <w:bottom w:w="70" w:type="dxa"/>
              <w:end w:w="80" w:type="dxa"/>
            </w:tcMar>
          </w:tcPr>
          <w:p>
            <w:pPr>
              <w:spacing w:after="0" w:before="0"/>
            </w:pPr>
            <w:r>
              <w:rPr>
                <w:rFonts w:ascii="Arial" w:hAnsi="Arial"/>
                <w:color w:val="222222"/>
                <w:sz w:val="15"/>
              </w:rPr>
            </w:r>
            <w:r>
              <w:rPr>
                <w:rFonts w:ascii="Arial" w:hAnsi="Arial"/>
                <w:b w:val="0"/>
                <w:color w:val="222222"/>
                <w:sz w:val="15"/>
              </w:rPr>
              <w:t>SCR-263</w:t>
            </w:r>
          </w:p>
        </w:tc>
        <w:tc>
          <w:tcPr>
            <w:tcW w:type="dxa" w:w="2505"/>
            <w:vAlign w:val="center"/>
            <w:tcMar>
              <w:top w:w="70" w:type="dxa"/>
              <w:start w:w="80" w:type="dxa"/>
              <w:bottom w:w="70" w:type="dxa"/>
              <w:end w:w="80" w:type="dxa"/>
            </w:tcMar>
          </w:tcPr>
          <w:p>
            <w:r>
              <w:rPr>
                <w:rFonts w:ascii="Aptos" w:hAnsi="Aptos"/>
              </w:rPr>
              <w:t>Close / Reopen Engagement</w:t>
            </w:r>
          </w:p>
        </w:tc>
        <w:tc>
          <w:tcPr>
            <w:tcW w:type="dxa" w:w="1843"/>
            <w:vAlign w:val="center"/>
            <w:tcMar>
              <w:top w:w="70" w:type="dxa"/>
              <w:start w:w="80" w:type="dxa"/>
              <w:bottom w:w="70" w:type="dxa"/>
              <w:end w:w="80" w:type="dxa"/>
            </w:tcMar>
          </w:tcPr>
          <w:p>
            <w:r>
              <w:rPr>
                <w:rFonts w:ascii="Aptos" w:hAnsi="Aptos"/>
              </w:rPr>
              <w:t>Controlled action / Planned</w:t>
            </w:r>
          </w:p>
        </w:tc>
        <w:tc>
          <w:tcPr>
            <w:tcW w:type="dxa" w:w="4132"/>
            <w:vAlign w:val="center"/>
            <w:tcMar>
              <w:top w:w="70" w:type="dxa"/>
              <w:start w:w="80" w:type="dxa"/>
              <w:bottom w:w="70" w:type="dxa"/>
              <w:end w:w="80" w:type="dxa"/>
            </w:tcMar>
          </w:tcPr>
          <w:p>
            <w:r>
              <w:rPr>
                <w:rFonts w:ascii="Aptos" w:hAnsi="Aptos"/>
              </w:rPr>
              <w:t>Perform authorized closure or reopening with reason, authority, consequence explanation, approval, record protection, and audit trail.</w:t>
            </w:r>
          </w:p>
        </w:tc>
      </w:tr>
    </w:tbl>
    <w:p>
      <w:pPr>
        <w:pStyle w:val="SubHeading"/>
        <w:keepNext/>
      </w:pPr>
      <w:r>
        <w:rPr>
          <w:rFonts w:ascii="Arial" w:hAnsi="Arial"/>
        </w:rPr>
        <w:t>8.4 Transaction Initiation Model</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3173"/>
        <w:gridCol w:w="3173"/>
        <w:gridCol w:w="3173"/>
      </w:tblGrid>
      <w:tr>
        <w:trPr>
          <w:cantSplit/>
          <w:tblHeader w:val="true"/>
        </w:trPr>
        <w:tc>
          <w:tcPr>
            <w:tcW w:type="dxa" w:w="1944"/>
            <w:vAlign w:val="center"/>
            <w:tcMar>
              <w:top w:w="70" w:type="dxa"/>
              <w:start w:w="80" w:type="dxa"/>
              <w:bottom w:w="70" w:type="dxa"/>
              <w:end w:w="80" w:type="dxa"/>
            </w:tcMar>
            <w:shd w:fill="D9E2F3"/>
          </w:tcPr>
          <w:p>
            <w:pPr>
              <w:spacing w:after="0" w:before="0"/>
            </w:pPr>
            <w:r>
              <w:rPr>
                <w:rFonts w:ascii="Arial" w:hAnsi="Arial"/>
                <w:b/>
                <w:color w:val="222222"/>
                <w:sz w:val="16"/>
              </w:rPr>
            </w:r>
            <w:r>
              <w:rPr>
                <w:rFonts w:ascii="Arial" w:hAnsi="Arial"/>
                <w:b/>
                <w:color w:val="222222"/>
                <w:sz w:val="16"/>
              </w:rPr>
              <w:t>Transaction Class</w:t>
            </w:r>
          </w:p>
        </w:tc>
        <w:tc>
          <w:tcPr>
            <w:tcW w:type="dxa" w:w="3384"/>
            <w:vAlign w:val="center"/>
            <w:tcMar>
              <w:top w:w="70" w:type="dxa"/>
              <w:start w:w="80" w:type="dxa"/>
              <w:bottom w:w="70" w:type="dxa"/>
              <w:end w:w="80" w:type="dxa"/>
            </w:tcMar>
            <w:shd w:fill="D9E2F3"/>
          </w:tcPr>
          <w:p>
            <w:pPr>
              <w:spacing w:after="0" w:before="0"/>
            </w:pPr>
            <w:r>
              <w:rPr>
                <w:rFonts w:ascii="Arial" w:hAnsi="Arial"/>
                <w:b/>
                <w:color w:val="222222"/>
                <w:sz w:val="16"/>
              </w:rPr>
            </w:r>
            <w:r>
              <w:rPr>
                <w:rFonts w:ascii="Arial" w:hAnsi="Arial"/>
                <w:b/>
                <w:color w:val="222222"/>
                <w:sz w:val="16"/>
              </w:rPr>
              <w:t>Examples</w:t>
            </w:r>
          </w:p>
        </w:tc>
        <w:tc>
          <w:tcPr>
            <w:tcW w:type="dxa" w:w="4190"/>
            <w:vAlign w:val="center"/>
            <w:tcMar>
              <w:top w:w="70" w:type="dxa"/>
              <w:start w:w="80" w:type="dxa"/>
              <w:bottom w:w="70" w:type="dxa"/>
              <w:end w:w="80" w:type="dxa"/>
            </w:tcMar>
            <w:shd w:fill="D9E2F3"/>
          </w:tcPr>
          <w:p>
            <w:pPr>
              <w:spacing w:after="0" w:before="0"/>
            </w:pPr>
            <w:r>
              <w:rPr>
                <w:rFonts w:ascii="Arial" w:hAnsi="Arial"/>
                <w:b/>
                <w:color w:val="222222"/>
                <w:sz w:val="16"/>
              </w:rPr>
            </w:r>
            <w:r>
              <w:rPr>
                <w:rFonts w:ascii="Arial" w:hAnsi="Arial"/>
                <w:b/>
                <w:color w:val="222222"/>
                <w:sz w:val="16"/>
              </w:rPr>
              <w:t>Design Rule</w:t>
            </w:r>
          </w:p>
        </w:tc>
      </w:tr>
      <w:tr>
        <w:trPr>
          <w:cantSplit/>
        </w:trPr>
        <w:tc>
          <w:tcPr>
            <w:tcW w:type="dxa" w:w="1944"/>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Dedicated or focused transaction</w:t>
            </w:r>
          </w:p>
        </w:tc>
        <w:tc>
          <w:tcPr>
            <w:tcW w:type="dxa" w:w="3384"/>
            <w:vAlign w:val="center"/>
            <w:tcMar>
              <w:top w:w="70" w:type="dxa"/>
              <w:start w:w="80" w:type="dxa"/>
              <w:bottom w:w="70" w:type="dxa"/>
              <w:end w:w="80" w:type="dxa"/>
            </w:tcMar>
          </w:tcPr>
          <w:p>
            <w:r>
              <w:rPr>
                <w:rFonts w:ascii="Aptos" w:hAnsi="Aptos"/>
              </w:rPr>
              <w:t>Create / Activate Engagement; Define Scope; Assign Audit Team; Prepare AEO; Create Evidence Request; Register or Assess Audit Evidence; Create Audit Issue; Submit Management Comment; Prepare Auditor’s Rejoinder; prepare controlled audit documents.</w:t>
            </w:r>
          </w:p>
        </w:tc>
        <w:tc>
          <w:tcPr>
            <w:tcW w:type="dxa" w:w="4190"/>
            <w:vAlign w:val="center"/>
            <w:tcMar>
              <w:top w:w="70" w:type="dxa"/>
              <w:start w:w="80" w:type="dxa"/>
              <w:bottom w:w="70" w:type="dxa"/>
              <w:end w:w="80" w:type="dxa"/>
            </w:tcMar>
          </w:tcPr>
          <w:p>
            <w:pPr>
              <w:spacing w:after="0" w:before="0"/>
            </w:pPr>
            <w:r>
              <w:rPr>
                <w:rFonts w:ascii="Arial" w:hAnsi="Arial"/>
                <w:color w:val="222222"/>
                <w:sz w:val="16"/>
              </w:rPr>
              <w:t>Use when the action establishes a distinct controlled record or has substantial validation, permissions, workflow, independent entry points, or consequence-bearing assessment.</w:t>
            </w:r>
          </w:p>
        </w:tc>
      </w:tr>
      <w:tr>
        <w:trPr>
          <w:cantSplit/>
        </w:trPr>
        <w:tc>
          <w:tcPr>
            <w:tcW w:type="dxa" w:w="1944"/>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Embedded child transaction</w:t>
            </w:r>
          </w:p>
        </w:tc>
        <w:tc>
          <w:tcPr>
            <w:tcW w:type="dxa" w:w="3384"/>
            <w:vAlign w:val="center"/>
            <w:tcMar>
              <w:top w:w="70" w:type="dxa"/>
              <w:start w:w="80" w:type="dxa"/>
              <w:bottom w:w="70" w:type="dxa"/>
              <w:end w:w="80" w:type="dxa"/>
            </w:tcMar>
          </w:tcPr>
          <w:p>
            <w:r>
              <w:rPr>
                <w:rFonts w:ascii="Aptos" w:hAnsi="Aptos"/>
              </w:rPr>
              <w:t>Add Risk Matrix Item; add Audit Procedure; add Conference Participant; add Review Note; add Recommendation; add Report Recipient; link existing Evidence; request additional Evidence.</w:t>
            </w:r>
          </w:p>
        </w:tc>
        <w:tc>
          <w:tcPr>
            <w:tcW w:type="dxa" w:w="419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Implement within the parent workspace or details screen through a form, drawer, dialog, or controlled section.</w:t>
            </w:r>
          </w:p>
        </w:tc>
      </w:tr>
      <w:tr>
        <w:trPr>
          <w:cantSplit/>
        </w:trPr>
        <w:tc>
          <w:tcPr>
            <w:tcW w:type="dxa" w:w="1944"/>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System-generated record</w:t>
            </w:r>
          </w:p>
        </w:tc>
        <w:tc>
          <w:tcPr>
            <w:tcW w:type="dxa" w:w="3384"/>
            <w:vAlign w:val="center"/>
            <w:tcMar>
              <w:top w:w="70" w:type="dxa"/>
              <w:start w:w="80" w:type="dxa"/>
              <w:bottom w:w="70" w:type="dxa"/>
              <w:end w:w="80" w:type="dxa"/>
            </w:tcMar>
          </w:tcPr>
          <w:p>
            <w:r>
              <w:rPr>
                <w:rFonts w:ascii="Aptos" w:hAnsi="Aptos"/>
              </w:rPr>
              <w:t>Activity events; Audit Trail; workflow history; version history; transfer transaction; issuance distribution record; baseline completion-check items.</w:t>
            </w:r>
          </w:p>
        </w:tc>
        <w:tc>
          <w:tcPr>
            <w:tcW w:type="dxa" w:w="4190"/>
            <w:vAlign w:val="center"/>
            <w:tcMar>
              <w:top w:w="70" w:type="dxa"/>
              <w:start w:w="80" w:type="dxa"/>
              <w:bottom w:w="70" w:type="dxa"/>
              <w:end w:w="80" w:type="dxa"/>
            </w:tcMar>
          </w:tcPr>
          <w:p>
            <w:r>
              <w:rPr>
                <w:rFonts w:ascii="Aptos" w:hAnsi="Aptos"/>
              </w:rPr>
              <w:t>Generate automatically from controlled actions where appropriate; users may review or supplement authorized metadata but shall not manually manufacture audit history.</w:t>
            </w:r>
          </w:p>
        </w:tc>
      </w:tr>
      <w:tr>
        <w:trPr>
          <w:cantSplit/>
        </w:trPr>
        <w:tc>
          <w:tcPr>
            <w:tcW w:type="dxa" w:w="1944"/>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Conversion transaction</w:t>
            </w:r>
          </w:p>
        </w:tc>
        <w:tc>
          <w:tcPr>
            <w:tcW w:type="dxa" w:w="3384"/>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Convert Audit Issue to AFR.</w:t>
            </w:r>
          </w:p>
        </w:tc>
        <w:tc>
          <w:tcPr>
            <w:tcW w:type="dxa" w:w="419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Preserve the source Audit Issue, source links, disposition, conversion authority, and traceability. Direct AFR creation shall require an authorized reason when permitted by methodology.</w:t>
            </w:r>
          </w:p>
        </w:tc>
      </w:tr>
    </w:tbl>
    <w:p>
      <w:pPr>
        <w:pStyle w:val="SectionHeading"/>
        <w:keepNext/>
      </w:pPr>
      <w:r>
        <w:rPr>
          <w:rFonts w:ascii="Arial" w:hAnsi="Arial"/>
        </w:rPr>
        <w:t>9. Core AEM Interface Components</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2664"/>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Component</w:t>
            </w:r>
          </w:p>
        </w:tc>
        <w:tc>
          <w:tcPr>
            <w:tcW w:type="dxa" w:w="6854"/>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Design Requirement</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Engagement Context Header</w:t>
            </w:r>
          </w:p>
        </w:tc>
        <w:tc>
          <w:tcPr>
            <w:tcW w:type="dxa" w:w="685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Persistent engagement number, title, Office, phase, status, authority, priority, confidentiality, dates, responsible users, and progress.</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Lifecycle Navigation</w:t>
            </w:r>
          </w:p>
        </w:tc>
        <w:tc>
          <w:tcPr>
            <w:tcW w:type="dxa" w:w="6854"/>
            <w:vAlign w:val="center"/>
            <w:tcMar>
              <w:top w:w="70" w:type="dxa"/>
              <w:start w:w="80" w:type="dxa"/>
              <w:bottom w:w="70" w:type="dxa"/>
              <w:end w:w="80" w:type="dxa"/>
            </w:tcMar>
          </w:tcPr>
          <w:p>
            <w:r>
              <w:rPr>
                <w:rFonts w:ascii="Aptos" w:hAnsi="Aptos"/>
              </w:rPr>
              <w:t>Stable access to Overview, Planning, Execution, Audit Issues, AFRs, Conferences, Audit Reports, Completion &amp; Transfer, and Activity.</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Authority and Source Panel</w:t>
            </w:r>
          </w:p>
        </w:tc>
        <w:tc>
          <w:tcPr>
            <w:tcW w:type="dxa" w:w="685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Shows IAP source or authorized unplanned basis, authority reference, directing authority, authorization date, and related records.</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Task and Review Panel</w:t>
            </w:r>
          </w:p>
        </w:tc>
        <w:tc>
          <w:tcPr>
            <w:tcW w:type="dxa" w:w="685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Assignee, due date, priority, state, expected action, comments, related record, escalation, and navigation target.</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Scope Selector</w:t>
            </w:r>
          </w:p>
        </w:tc>
        <w:tc>
          <w:tcPr>
            <w:tcW w:type="dxa" w:w="685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Enforces Office → Audit Area → Audit Focus relationships and prevents invalid cross-Office selection.</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Engagement KPI and Progress Panel</w:t>
            </w:r>
          </w:p>
        </w:tc>
        <w:tc>
          <w:tcPr>
            <w:tcW w:type="dxa" w:w="6854"/>
            <w:vAlign w:val="center"/>
            <w:tcMar>
              <w:top w:w="70" w:type="dxa"/>
              <w:start w:w="80" w:type="dxa"/>
              <w:bottom w:w="70" w:type="dxa"/>
              <w:end w:w="80" w:type="dxa"/>
            </w:tcMar>
          </w:tcPr>
          <w:p>
            <w:r>
              <w:rPr>
                <w:rFonts w:ascii="Aptos" w:hAnsi="Aptos"/>
              </w:rPr>
              <w:t>Objectives, approved planning-package readiness, procedures, milestones, schedule variance, effort variance, evidence sufficiency, unresolved issues, expected reporting date, and corrective actions.</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Working Paper Index</w:t>
            </w:r>
          </w:p>
        </w:tc>
        <w:tc>
          <w:tcPr>
            <w:tcW w:type="dxa" w:w="685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Reference number, procedure, Audit Area / Audit Focus, preparer, reviewer, status, version, cross-references, notes, and conclusion.</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t>Audit Evidence Management Workspace</w:t>
            </w:r>
          </w:p>
        </w:tc>
        <w:tc>
          <w:tcPr>
            <w:tcW w:type="dxa" w:w="6854"/>
            <w:vAlign w:val="center"/>
            <w:tcMar>
              <w:top w:w="70" w:type="dxa"/>
              <w:start w:w="80" w:type="dxa"/>
              <w:bottom w:w="70" w:type="dxa"/>
              <w:end w:w="80" w:type="dxa"/>
            </w:tcMar>
          </w:tcPr>
          <w:p>
            <w:r>
              <w:rPr>
                <w:rFonts w:ascii="Aptos" w:hAnsi="Aptos"/>
              </w:rPr>
              <w:t>Evidence Register, Evidence Requests, For Assessment, Evidence Gaps, Overdue Requests, Restricted Evidence, and Activity views; supports request monitoring, evidence receipt and registration, type and nature, source and custodian, method obtained, sufficiency contribution, appropriateness, relevance, reliability or competence, accuracy and completeness procedures, corroboration or contradiction, authenticity, integrity, confidentiality, limitations, access restrictions, authoritative links, and issue initiation.</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AFR Workspace</w:t>
            </w:r>
          </w:p>
        </w:tc>
        <w:tc>
          <w:tcPr>
            <w:tcW w:type="dxa" w:w="685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Presents the combined AFR while preserving separate Finding and Recommendation identities and the required finding structure.</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Management Response Timeline</w:t>
            </w:r>
          </w:p>
        </w:tc>
        <w:tc>
          <w:tcPr>
            <w:tcW w:type="dxa" w:w="6854"/>
            <w:vAlign w:val="center"/>
            <w:tcMar>
              <w:top w:w="70" w:type="dxa"/>
              <w:start w:w="80" w:type="dxa"/>
              <w:bottom w:w="70" w:type="dxa"/>
              <w:end w:w="80" w:type="dxa"/>
            </w:tcMar>
          </w:tcPr>
          <w:p>
            <w:r>
              <w:rPr>
                <w:rFonts w:ascii="Aptos" w:hAnsi="Aptos"/>
              </w:rPr>
              <w:t>AFR issue date, Management Comment due date, extensions, submissions, optional intended corrective actions stated within comments, Auditor’s Rejoinders, no-response cases, and current evaluation state.</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Report Assembly and Quality Panel</w:t>
            </w:r>
          </w:p>
        </w:tc>
        <w:tc>
          <w:tcPr>
            <w:tcW w:type="dxa" w:w="6854"/>
            <w:vAlign w:val="center"/>
            <w:tcMar>
              <w:top w:w="70" w:type="dxa"/>
              <w:start w:w="80" w:type="dxa"/>
              <w:bottom w:w="70" w:type="dxa"/>
              <w:end w:w="80" w:type="dxa"/>
            </w:tcMar>
          </w:tcPr>
          <w:p>
            <w:r>
              <w:rPr>
                <w:rFonts w:ascii="Aptos" w:hAnsi="Aptos"/>
              </w:rPr>
              <w:t>Controlled report content, source traceability, completeness and quality checks, Review Notes, approval, issuance, distribution, amendments, withdrawal or superseding links, and applicable prior monitoring information.</w:t>
            </w:r>
          </w:p>
        </w:tc>
      </w:tr>
      <w:tr>
        <w:trPr>
          <w:cantSplit/>
        </w:trPr>
        <w:tc>
          <w:tcPr>
            <w:tcW w:type="dxa" w:w="266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Completion Assessment</w:t>
            </w:r>
          </w:p>
        </w:tc>
        <w:tc>
          <w:tcPr>
            <w:tcW w:type="dxa" w:w="6854"/>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Outstanding requirements, references, responsible user, result, exceptions, quality matters, approval, and closure readiness.</w:t>
            </w:r>
          </w:p>
        </w:tc>
      </w:tr>
      <w:tr>
        <w:trPr>
          <w:cantSplit/>
        </w:trPr>
        <w:tc>
          <w:tcPr>
            <w:tcW w:type="dxa" w:w="4759"/>
          </w:tcPr>
          <w:p>
            <w:r>
              <w:rPr>
                <w:rFonts w:ascii="Aptos" w:hAnsi="Aptos"/>
              </w:rPr>
              <w:t>Audit Planning Package Panel</w:t>
            </w:r>
          </w:p>
        </w:tc>
        <w:tc>
          <w:tcPr>
            <w:tcW w:type="dxa" w:w="4759"/>
          </w:tcPr>
          <w:p>
            <w:r>
              <w:rPr>
                <w:rFonts w:ascii="Aptos" w:hAnsi="Aptos"/>
              </w:rPr>
              <w:t>Preliminary Survey, Process Flow Documentation, AEP and engagement KPIs, Risk Matrix, Audit Programs, applicable planned Working Paper references or Sampling Working Papers, review / approval / communication state, version, amendments, and readiness.</w:t>
            </w:r>
          </w:p>
        </w:tc>
      </w:tr>
      <w:tr>
        <w:trPr>
          <w:cantSplit/>
        </w:trPr>
        <w:tc>
          <w:tcPr>
            <w:tcW w:type="dxa" w:w="4759"/>
          </w:tcPr>
          <w:p>
            <w:r>
              <w:rPr>
                <w:rFonts w:ascii="Aptos" w:hAnsi="Aptos"/>
              </w:rPr>
              <w:t>Risk Matrix and Audit Program Traceability</w:t>
            </w:r>
          </w:p>
        </w:tc>
        <w:tc>
          <w:tcPr>
            <w:tcW w:type="dxa" w:w="4759"/>
          </w:tcPr>
          <w:p>
            <w:r>
              <w:rPr>
                <w:rFonts w:ascii="Aptos" w:hAnsi="Aptos"/>
              </w:rPr>
              <w:t>Audit Focus → Process / Risk Area → Potential Risk → Planned Audit Approach → Audit Program → Audit Procedure → Working Paper relationship, with stable source links and approved version context.</w:t>
            </w:r>
          </w:p>
        </w:tc>
      </w:tr>
    </w:tbl>
    <w:p>
      <w:pPr>
        <w:pStyle w:val="SectionHeading"/>
        <w:keepNext/>
      </w:pPr>
      <w:r>
        <w:rPr>
          <w:rFonts w:ascii="Arial" w:hAnsi="Arial"/>
        </w:rPr>
        <w:t>10. Users and Role-Aware Behavior</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2721"/>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Role</w:t>
            </w:r>
          </w:p>
        </w:tc>
        <w:tc>
          <w:tcPr>
            <w:tcW w:type="dxa" w:w="6796"/>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Typical AEM Interface Responsibility</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CIAS Department Head</w:t>
            </w:r>
          </w:p>
        </w:tc>
        <w:tc>
          <w:tcPr>
            <w:tcW w:type="dxa" w:w="679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Approve or issue engagements, AEOs, AEPs, AFRs, reports, waivers, completion, closure, reopening, and other actions according to authority.</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Engagement Manager / Supervising Auditor</w:t>
            </w:r>
          </w:p>
        </w:tc>
        <w:tc>
          <w:tcPr>
            <w:tcW w:type="dxa" w:w="679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Plan and supervise; assign work; review progress, evidence, findings, reports, and quality; resolve significant issues; recommend approval.</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Audit Team Leader</w:t>
            </w:r>
          </w:p>
        </w:tc>
        <w:tc>
          <w:tcPr>
            <w:tcW w:type="dxa" w:w="679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Coordinate daily work; prepare or review plans, programs, procedures, Working Papers, issues, AFRs, conferences, assessments, and reports.</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Auditor</w:t>
            </w:r>
          </w:p>
        </w:tc>
        <w:tc>
          <w:tcPr>
            <w:tcW w:type="dxa" w:w="6796"/>
            <w:vAlign w:val="center"/>
            <w:tcMar>
              <w:top w:w="70" w:type="dxa"/>
              <w:start w:w="80" w:type="dxa"/>
              <w:bottom w:w="70" w:type="dxa"/>
              <w:end w:w="80" w:type="dxa"/>
            </w:tcMar>
          </w:tcPr>
          <w:p>
            <w:pPr>
              <w:spacing w:after="0" w:before="0"/>
            </w:pPr>
            <w:r>
              <w:rPr>
                <w:rFonts w:ascii="Arial" w:hAnsi="Arial"/>
                <w:color w:val="222222"/>
                <w:sz w:val="17"/>
              </w:rPr>
              <w:t>Perform procedures; create Fieldwork Records and Working Papers; create and monitor Evidence Requests; receive, register, classify, and assess Audit Evidence; create Audit Issues, findings, recommendations, and assigned reports; respond to Review Notes.</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Reviewer</w:t>
            </w:r>
          </w:p>
        </w:tc>
        <w:tc>
          <w:tcPr>
            <w:tcW w:type="dxa" w:w="679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Perform assigned supervisory or quality review separate from preparation where practicable.</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Auditee / Management Representative</w:t>
            </w:r>
          </w:p>
        </w:tc>
        <w:tc>
          <w:tcPr>
            <w:tcW w:type="dxa" w:w="6796"/>
            <w:vAlign w:val="center"/>
            <w:tcMar>
              <w:top w:w="70" w:type="dxa"/>
              <w:start w:w="80" w:type="dxa"/>
              <w:bottom w:w="70" w:type="dxa"/>
              <w:end w:w="80" w:type="dxa"/>
            </w:tcMar>
          </w:tcPr>
          <w:p>
            <w:r>
              <w:rPr>
                <w:rFonts w:ascii="Aptos" w:hAnsi="Aptos"/>
              </w:rPr>
              <w:t>Receive authorized requests and issuances; acknowledge and respond to Evidence Requests; provide information and Audit Evidence submissions; submit Management Comments, supporting documents, and optional intended or proposed corrective actions within the comment. Formal Action Plans and implementation-status reporting occur in CMS after authorized report issuance.</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AGIS Administrator</w:t>
            </w:r>
          </w:p>
        </w:tc>
        <w:tc>
          <w:tcPr>
            <w:tcW w:type="dxa" w:w="679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Provide technical and configuration support without exercising audit judgment, review, approval, issuance, or distribution authority unless separately authorized.</w:t>
            </w:r>
          </w:p>
        </w:tc>
      </w:tr>
      <w:tr>
        <w:trPr>
          <w:cantSplit/>
        </w:trPr>
        <w:tc>
          <w:tcPr>
            <w:tcW w:type="dxa" w:w="2721"/>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Read-Only / Oversight User</w:t>
            </w:r>
          </w:p>
        </w:tc>
        <w:tc>
          <w:tcPr>
            <w:tcW w:type="dxa" w:w="6796"/>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View specifically authorized engagement records and reports without operational editing.</w:t>
            </w:r>
          </w:p>
        </w:tc>
      </w:tr>
    </w:tbl>
    <w:p>
      <w:pPr>
        <w:pStyle w:val="SectionHeading"/>
        <w:keepNext/>
      </w:pPr>
      <w:r>
        <w:rPr>
          <w:rFonts w:ascii="Arial" w:hAnsi="Arial"/>
        </w:rPr>
        <w:t>11. Interface States, Workflow, and Controls</w:t>
      </w:r>
    </w:p>
    <w:p>
      <w:pPr>
        <w:pStyle w:val="ListBullet"/>
        <w:spacing w:after="30"/>
      </w:pPr>
      <w:r>
        <w:rPr>
          <w:rFonts w:ascii="Arial" w:hAnsi="Arial"/>
        </w:rPr>
        <w:t>Actions shall be aware of role, assignment, phase, status, authority, Office scope, confidentiality, record state, and applicable segregation of duties.</w:t>
      </w:r>
    </w:p>
    <w:p>
      <w:pPr>
        <w:pStyle w:val="ListBullet"/>
        <w:spacing w:after="30"/>
      </w:pPr>
      <w:r>
        <w:rPr>
          <w:rFonts w:ascii="Arial" w:hAnsi="Arial"/>
        </w:rPr>
        <w:t>Every material transition shall show the current state, permitted next action, consequence, and required reason, review, approval, or acknowledgment.</w:t>
      </w:r>
    </w:p>
    <w:p>
      <w:pPr>
        <w:pStyle w:val="ListBullet"/>
        <w:spacing w:after="30"/>
      </w:pPr>
      <w:r>
        <w:rPr>
          <w:rFonts w:ascii="Arial" w:hAnsi="Arial"/>
        </w:rPr>
        <w:t>Preparation, review, approval, issuance, distribution, transfer, completion, closure, and reopening shall be separated where practicable.</w:t>
      </w:r>
    </w:p>
    <w:p>
      <w:pPr>
        <w:pStyle w:val="ListBullet"/>
        <w:spacing w:after="30"/>
      </w:pPr>
      <w:r>
        <w:rPr>
          <w:rFonts w:ascii="Arial" w:hAnsi="Arial"/>
        </w:rPr>
        <w:t>Approved or issued records shall be protected from ordinary editing; amendments shall preserve version, reason, authority, date, and superseding relationships.</w:t>
      </w:r>
    </w:p>
    <w:p>
      <w:pPr>
        <w:pStyle w:val="ListBullet"/>
        <w:spacing w:after="30"/>
      </w:pPr>
      <w:r>
        <w:rPr>
          <w:rFonts w:ascii="Arial" w:hAnsi="Arial"/>
        </w:rPr>
        <w:t>Returned, rejected, withdrawn, superseded, cancelled, reopened, waived, failed-transfer, late, no-response, and closed states shall preserve history.</w:t>
      </w:r>
    </w:p>
    <w:p>
      <w:pPr>
        <w:pStyle w:val="ListBullet"/>
        <w:spacing w:after="30"/>
      </w:pPr>
      <w:r>
        <w:rPr>
          <w:rFonts w:ascii="Arial" w:hAnsi="Arial"/>
        </w:rPr>
        <w:t>Changes to an approved AEP or Audit Procedure shall require documented reason, review, approval, effective date, and version history.</w:t>
      </w:r>
    </w:p>
    <w:p>
      <w:pPr>
        <w:pStyle w:val="ListBullet"/>
        <w:spacing w:after="30"/>
      </w:pPr>
      <w:r>
        <w:rPr>
          <w:rFonts w:ascii="Arial" w:hAnsi="Arial"/>
        </w:rPr>
        <w:t>Entry or Exit Conference waivers shall require authority, reason, alternative procedure, approval, and audit trail.</w:t>
      </w:r>
    </w:p>
    <w:p>
      <w:pPr>
        <w:pStyle w:val="ListBullet"/>
        <w:spacing w:after="30"/>
      </w:pPr>
      <w:r>
        <w:rPr>
          <w:rFonts w:ascii="Arial" w:hAnsi="Arial"/>
        </w:rPr>
        <w:t>Evidence access and use shall respect classification, confidentiality, custody, integrity, and authorized restrictions.</w:t>
      </w:r>
    </w:p>
    <w:p>
      <w:pPr>
        <w:pStyle w:val="ListBullet"/>
        <w:spacing w:after="30"/>
      </w:pPr>
      <w:r>
        <w:rPr>
          <w:rFonts w:ascii="Arial" w:hAnsi="Arial"/>
        </w:rPr>
        <w:t>The interface shall not allow physical deletion of an Audit Engagement or uncontrolled deletion of official audit records.</w:t>
      </w:r>
    </w:p>
    <w:p>
      <w:pPr>
        <w:pStyle w:val="ListBullet"/>
        <w:spacing w:after="30"/>
      </w:pPr>
      <w:r>
        <w:rPr>
          <w:rFonts w:ascii="Arial" w:hAnsi="Arial"/>
        </w:rPr>
        <w:t>Irreversible or consequence-bearing actions shall require confirmation and explain the effect before execution.</w:t>
      </w:r>
    </w:p>
    <w:p>
      <w:pPr>
        <w:pStyle w:val="SectionHeading"/>
        <w:keepNext/>
      </w:pPr>
      <w:r>
        <w:rPr>
          <w:rFonts w:ascii="Arial" w:hAnsi="Arial"/>
        </w:rPr>
        <w:t>12. Reports and Operational Outputs</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2880"/>
            <w:vAlign w:val="center"/>
            <w:tcMar>
              <w:top w:w="70" w:type="dxa"/>
              <w:start w:w="80" w:type="dxa"/>
              <w:bottom w:w="70" w:type="dxa"/>
              <w:end w:w="80" w:type="dxa"/>
            </w:tcMar>
            <w:shd w:fill="D9E2F3"/>
          </w:tcPr>
          <w:p>
            <w:pPr>
              <w:spacing w:after="0" w:before="0"/>
            </w:pPr>
            <w:r>
              <w:rPr>
                <w:rFonts w:ascii="Arial" w:hAnsi="Arial"/>
                <w:b/>
                <w:color w:val="222222"/>
                <w:sz w:val="16"/>
              </w:rPr>
            </w:r>
            <w:r>
              <w:rPr>
                <w:rFonts w:ascii="Arial" w:hAnsi="Arial"/>
                <w:b/>
                <w:color w:val="222222"/>
                <w:sz w:val="16"/>
              </w:rPr>
              <w:t>Output</w:t>
            </w:r>
          </w:p>
        </w:tc>
        <w:tc>
          <w:tcPr>
            <w:tcW w:type="dxa" w:w="6638"/>
            <w:vAlign w:val="center"/>
            <w:tcMar>
              <w:top w:w="70" w:type="dxa"/>
              <w:start w:w="80" w:type="dxa"/>
              <w:bottom w:w="70" w:type="dxa"/>
              <w:end w:w="80" w:type="dxa"/>
            </w:tcMar>
            <w:shd w:fill="D9E2F3"/>
          </w:tcPr>
          <w:p>
            <w:pPr>
              <w:spacing w:after="0" w:before="0"/>
            </w:pPr>
            <w:r>
              <w:rPr>
                <w:rFonts w:ascii="Arial" w:hAnsi="Arial"/>
                <w:b/>
                <w:color w:val="222222"/>
                <w:sz w:val="16"/>
              </w:rPr>
            </w:r>
            <w:r>
              <w:rPr>
                <w:rFonts w:ascii="Arial" w:hAnsi="Arial"/>
                <w:b/>
                <w:color w:val="222222"/>
                <w:sz w:val="16"/>
              </w:rPr>
              <w:t>Purpose</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My Engagement Tasks</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Assigned, due, overdue, returned, escalated, and pending-review work.</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Audit Engagement Register</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Engagements by Office, Audit Area, phase, status, authority, team, schedule, priority, and reporting condition.</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Audit Calendar and Milestone Schedule</w:t>
            </w:r>
          </w:p>
        </w:tc>
        <w:tc>
          <w:tcPr>
            <w:tcW w:type="dxa" w:w="6638"/>
            <w:vAlign w:val="center"/>
            <w:tcMar>
              <w:top w:w="70" w:type="dxa"/>
              <w:start w:w="80" w:type="dxa"/>
              <w:bottom w:w="70" w:type="dxa"/>
              <w:end w:w="80" w:type="dxa"/>
            </w:tcMar>
          </w:tcPr>
          <w:p>
            <w:r>
              <w:rPr>
                <w:rFonts w:ascii="Aptos" w:hAnsi="Aptos"/>
              </w:rPr>
              <w:t>Engagements, Entry and Exit Conferences, procedures, Evidence Requests, evidence assessments, Management Comments, reports, transfers, and key milestones.</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Engagement KPI and Progress Assessment</w:t>
            </w:r>
          </w:p>
        </w:tc>
        <w:tc>
          <w:tcPr>
            <w:tcW w:type="dxa" w:w="6638"/>
            <w:vAlign w:val="center"/>
            <w:tcMar>
              <w:top w:w="70" w:type="dxa"/>
              <w:start w:w="80" w:type="dxa"/>
              <w:bottom w:w="70" w:type="dxa"/>
              <w:end w:w="80" w:type="dxa"/>
            </w:tcMar>
          </w:tcPr>
          <w:p>
            <w:r>
              <w:rPr>
                <w:rFonts w:ascii="Aptos" w:hAnsi="Aptos"/>
              </w:rPr>
              <w:t>Progress against objectives, approved planning-package readiness, procedures, schedule, effort, evidence sufficiency, unresolved issues, expected reporting date, and corrective actions.</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Audit Program Progress</w:t>
            </w:r>
          </w:p>
        </w:tc>
        <w:tc>
          <w:tcPr>
            <w:tcW w:type="dxa" w:w="6638"/>
            <w:vAlign w:val="center"/>
            <w:tcMar>
              <w:top w:w="70" w:type="dxa"/>
              <w:start w:w="80" w:type="dxa"/>
              <w:bottom w:w="70" w:type="dxa"/>
              <w:end w:w="80" w:type="dxa"/>
            </w:tcMar>
          </w:tcPr>
          <w:p>
            <w:r>
              <w:rPr>
                <w:rFonts w:ascii="Aptos" w:hAnsi="Aptos"/>
              </w:rPr>
              <w:t>Audit Programs and procedures by Audit Area, Risk Matrix linkage, status, assignee, due date, planned man-days, result, conclusion, Working Paper, evidence, and review state.</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Working Paper Review Status</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Preparation, submission, review, notes, clearance, version, and completion state.</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t>Audit Evidence Register</w:t>
            </w:r>
          </w:p>
        </w:tc>
        <w:tc>
          <w:tcPr>
            <w:tcW w:type="dxa" w:w="6638"/>
            <w:vAlign w:val="center"/>
            <w:tcMar>
              <w:top w:w="70" w:type="dxa"/>
              <w:start w:w="80" w:type="dxa"/>
              <w:bottom w:w="70" w:type="dxa"/>
              <w:end w:w="80" w:type="dxa"/>
            </w:tcMar>
          </w:tcPr>
          <w:p>
            <w:pPr>
              <w:spacing w:after="0" w:before="0"/>
            </w:pPr>
            <w:r>
              <w:rPr>
                <w:rFonts w:ascii="Arial" w:hAnsi="Arial"/>
                <w:color w:val="222222"/>
                <w:sz w:val="16"/>
              </w:rPr>
              <w:t>Evidence by Evidence ID, type, source, custodian, related request, date received or obtained, assessment result, limitation, confidentiality, integrity, status, and linked audit records.</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t>Evidence Request and Gap Monitoring</w:t>
            </w:r>
          </w:p>
        </w:tc>
        <w:tc>
          <w:tcPr>
            <w:tcW w:type="dxa" w:w="6638"/>
            <w:vAlign w:val="center"/>
            <w:tcMar>
              <w:top w:w="70" w:type="dxa"/>
              <w:start w:w="80" w:type="dxa"/>
              <w:bottom w:w="70" w:type="dxa"/>
              <w:end w:w="80" w:type="dxa"/>
            </w:tcMar>
          </w:tcPr>
          <w:p>
            <w:pPr>
              <w:spacing w:after="0" w:before="0"/>
            </w:pPr>
            <w:r>
              <w:rPr>
                <w:rFonts w:ascii="Arial" w:hAnsi="Arial"/>
                <w:color w:val="222222"/>
                <w:sz w:val="16"/>
              </w:rPr>
              <w:t>Requests, recipients, due dates, acknowledgment, partial or complete submission, overdue, extension, escalation, cancellation, closure, identified evidence gaps, and additional evidence required.</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Audit Issue Disposition Register</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Issues by source, Audit Area, Audit Focus, significance, status, owner, review, and final disposition.</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AFR Status Register</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Findings and recommendations by risk, Audit Area, Audit Focus, status, response, rejoinder, report inclusion, and CMS transfer.</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Interim Audit Report Register</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Urgent matters, recipients, approval, issue date, acknowledgment, required action, and final-report linkage.</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Management Comment Aging</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Issued AFRs, due dates, extensions, submissions, days overdue, no-response, and escalation state.</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Final Audit Report Register</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Report version, approval, issuance, authority, recipients, delivery, acknowledgment, amendment, and superseding condition.</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Completion Assessment</w:t>
            </w:r>
          </w:p>
        </w:tc>
        <w:tc>
          <w:tcPr>
            <w:tcW w:type="dxa" w:w="663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Objectives achieved, work completed, records reviewed, outputs issued, transfers reconciled, time and effort, quality matters, lessons learned, and approval.</w:t>
            </w:r>
          </w:p>
        </w:tc>
      </w:tr>
      <w:tr>
        <w:trPr>
          <w:cantSplit/>
        </w:trPr>
        <w:tc>
          <w:tcPr>
            <w:tcW w:type="dxa" w:w="288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CMS Transfer Reconciliation</w:t>
            </w:r>
          </w:p>
        </w:tc>
        <w:tc>
          <w:tcPr>
            <w:tcW w:type="dxa" w:w="6638"/>
            <w:vAlign w:val="center"/>
            <w:tcMar>
              <w:top w:w="70" w:type="dxa"/>
              <w:start w:w="80" w:type="dxa"/>
              <w:bottom w:w="70" w:type="dxa"/>
              <w:end w:w="80" w:type="dxa"/>
            </w:tcMar>
          </w:tcPr>
          <w:p>
            <w:r>
              <w:rPr>
                <w:rFonts w:ascii="Aptos" w:hAnsi="Aptos"/>
              </w:rPr>
              <w:t>Transferred, pending, failed, duplicate, corrected, or mismatched formally issued Audit Recommendations and returned CMS Monitoring IDs; no formal Action Plan or implementation-status data is created in AEM.</w:t>
            </w:r>
          </w:p>
        </w:tc>
      </w:tr>
      <w:tr>
        <w:trPr>
          <w:cantSplit/>
        </w:trPr>
        <w:tc>
          <w:tcPr>
            <w:tcW w:type="dxa" w:w="4759"/>
          </w:tcPr>
          <w:p>
            <w:r>
              <w:rPr>
                <w:rFonts w:ascii="Aptos" w:hAnsi="Aptos"/>
              </w:rPr>
              <w:t>Audit Planning Package Status</w:t>
            </w:r>
          </w:p>
        </w:tc>
        <w:tc>
          <w:tcPr>
            <w:tcW w:type="dxa" w:w="4759"/>
          </w:tcPr>
          <w:p>
            <w:r>
              <w:rPr>
                <w:rFonts w:ascii="Aptos" w:hAnsi="Aptos"/>
              </w:rPr>
              <w:t>AEP and engagement KPI approval and communication; Process Flow Documentation; Risk Matrix completion and approval; Audit Program approval; planned Working Paper or Sampling Working Paper readiness; amendments; and outstanding planning requirements.</w:t>
            </w:r>
          </w:p>
        </w:tc>
      </w:tr>
      <w:tr>
        <w:trPr>
          <w:cantSplit/>
        </w:trPr>
        <w:tc>
          <w:tcPr>
            <w:tcW w:type="dxa" w:w="4759"/>
          </w:tcPr>
          <w:p>
            <w:r>
              <w:rPr>
                <w:rFonts w:ascii="Aptos" w:hAnsi="Aptos"/>
              </w:rPr>
              <w:t>Risk Matrix and Planned Audit Approach Register</w:t>
            </w:r>
          </w:p>
        </w:tc>
        <w:tc>
          <w:tcPr>
            <w:tcW w:type="dxa" w:w="4759"/>
          </w:tcPr>
          <w:p>
            <w:r>
              <w:rPr>
                <w:rFonts w:ascii="Aptos" w:hAnsi="Aptos"/>
              </w:rPr>
              <w:t>Audit Focus, Process / Risk Area, Potential Risks, Planned Audit Approach, Process Flow references, linked Audit Programs and Procedures, review status, version, and amendment history.</w:t>
            </w:r>
          </w:p>
        </w:tc>
      </w:tr>
    </w:tbl>
    <w:p>
      <w:pPr>
        <w:pStyle w:val="SectionHeading"/>
        <w:keepNext/>
      </w:pPr>
      <w:r>
        <w:rPr>
          <w:rFonts w:ascii="Arial" w:hAnsi="Arial"/>
        </w:rPr>
        <w:t>13. Integration and Traceability</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2088"/>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Related Component</w:t>
            </w:r>
          </w:p>
        </w:tc>
        <w:tc>
          <w:tcPr>
            <w:tcW w:type="dxa" w:w="7430"/>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Interface Relationship</w:t>
            </w:r>
          </w:p>
        </w:tc>
      </w:tr>
      <w:tr>
        <w:trPr>
          <w:cantSplit/>
        </w:trPr>
        <w:tc>
          <w:tcPr>
            <w:tcW w:type="dxa" w:w="2088"/>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AGIS Core</w:t>
            </w:r>
          </w:p>
        </w:tc>
        <w:tc>
          <w:tcPr>
            <w:tcW w:type="dxa" w:w="7430"/>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Identity, roles, permissions, Office Registry, Audit Area Registry, Audit Focus Registry, lists, documents, workflow, notifications, search, logs, audit trail, and configuration.</w:t>
            </w:r>
          </w:p>
        </w:tc>
      </w:tr>
      <w:tr>
        <w:trPr>
          <w:cantSplit/>
        </w:trPr>
        <w:tc>
          <w:tcPr>
            <w:tcW w:type="dxa" w:w="2088"/>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IAP</w:t>
            </w:r>
          </w:p>
        </w:tc>
        <w:tc>
          <w:tcPr>
            <w:tcW w:type="dxa" w:w="7430"/>
            <w:vAlign w:val="center"/>
            <w:tcMar>
              <w:top w:w="70" w:type="dxa"/>
              <w:start w:w="80" w:type="dxa"/>
              <w:bottom w:w="70" w:type="dxa"/>
              <w:end w:w="80" w:type="dxa"/>
            </w:tcMar>
          </w:tcPr>
          <w:p>
            <w:r>
              <w:rPr>
                <w:rFonts w:ascii="Aptos" w:hAnsi="Aptos"/>
              </w:rPr>
              <w:t>Provides approved planned-engagement information, initial scope references, priority, schedule, objectives, planned resources, and source authority; receives actual status, scope changes, schedule changes, completion, accomplishment, and coverage information.</w:t>
            </w:r>
          </w:p>
        </w:tc>
      </w:tr>
      <w:tr>
        <w:trPr>
          <w:cantSplit/>
        </w:trPr>
        <w:tc>
          <w:tcPr>
            <w:tcW w:type="dxa" w:w="2088"/>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ARM</w:t>
            </w:r>
          </w:p>
        </w:tc>
        <w:tc>
          <w:tcPr>
            <w:tcW w:type="dxa" w:w="7430"/>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Provides authorized competency, availability, training, workload, and resource information; AEM remains authoritative for actual engagement assignments and operational work.</w:t>
            </w:r>
          </w:p>
        </w:tc>
      </w:tr>
      <w:tr>
        <w:trPr>
          <w:cantSplit/>
        </w:trPr>
        <w:tc>
          <w:tcPr>
            <w:tcW w:type="dxa" w:w="2088"/>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CMS</w:t>
            </w:r>
          </w:p>
        </w:tc>
        <w:tc>
          <w:tcPr>
            <w:tcW w:type="dxa" w:w="7430"/>
            <w:vAlign w:val="center"/>
            <w:tcMar>
              <w:top w:w="70" w:type="dxa"/>
              <w:start w:w="80" w:type="dxa"/>
              <w:bottom w:w="70" w:type="dxa"/>
              <w:end w:w="80" w:type="dxa"/>
            </w:tcMar>
          </w:tcPr>
          <w:p>
            <w:r>
              <w:rPr>
                <w:rFonts w:ascii="Aptos" w:hAnsi="Aptos"/>
              </w:rPr>
              <w:t>Receives formally issued Audit Recommendations and required engagement, finding, risk, report, and stable source references for post-issuance monitoring; returns transfer acknowledgments, CMS Monitoring IDs, and reconciliation status. Formal Action Plans, responsible parties, target dates, implementation status, implementation evidence, CIAS follow-up validation, and closure remain authoritative in CMS.</w:t>
            </w:r>
          </w:p>
        </w:tc>
      </w:tr>
      <w:tr>
        <w:trPr>
          <w:cantSplit/>
        </w:trPr>
        <w:tc>
          <w:tcPr>
            <w:tcW w:type="dxa" w:w="2088"/>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AIS</w:t>
            </w:r>
          </w:p>
        </w:tc>
        <w:tc>
          <w:tcPr>
            <w:tcW w:type="dxa" w:w="7430"/>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Consumes authorized engagement, progress, finding, recommendation, report, timeliness, coverage, quality, and outcome information.</w:t>
            </w:r>
          </w:p>
        </w:tc>
      </w:tr>
    </w:tbl>
    <w:p>
      <w:pPr>
        <w:spacing w:after="80"/>
      </w:pPr>
      <w:r>
        <w:rPr>
          <w:rFonts w:ascii="Aptos" w:hAnsi="Aptos"/>
        </w:rPr>
        <w:t>The interface shall preserve traceability from the approved IAP item or authority record to the engagement; from Office, Audit Area, and Audit Focus to Process Flow Documentation, Risk Matrix Items, Audit Programs, objectives, criteria, and procedures; from procedures to Fieldwork Records and Working Papers; from an Evidence Request to acknowledgment, submission, and zero, one, or many authoritative Audit Evidence Records; from Audit Evidence to Audit Issues and AFRs; and from findings to recommendations, Management Comments, Auditor’s Rejoinders, Interim or Final Reports, distribution records, and CMS monitoring references.</w:t>
      </w:r>
    </w:p>
    <w:p>
      <w:pPr>
        <w:pStyle w:val="SectionHeading"/>
        <w:keepNext/>
      </w:pPr>
      <w:r>
        <w:rPr>
          <w:rFonts w:ascii="Arial" w:hAnsi="Arial"/>
        </w:rPr>
        <w:t>14. Public-Sector Audit Alignment Controls</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2160"/>
            <w:vAlign w:val="center"/>
            <w:tcMar>
              <w:top w:w="70" w:type="dxa"/>
              <w:start w:w="80" w:type="dxa"/>
              <w:bottom w:w="70" w:type="dxa"/>
              <w:end w:w="80" w:type="dxa"/>
            </w:tcMar>
            <w:shd w:fill="D9E2F3"/>
          </w:tcPr>
          <w:p>
            <w:pPr>
              <w:spacing w:after="0" w:before="0"/>
            </w:pPr>
            <w:r>
              <w:rPr>
                <w:rFonts w:ascii="Arial" w:hAnsi="Arial"/>
                <w:b/>
                <w:color w:val="222222"/>
                <w:sz w:val="16"/>
              </w:rPr>
            </w:r>
            <w:r>
              <w:rPr>
                <w:rFonts w:ascii="Arial" w:hAnsi="Arial"/>
                <w:b/>
                <w:color w:val="222222"/>
                <w:sz w:val="16"/>
              </w:rPr>
              <w:t>Control Area</w:t>
            </w:r>
          </w:p>
        </w:tc>
        <w:tc>
          <w:tcPr>
            <w:tcW w:type="dxa" w:w="7358"/>
            <w:vAlign w:val="center"/>
            <w:tcMar>
              <w:top w:w="70" w:type="dxa"/>
              <w:start w:w="80" w:type="dxa"/>
              <w:bottom w:w="70" w:type="dxa"/>
              <w:end w:w="80" w:type="dxa"/>
            </w:tcMar>
            <w:shd w:fill="D9E2F3"/>
          </w:tcPr>
          <w:p>
            <w:pPr>
              <w:spacing w:after="0" w:before="0"/>
            </w:pPr>
            <w:r>
              <w:rPr>
                <w:rFonts w:ascii="Arial" w:hAnsi="Arial"/>
                <w:b/>
                <w:color w:val="222222"/>
                <w:sz w:val="16"/>
              </w:rPr>
            </w:r>
            <w:r>
              <w:rPr>
                <w:rFonts w:ascii="Arial" w:hAnsi="Arial"/>
                <w:b/>
                <w:color w:val="222222"/>
                <w:sz w:val="16"/>
              </w:rPr>
              <w:t>UID-200 Requirement</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Engagement authority</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Record the approved IAP source or written authority for an unplanned engagement before activation.</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AEP and engagement KPIs</w:t>
            </w:r>
          </w:p>
        </w:tc>
        <w:tc>
          <w:tcPr>
            <w:tcW w:type="dxa" w:w="7358"/>
            <w:vAlign w:val="center"/>
            <w:tcMar>
              <w:top w:w="70" w:type="dxa"/>
              <w:start w:w="80" w:type="dxa"/>
              <w:bottom w:w="70" w:type="dxa"/>
              <w:end w:w="80" w:type="dxa"/>
            </w:tcMar>
          </w:tcPr>
          <w:p>
            <w:r>
              <w:rPr>
                <w:rFonts w:ascii="Aptos" w:hAnsi="Aptos"/>
              </w:rPr>
              <w:t>Require review and approval before authorized fieldwork; preserve communication to management, approved baseline, controlled amendments, effective date, and version history.</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Entry Conference</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Use the source-manual term Entry Conference; preserve briefing paper, agenda, participants, notes, agreements, requests, and follow-up actions.</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Evidence</w:t>
            </w:r>
          </w:p>
        </w:tc>
        <w:tc>
          <w:tcPr>
            <w:tcW w:type="dxa" w:w="7358"/>
            <w:vAlign w:val="center"/>
            <w:tcMar>
              <w:top w:w="70" w:type="dxa"/>
              <w:start w:w="80" w:type="dxa"/>
              <w:bottom w:w="70" w:type="dxa"/>
              <w:end w:w="80" w:type="dxa"/>
            </w:tcMar>
          </w:tcPr>
          <w:p>
            <w:r>
              <w:rPr>
                <w:rFonts w:ascii="Aptos" w:hAnsi="Aptos"/>
              </w:rPr>
              <w:t>Maintain separate Evidence Request and Audit Evidence Record lifecycles. Record evidence type / nature, source and custodian, acquisition method and form, related objective / criterion / control / risk, sufficiency contribution, appropriateness, relevance, reliability or competence, accuracy and completeness procedures, corroboration or contradiction, authenticity, integrity, confidentiality, limitations, access restrictions, professional assessment, and authoritative links. Receipt shall not automatically mean acceptance or authorized use.</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Audit Issue</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Use as a controlled AGIS bridge between execution and formal finding development; preserve source and disposition history.</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Finding structure</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Support Criteria, Condition, Conclusion, and Cause, with Significance / Effect / Risk and Recommendation retained as separate controlled information.</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Interim communication</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Support an Interim Audit Report when significant or urgent matters require communication before the Final Audit Report.</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Management response</w:t>
            </w:r>
          </w:p>
        </w:tc>
        <w:tc>
          <w:tcPr>
            <w:tcW w:type="dxa" w:w="7358"/>
            <w:vAlign w:val="center"/>
            <w:tcMar>
              <w:top w:w="70" w:type="dxa"/>
              <w:start w:w="80" w:type="dxa"/>
              <w:bottom w:w="70" w:type="dxa"/>
              <w:end w:w="80" w:type="dxa"/>
            </w:tcMar>
          </w:tcPr>
          <w:p>
            <w:r>
              <w:rPr>
                <w:rFonts w:ascii="Aptos" w:hAnsi="Aptos"/>
              </w:rPr>
              <w:t>AEM shall capture Management Comments and Auditor’s Rejoinders. An intended or proposed corrective action may remain within the Management Comment, but AEM shall not create the formal post-report Action Plan, implementation status, implementation evidence, follow-up validation, or recommendation-closure record governed by CMS.</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Report quality</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Support completeness, accuracy, conciseness, clarity, fairness, objectivity, source traceability, and review-note clearance.</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Report distribution</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Record the IAU Head recommendation and the authorized LCE or Presiding Officer distribution decision before release to recipients.</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Monitoring boundary</w:t>
            </w:r>
          </w:p>
        </w:tc>
        <w:tc>
          <w:tcPr>
            <w:tcW w:type="dxa" w:w="7358"/>
            <w:vAlign w:val="center"/>
            <w:tcMar>
              <w:top w:w="70" w:type="dxa"/>
              <w:start w:w="80" w:type="dxa"/>
              <w:bottom w:w="70" w:type="dxa"/>
              <w:end w:w="80" w:type="dxa"/>
            </w:tcMar>
          </w:tcPr>
          <w:p>
            <w:r>
              <w:rPr>
                <w:rFonts w:ascii="Aptos" w:hAnsi="Aptos"/>
              </w:rPr>
              <w:t>Use the Final Audit Report or another expressly authorized issuance as the basis for transferring formally issued Audit Recommendations and stable source references to CMS. CMS owns the formal Action Plan and subsequent implementation monitoring.</w:t>
            </w:r>
          </w:p>
        </w:tc>
      </w:tr>
      <w:tr>
        <w:trPr>
          <w:cantSplit/>
        </w:trPr>
        <w:tc>
          <w:tcPr>
            <w:tcW w:type="dxa" w:w="2160"/>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Quality and assessment</w:t>
            </w:r>
          </w:p>
        </w:tc>
        <w:tc>
          <w:tcPr>
            <w:tcW w:type="dxa" w:w="7358"/>
            <w:vAlign w:val="center"/>
            <w:tcMar>
              <w:top w:w="70" w:type="dxa"/>
              <w:start w:w="80" w:type="dxa"/>
              <w:bottom w:w="70" w:type="dxa"/>
              <w:end w:w="80" w:type="dxa"/>
            </w:tcMar>
          </w:tcPr>
          <w:p>
            <w:pPr>
              <w:spacing w:after="0" w:before="0"/>
            </w:pPr>
            <w:r>
              <w:rPr>
                <w:rFonts w:ascii="Arial" w:hAnsi="Arial"/>
                <w:color w:val="222222"/>
                <w:sz w:val="16"/>
              </w:rPr>
            </w:r>
            <w:r>
              <w:rPr>
                <w:rFonts w:ascii="Arial" w:hAnsi="Arial"/>
                <w:b w:val="0"/>
                <w:color w:val="222222"/>
                <w:sz w:val="16"/>
              </w:rPr>
              <w:t>Support engagement supervision, progress assessment, completion assessment, lessons learned, and required approval.</w:t>
            </w:r>
          </w:p>
        </w:tc>
      </w:tr>
      <w:tr>
        <w:trPr>
          <w:cantSplit/>
        </w:trPr>
        <w:tc>
          <w:tcPr>
            <w:tcW w:type="dxa" w:w="4759"/>
          </w:tcPr>
          <w:p>
            <w:r>
              <w:rPr>
                <w:rFonts w:ascii="Aptos" w:hAnsi="Aptos"/>
              </w:rPr>
              <w:t>Audit Planning Package</w:t>
            </w:r>
          </w:p>
        </w:tc>
        <w:tc>
          <w:tcPr>
            <w:tcW w:type="dxa" w:w="4759"/>
          </w:tcPr>
          <w:p>
            <w:r>
              <w:rPr>
                <w:rFonts w:ascii="Aptos" w:hAnsi="Aptos"/>
              </w:rPr>
              <w:t>Surface Preliminary Survey, Process Flow Documentation, communicated AEP and engagement KPIs, approved Risk Matrix, approved Audit Program, detailed Audit Procedures, planned man-days, Working Paper references, and applicable Sampling Working Papers; show review, approval, communication, amendment, and readiness state before authorized fieldwork.</w:t>
            </w:r>
          </w:p>
        </w:tc>
      </w:tr>
      <w:tr>
        <w:trPr>
          <w:cantSplit/>
        </w:trPr>
        <w:tc>
          <w:tcPr>
            <w:tcW w:type="dxa" w:w="4759"/>
          </w:tcPr>
          <w:p>
            <w:r>
              <w:rPr>
                <w:rFonts w:ascii="Aptos" w:hAnsi="Aptos"/>
              </w:rPr>
              <w:t>Risk Matrix</w:t>
            </w:r>
          </w:p>
        </w:tc>
        <w:tc>
          <w:tcPr>
            <w:tcW w:type="dxa" w:w="4759"/>
          </w:tcPr>
          <w:p>
            <w:r>
              <w:rPr>
                <w:rFonts w:ascii="Aptos" w:hAnsi="Aptos"/>
              </w:rPr>
              <w:t>Present each Risk Matrix Item as Audit Focus, Process / Risk Area, Potential Risks, and Planned Audit Approach, with links to Process Flow Documentation, Audit Program, and Audit Procedures.</w:t>
            </w:r>
          </w:p>
        </w:tc>
      </w:tr>
      <w:tr>
        <w:trPr>
          <w:cantSplit/>
        </w:trPr>
        <w:tc>
          <w:tcPr>
            <w:tcW w:type="dxa" w:w="4759"/>
          </w:tcPr>
          <w:p>
            <w:r>
              <w:rPr>
                <w:rFonts w:ascii="Aptos" w:hAnsi="Aptos"/>
              </w:rPr>
              <w:t>Audit Program</w:t>
            </w:r>
          </w:p>
        </w:tc>
        <w:tc>
          <w:tcPr>
            <w:tcW w:type="dxa" w:w="4759"/>
          </w:tcPr>
          <w:p>
            <w:r>
              <w:rPr>
                <w:rFonts w:ascii="Aptos" w:hAnsi="Aptos"/>
              </w:rPr>
              <w:t>Present Audit Information for the applicable Audit Area and detailed Audit Procedures showing Process, Procedures, Persons Responsible, planned Man-days, Working Paper Reference, and Review and Approval.</w:t>
            </w:r>
          </w:p>
        </w:tc>
      </w:tr>
    </w:tbl>
    <w:p>
      <w:pPr>
        <w:pStyle w:val="SectionHeading"/>
        <w:keepNext/>
      </w:pPr>
      <w:r>
        <w:rPr>
          <w:rFonts w:ascii="Arial" w:hAnsi="Arial"/>
        </w:rPr>
        <w:t>15. Screen and Workflow Diagram Governance</w:t>
      </w:r>
    </w:p>
    <w:p>
      <w:pPr>
        <w:spacing w:after="80"/>
      </w:pPr>
      <w:r>
        <w:rPr>
          <w:rFonts w:ascii="Arial" w:hAnsi="Arial"/>
        </w:rPr>
        <w:t>UID-200 governs AEM screen architecture, controlled Screen IDs, lifecycle navigation, shared AEM components, and user flow. Each SCR shall define the detailed purpose, users, information, actions, states, validation, permissions, workflow behavior, acceptance criteria, and companion wireframe for one controlled screen or closely related screen group. DGM artifacts shall visualize approved cross-screen relationships and events without creating new functional requirements.</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3173"/>
        <w:gridCol w:w="3173"/>
        <w:gridCol w:w="3173"/>
      </w:tblGrid>
      <w:tr>
        <w:trPr>
          <w:cantSplit/>
          <w:tblHeader w:val="true"/>
        </w:trPr>
        <w:tc>
          <w:tcPr>
            <w:tcW w:type="dxa" w:w="1944"/>
            <w:vAlign w:val="center"/>
            <w:tcMar>
              <w:top w:w="70" w:type="dxa"/>
              <w:start w:w="80" w:type="dxa"/>
              <w:bottom w:w="70" w:type="dxa"/>
              <w:end w:w="80" w:type="dxa"/>
            </w:tcMar>
            <w:shd w:fill="D9E2F3"/>
          </w:tcPr>
          <w:p>
            <w:pPr>
              <w:spacing w:after="0" w:before="0"/>
            </w:pPr>
            <w:r>
              <w:rPr>
                <w:rFonts w:ascii="Arial" w:hAnsi="Arial"/>
                <w:b/>
                <w:color w:val="222222"/>
                <w:sz w:val="16"/>
              </w:rPr>
              <w:t>Diagram ID</w:t>
            </w:r>
          </w:p>
        </w:tc>
        <w:tc>
          <w:tcPr>
            <w:tcW w:type="dxa" w:w="3384"/>
            <w:vAlign w:val="center"/>
            <w:tcMar>
              <w:top w:w="70" w:type="dxa"/>
              <w:start w:w="80" w:type="dxa"/>
              <w:bottom w:w="70" w:type="dxa"/>
              <w:end w:w="80" w:type="dxa"/>
            </w:tcMar>
            <w:shd w:fill="D9E2F3"/>
          </w:tcPr>
          <w:p>
            <w:pPr>
              <w:spacing w:after="0" w:before="0"/>
            </w:pPr>
            <w:r>
              <w:rPr>
                <w:rFonts w:ascii="Arial" w:hAnsi="Arial"/>
                <w:b/>
                <w:color w:val="222222"/>
                <w:sz w:val="16"/>
              </w:rPr>
              <w:t>Title / Scope</w:t>
            </w:r>
          </w:p>
        </w:tc>
        <w:tc>
          <w:tcPr>
            <w:tcW w:type="dxa" w:w="4190"/>
            <w:vAlign w:val="center"/>
            <w:tcMar>
              <w:top w:w="70" w:type="dxa"/>
              <w:start w:w="80" w:type="dxa"/>
              <w:bottom w:w="70" w:type="dxa"/>
              <w:end w:w="80" w:type="dxa"/>
            </w:tcMar>
            <w:shd w:fill="D9E2F3"/>
          </w:tcPr>
          <w:p>
            <w:pPr>
              <w:spacing w:after="0" w:before="0"/>
            </w:pPr>
            <w:r>
              <w:rPr>
                <w:rFonts w:ascii="Arial" w:hAnsi="Arial"/>
                <w:b/>
                <w:color w:val="222222"/>
                <w:sz w:val="16"/>
              </w:rPr>
              <w:t>Status</w:t>
            </w:r>
          </w:p>
        </w:tc>
      </w:tr>
      <w:tr>
        <w:trPr>
          <w:cantSplit/>
        </w:trPr>
        <w:tc>
          <w:tcPr>
            <w:tcW w:type="dxa" w:w="1944"/>
            <w:vAlign w:val="center"/>
            <w:tcMar>
              <w:top w:w="70" w:type="dxa"/>
              <w:start w:w="80" w:type="dxa"/>
              <w:bottom w:w="70" w:type="dxa"/>
              <w:end w:w="80" w:type="dxa"/>
            </w:tcMar>
          </w:tcPr>
          <w:p>
            <w:pPr>
              <w:spacing w:after="0" w:before="0"/>
            </w:pPr>
            <w:r>
              <w:rPr>
                <w:rFonts w:ascii="Arial" w:hAnsi="Arial"/>
                <w:color w:val="222222"/>
                <w:sz w:val="16"/>
              </w:rPr>
              <w:t>DGM-200-01</w:t>
            </w:r>
          </w:p>
        </w:tc>
        <w:tc>
          <w:tcPr>
            <w:tcW w:type="dxa" w:w="3384"/>
            <w:vAlign w:val="center"/>
            <w:tcMar>
              <w:top w:w="70" w:type="dxa"/>
              <w:start w:w="80" w:type="dxa"/>
              <w:bottom w:w="70" w:type="dxa"/>
              <w:end w:w="80" w:type="dxa"/>
            </w:tcMar>
          </w:tcPr>
          <w:p>
            <w:pPr>
              <w:spacing w:after="0" w:before="0"/>
            </w:pPr>
            <w:r>
              <w:rPr>
                <w:rFonts w:ascii="Arial" w:hAnsi="Arial"/>
                <w:color w:val="222222"/>
                <w:sz w:val="16"/>
              </w:rPr>
              <w:t>AEM Master SCR and Event Workflow Diagram — all controlled AEM SCRs, major navigation paths, lifecycle events, exception paths, and cross-cutting auditability and notification events.</w:t>
            </w:r>
          </w:p>
        </w:tc>
        <w:tc>
          <w:tcPr>
            <w:tcW w:type="dxa" w:w="4190"/>
            <w:vAlign w:val="center"/>
            <w:tcMar>
              <w:top w:w="70" w:type="dxa"/>
              <w:start w:w="80" w:type="dxa"/>
              <w:bottom w:w="70" w:type="dxa"/>
              <w:end w:w="80" w:type="dxa"/>
            </w:tcMar>
          </w:tcPr>
          <w:p>
            <w:r>
              <w:rPr>
                <w:rFonts w:ascii="Aptos" w:hAnsi="Aptos"/>
              </w:rPr>
              <w:t>Draft v0.1 — Current companion; requires alignment to UID-200 v0.5 before baseline</w:t>
            </w:r>
          </w:p>
        </w:tc>
      </w:tr>
      <w:tr>
        <w:trPr>
          <w:cantSplit/>
        </w:trPr>
        <w:tc>
          <w:tcPr>
            <w:tcW w:type="dxa" w:w="1944"/>
            <w:vAlign w:val="center"/>
            <w:tcMar>
              <w:top w:w="70" w:type="dxa"/>
              <w:start w:w="80" w:type="dxa"/>
              <w:bottom w:w="70" w:type="dxa"/>
              <w:end w:w="80" w:type="dxa"/>
            </w:tcMar>
          </w:tcPr>
          <w:p>
            <w:pPr>
              <w:spacing w:after="0" w:before="0"/>
            </w:pPr>
            <w:r>
              <w:rPr>
                <w:rFonts w:ascii="Arial" w:hAnsi="Arial"/>
                <w:color w:val="222222"/>
                <w:sz w:val="16"/>
              </w:rPr>
              <w:t>DGM-200-02</w:t>
            </w:r>
          </w:p>
        </w:tc>
        <w:tc>
          <w:tcPr>
            <w:tcW w:type="dxa" w:w="3384"/>
            <w:vAlign w:val="center"/>
            <w:tcMar>
              <w:top w:w="70" w:type="dxa"/>
              <w:start w:w="80" w:type="dxa"/>
              <w:bottom w:w="70" w:type="dxa"/>
              <w:end w:w="80" w:type="dxa"/>
            </w:tcMar>
          </w:tcPr>
          <w:p>
            <w:pPr>
              <w:spacing w:after="0" w:before="0"/>
            </w:pPr>
            <w:r>
              <w:rPr>
                <w:rFonts w:ascii="Arial" w:hAnsi="Arial"/>
                <w:color w:val="222222"/>
                <w:sz w:val="16"/>
              </w:rPr>
              <w:t>AEM Record Status and Transition Diagram — controlled record states and permitted transitions, including separate Evidence Request and Audit Evidence lifecycles.</w:t>
            </w:r>
          </w:p>
        </w:tc>
        <w:tc>
          <w:tcPr>
            <w:tcW w:type="dxa" w:w="4190"/>
            <w:vAlign w:val="center"/>
            <w:tcMar>
              <w:top w:w="70" w:type="dxa"/>
              <w:start w:w="80" w:type="dxa"/>
              <w:bottom w:w="70" w:type="dxa"/>
              <w:end w:w="80" w:type="dxa"/>
            </w:tcMar>
          </w:tcPr>
          <w:p>
            <w:pPr>
              <w:spacing w:after="0" w:before="0"/>
            </w:pPr>
            <w:r>
              <w:rPr>
                <w:rFonts w:ascii="Arial" w:hAnsi="Arial"/>
                <w:color w:val="222222"/>
                <w:sz w:val="16"/>
              </w:rPr>
              <w:t>Planned</w:t>
            </w:r>
          </w:p>
        </w:tc>
      </w:tr>
      <w:tr>
        <w:trPr>
          <w:cantSplit/>
        </w:trPr>
        <w:tc>
          <w:tcPr>
            <w:tcW w:type="dxa" w:w="1944"/>
            <w:vAlign w:val="center"/>
            <w:tcMar>
              <w:top w:w="70" w:type="dxa"/>
              <w:start w:w="80" w:type="dxa"/>
              <w:bottom w:w="70" w:type="dxa"/>
              <w:end w:w="80" w:type="dxa"/>
            </w:tcMar>
          </w:tcPr>
          <w:p>
            <w:pPr>
              <w:spacing w:after="0" w:before="0"/>
            </w:pPr>
            <w:r>
              <w:rPr>
                <w:rFonts w:ascii="Arial" w:hAnsi="Arial"/>
                <w:color w:val="222222"/>
                <w:sz w:val="16"/>
              </w:rPr>
              <w:t>DGM-200-03</w:t>
            </w:r>
          </w:p>
        </w:tc>
        <w:tc>
          <w:tcPr>
            <w:tcW w:type="dxa" w:w="3384"/>
            <w:vAlign w:val="center"/>
            <w:tcMar>
              <w:top w:w="70" w:type="dxa"/>
              <w:start w:w="80" w:type="dxa"/>
              <w:bottom w:w="70" w:type="dxa"/>
              <w:end w:w="80" w:type="dxa"/>
            </w:tcMar>
          </w:tcPr>
          <w:p>
            <w:pPr>
              <w:spacing w:after="0" w:before="0"/>
            </w:pPr>
            <w:r>
              <w:rPr>
                <w:rFonts w:ascii="Arial" w:hAnsi="Arial"/>
                <w:color w:val="222222"/>
                <w:sz w:val="16"/>
              </w:rPr>
              <w:t>AEM Responsibility Swimlane Diagram — performers, reviewers, approvers, auditee or management, AGIS, and CMS responsibility handoffs.</w:t>
            </w:r>
          </w:p>
        </w:tc>
        <w:tc>
          <w:tcPr>
            <w:tcW w:type="dxa" w:w="4190"/>
            <w:vAlign w:val="center"/>
            <w:tcMar>
              <w:top w:w="70" w:type="dxa"/>
              <w:start w:w="80" w:type="dxa"/>
              <w:bottom w:w="70" w:type="dxa"/>
              <w:end w:w="80" w:type="dxa"/>
            </w:tcMar>
          </w:tcPr>
          <w:p>
            <w:pPr>
              <w:spacing w:after="0" w:before="0"/>
            </w:pPr>
            <w:r>
              <w:rPr>
                <w:rFonts w:ascii="Arial" w:hAnsi="Arial"/>
                <w:color w:val="222222"/>
                <w:sz w:val="16"/>
              </w:rPr>
              <w:t>Planned</w:t>
            </w:r>
          </w:p>
        </w:tc>
      </w:tr>
    </w:tbl>
    <w:p>
      <w:pPr/>
      <w:r>
        <w:t>Diagram numbering shall use DGM-200-xx for cross-cutting AEM diagrams and DGM-210-xx through DGM-260-xx for phase-specific diagrams aligned with the applicable SCR series. In case of inconsistency, UID-200 governs the controlled screen inventory and relationships, the applicable SCR governs individual screen behavior, and the DGM shall be updated accordingly.</w:t>
      </w:r>
    </w:p>
    <w:tbl>
      <w:tblPr>
        <w:tblW w:type="auto" w:w="0"/>
        <w:tblLayout w:type="fixed"/>
        <w:tblLook w:firstColumn="1" w:firstRow="1" w:lastColumn="0" w:lastRow="0" w:noHBand="0" w:noVBand="1" w:val="04A0"/>
        <w:jc w:val="center"/>
        <w:tblBorders>
          <w:top w:val="single" w:sz="8" w:space="0" w:color="AAB7C4"/>
          <w:start w:val="single" w:sz="8" w:space="0" w:color="AAB7C4"/>
          <w:bottom w:val="single" w:sz="8" w:space="0" w:color="AAB7C4"/>
          <w:end w:val="single" w:sz="8" w:space="0" w:color="AAB7C4"/>
          <w:insideH w:val="single" w:sz="8" w:space="0" w:color="AAB7C4"/>
          <w:insideV w:val="single" w:sz="8" w:space="0" w:color="AAB7C4"/>
        </w:tblBorders>
      </w:tblPr>
      <w:tblGrid>
        <w:gridCol w:w="9519"/>
      </w:tblGrid>
      <w:tr>
        <w:trPr>
          <w:cantSplit/>
        </w:trPr>
        <w:tc>
          <w:tcPr>
            <w:tcW w:type="dxa" w:w="9518"/>
            <w:tcMar>
              <w:top w:w="110" w:type="dxa"/>
              <w:start w:w="120" w:type="dxa"/>
              <w:bottom w:w="110" w:type="dxa"/>
              <w:end w:w="120" w:type="dxa"/>
            </w:tcMar>
            <w:shd w:fill="F4F4F4"/>
          </w:tcPr>
          <w:p>
            <w:r>
              <w:rPr>
                <w:rFonts w:ascii="Aptos" w:hAnsi="Aptos"/>
              </w:rPr>
              <w:t>BOUNDARY</w:t>
              <w:br/>
              <w:t>UID-200 shall not duplicate the functional requirements, entity definitions, complete status definitions, Module Rules, or AEM–CMS ownership rules controlled in MDS-200 v0.8. It shall show how users navigate and interact with approved AEM concepts. Process Flow Documentation and Risk Matrix remain controlled planning artifacts under SCR-221 unless a later approved UID revision establishes a justified separate screen. Formal Action Plans and implementation-status functions remain in CMS. New Screen IDs shall be added only through a controlled UID-200 revision.</w:t>
            </w:r>
          </w:p>
        </w:tc>
      </w:tr>
    </w:tbl>
    <w:p>
      <w:pPr>
        <w:pStyle w:val="SectionHeading"/>
        <w:keepNext/>
      </w:pPr>
      <w:r>
        <w:rPr>
          <w:rFonts w:ascii="Arial" w:hAnsi="Arial"/>
        </w:rPr>
        <w:t>16. Open Design Decisions</w:t>
      </w:r>
    </w:p>
    <w:p>
      <w:pPr>
        <w:pStyle w:val="ListBullet"/>
        <w:spacing w:after="30"/>
      </w:pPr>
      <w:r>
        <w:rPr>
          <w:rFonts w:ascii="Aptos" w:hAnsi="Aptos"/>
        </w:rPr>
        <w:t>The first-release presentation and editing pattern for Process Flow Documentation and Risk Matrix within SCR-221, including flowchart or narrative support and approval/version display.</w:t>
      </w:r>
    </w:p>
    <w:p>
      <w:pPr>
        <w:pStyle w:val="ListBullet"/>
        <w:spacing w:after="30"/>
      </w:pPr>
      <w:r>
        <w:rPr>
          <w:rFonts w:ascii="Aptos" w:hAnsi="Aptos"/>
        </w:rPr>
        <w:t>The first-release Working Paper authoring approach: structured form, document upload, template-based document, or approved combination.</w:t>
      </w:r>
    </w:p>
    <w:p>
      <w:pPr>
        <w:pStyle w:val="ListBullet"/>
        <w:spacing w:after="30"/>
      </w:pPr>
      <w:r>
        <w:rPr>
          <w:rFonts w:ascii="Aptos" w:hAnsi="Aptos"/>
        </w:rPr>
        <w:t>The report assembly approach and degree of structured content generation.</w:t>
      </w:r>
    </w:p>
    <w:p>
      <w:pPr>
        <w:pStyle w:val="ListBullet"/>
      </w:pPr>
      <w:r>
        <w:rPr>
          <w:rFonts w:ascii="Aptos" w:hAnsi="Aptos"/>
        </w:rPr>
        <w:t>The approved online interaction available to auditee or management representatives, including receipt, acknowledgment, extension, and submission of Evidence Requests and Management Comments.</w:t>
      </w:r>
    </w:p>
    <w:p>
      <w:pPr>
        <w:pStyle w:val="ListBullet"/>
        <w:spacing w:after="30"/>
      </w:pPr>
      <w:r>
        <w:rPr>
          <w:rFonts w:ascii="Aptos" w:hAnsi="Aptos"/>
        </w:rPr>
        <w:t>The first-release evidence intake and protection approach, including upload, link, physical-evidence registration, custody and integrity information, restricted evidence, and archival handling.</w:t>
      </w:r>
    </w:p>
    <w:p>
      <w:pPr>
        <w:pStyle w:val="ListBullet"/>
        <w:spacing w:after="30"/>
      </w:pPr>
      <w:r>
        <w:rPr>
          <w:rFonts w:ascii="Aptos" w:hAnsi="Aptos"/>
        </w:rPr>
        <w:t>The detailed authority and signatory presentation for AEO, AEP, conference waivers, AFR issuance, Interim and Final Reports, distribution, completion, closure, and reopening.</w:t>
      </w:r>
    </w:p>
    <w:p>
      <w:pPr>
        <w:pStyle w:val="ListBullet"/>
        <w:spacing w:after="30"/>
      </w:pPr>
      <w:r>
        <w:rPr>
          <w:rFonts w:ascii="Aptos" w:hAnsi="Aptos"/>
        </w:rPr>
        <w:t>The approved risk-rating model and the display of risk and significance throughout AEM.</w:t>
      </w:r>
    </w:p>
    <w:p>
      <w:pPr>
        <w:pStyle w:val="ListBullet"/>
        <w:spacing w:after="30"/>
      </w:pPr>
      <w:r>
        <w:rPr>
          <w:rFonts w:ascii="Aptos" w:hAnsi="Aptos"/>
        </w:rPr>
        <w:t>The extent of actual time and effort recording within AEM versus ARM.</w:t>
      </w:r>
    </w:p>
    <w:p>
      <w:pPr>
        <w:pStyle w:val="ListBullet"/>
      </w:pPr>
      <w:r>
        <w:rPr>
          <w:rFonts w:ascii="Aptos" w:hAnsi="Aptos"/>
        </w:rPr>
        <w:t>The first-release responsive behavior for complex tables, tabbed engagement workspaces, Risk Matrices, Audit Programs, and document review.</w:t>
      </w:r>
    </w:p>
    <w:p>
      <w:pPr>
        <w:pStyle w:val="SectionHeading"/>
        <w:keepNext/>
      </w:pPr>
      <w:r>
        <w:rPr>
          <w:rFonts w:ascii="Arial" w:hAnsi="Arial"/>
        </w:rPr>
        <w:t>Approval</w:t>
      </w:r>
    </w:p>
    <w:tbl>
      <w:tblPr>
        <w:tblW w:type="auto" w:w="0"/>
        <w:tblLayout w:type="fixed"/>
        <w:tblLook w:firstColumn="1" w:firstRow="1" w:lastColumn="0" w:lastRow="0" w:noHBand="0" w:noVBand="1" w:val="04A0"/>
        <w:jc w:val="center"/>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4759"/>
        <w:gridCol w:w="4759"/>
      </w:tblGrid>
      <w:tr>
        <w:trPr>
          <w:cantSplit/>
          <w:tblHeader w:val="true"/>
        </w:trPr>
        <w:tc>
          <w:tcPr>
            <w:tcW w:type="dxa" w:w="4759"/>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Prepared by</w:t>
            </w:r>
          </w:p>
        </w:tc>
        <w:tc>
          <w:tcPr>
            <w:tcW w:type="dxa" w:w="4759"/>
            <w:vAlign w:val="center"/>
            <w:tcMar>
              <w:top w:w="70" w:type="dxa"/>
              <w:start w:w="80" w:type="dxa"/>
              <w:bottom w:w="70" w:type="dxa"/>
              <w:end w:w="80" w:type="dxa"/>
            </w:tcMar>
            <w:shd w:fill="D9E2F3"/>
          </w:tcPr>
          <w:p>
            <w:pPr>
              <w:spacing w:after="0" w:before="0"/>
            </w:pPr>
            <w:r>
              <w:rPr>
                <w:rFonts w:ascii="Arial" w:hAnsi="Arial"/>
                <w:b/>
                <w:color w:val="222222"/>
                <w:sz w:val="17"/>
              </w:rPr>
            </w:r>
            <w:r>
              <w:rPr>
                <w:rFonts w:ascii="Arial" w:hAnsi="Arial"/>
                <w:b/>
                <w:color w:val="222222"/>
                <w:sz w:val="17"/>
              </w:rPr>
              <w:t>Approved by</w:t>
            </w:r>
          </w:p>
        </w:tc>
      </w:tr>
      <w:tr>
        <w:trPr>
          <w:cantSplit/>
        </w:trPr>
        <w:tc>
          <w:tcPr>
            <w:tcW w:type="dxa" w:w="4759"/>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Kim V. Lao</w:t>
              <w:br/>
              <w:t>Project Manager / IS Lead</w:t>
              <w:br/>
              <w:t>CIAS-IS | CIAS-AGIS</w:t>
              <w:br/>
              <w:br/>
              <w:t>Signature: ____________________</w:t>
              <w:br/>
              <w:t>Date: _________________________</w:t>
            </w:r>
          </w:p>
        </w:tc>
        <w:tc>
          <w:tcPr>
            <w:tcW w:type="dxa" w:w="4759"/>
            <w:vAlign w:val="center"/>
            <w:tcMar>
              <w:top w:w="70" w:type="dxa"/>
              <w:start w:w="80" w:type="dxa"/>
              <w:bottom w:w="70" w:type="dxa"/>
              <w:end w:w="80" w:type="dxa"/>
            </w:tcMar>
          </w:tcPr>
          <w:p>
            <w:pPr>
              <w:spacing w:after="0" w:before="0"/>
            </w:pPr>
            <w:r>
              <w:rPr>
                <w:rFonts w:ascii="Arial" w:hAnsi="Arial"/>
                <w:color w:val="222222"/>
                <w:sz w:val="17"/>
              </w:rPr>
            </w:r>
            <w:r>
              <w:rPr>
                <w:rFonts w:ascii="Arial" w:hAnsi="Arial"/>
                <w:b w:val="0"/>
                <w:color w:val="222222"/>
                <w:sz w:val="17"/>
              </w:rPr>
              <w:t>Cherrybelle A. Lao, CPA, CrFA, CICA, REB, MBA</w:t>
              <w:br/>
              <w:t>CIAS Department Head</w:t>
              <w:br/>
              <w:br/>
              <w:br/>
              <w:t>Signature: ____________________</w:t>
              <w:br/>
              <w:t>Date: _________________________</w:t>
            </w:r>
          </w:p>
        </w:tc>
      </w:tr>
    </w:tbl>
    <w:sectPr w:rsidR="00FC693F" w:rsidRPr="0006063C" w:rsidSect="00034616">
      <w:headerReference w:type="default" r:id="rId9"/>
      <w:footerReference w:type="default" r:id="rId10"/>
      <w:pgSz w:w="11909" w:h="16834"/>
      <w:pgMar w:top="1037" w:right="1195" w:bottom="979" w:left="119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A5A5A"/>
        <w:sz w:val="16"/>
      </w:rPr>
      <w:t>CIAS-IS | Audit Governance Information System (AGIS)</w:t>
    </w:r>
  </w:p>
  <w:p>
    <w:pPr>
      <w:jc w:val="right"/>
    </w:pPr>
    <w:r>
      <w:rPr>
        <w:rFonts w:ascii="Arial" w:hAnsi="Arial"/>
        <w:sz w:val="16"/>
      </w:rPr>
      <w:t xml:space="preserve">Page </w:t>
    </w:r>
    <w:r>
      <w:rPr>
        <w:rFonts w:ascii="Arial" w:hAnsi="Arial"/>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rPr>
      <w:t>UID-200  |  Audit Engagement Management User Interface Design Specification  |  Version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after="120"/>
    </w:pPr>
    <w:rPr>
      <w:rFonts w:ascii="Arial" w:hAnsi="Arial"/>
      <w:b/>
      <w:color w:val="111111"/>
      <w:sz w:val="44"/>
    </w:rPr>
  </w:style>
  <w:style w:type="paragraph" w:customStyle="1" w:styleId="TitleID">
    <w:name w:val="TitleID"/>
    <w:pPr>
      <w:spacing w:after="120"/>
    </w:pPr>
    <w:rPr>
      <w:rFonts w:ascii="Arial" w:hAnsi="Arial"/>
      <w:b/>
      <w:color w:val="111111"/>
      <w:sz w:val="34"/>
    </w:rPr>
  </w:style>
  <w:style w:type="paragraph" w:customStyle="1" w:styleId="SectionHeading">
    <w:name w:val="SectionHeading"/>
    <w:pPr>
      <w:keepNext/>
      <w:spacing w:after="120"/>
    </w:pPr>
    <w:rPr>
      <w:rFonts w:ascii="Arial" w:hAnsi="Arial"/>
      <w:b/>
      <w:color w:val="111111"/>
      <w:sz w:val="30"/>
    </w:rPr>
  </w:style>
  <w:style w:type="paragraph" w:customStyle="1" w:styleId="SubHeading">
    <w:name w:val="SubHeading"/>
    <w:pPr>
      <w:keepNext/>
      <w:spacing w:after="120"/>
    </w:pPr>
    <w:rPr>
      <w:rFonts w:ascii="Arial" w:hAnsi="Arial"/>
      <w:b/>
      <w:color w:val="222222"/>
      <w:sz w:val="23"/>
    </w:rPr>
  </w:style>
  <w:style w:type="paragraph" w:customStyle="1" w:styleId="SmallText">
    <w:name w:val="SmallText"/>
    <w:pPr>
      <w:spacing w:after="120"/>
    </w:pPr>
    <w:rPr>
      <w:rFonts w:ascii="Arial" w:hAnsi="Arial"/>
      <w:b w:val="0"/>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UID-200 Audit Engagement Management User Interface Design Specification v0.3</dc:title>
  <dc:subject>AEM controlled screen architecture and user interface flow</dc:subject>
  <dc:creator>python-docx</dc:creator>
  <cp:keywords/>
  <dc:description>Updated 5 August 2026</dc:description>
  <cp:lastModifiedBy/>
  <cp:revision>1</cp:revision>
  <dcterms:created xsi:type="dcterms:W3CDTF">2013-12-23T23:15:00Z</dcterms:created>
  <dcterms:modified xsi:type="dcterms:W3CDTF">2013-12-23T23:15:00Z</dcterms:modified>
  <cp:category/>
</cp:coreProperties>
</file>