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D668" w14:textId="694B7E32" w:rsidR="00234CB3" w:rsidRDefault="00150207" w:rsidP="00215F25">
      <w:pPr>
        <w:ind w:firstLine="720"/>
      </w:pPr>
      <w:r>
        <w:t>Hey Quineice, your post was very enlightening</w:t>
      </w:r>
      <w:r w:rsidR="00215F25">
        <w:t xml:space="preserve"> and encouraged me to think differently about the topics. To start, what is an example of how a distributed database makes data more relatable to a user? Are you looking at this in terms of a commercial company with a public interface? If a company decided to use a distributed database, would the schema be set up in such a way that all necessary data for a specific region reside within that region, or would only certain tables exist within a certain region?</w:t>
      </w:r>
      <w:r w:rsidR="00D47C9F">
        <w:t xml:space="preserve"> I agree with you that a distributed database is reliable due to its autonomy of data sets. Aurora distributed database management system (DBMS) is a great example of a distributed database. It separates storage from computing, thus reducing the necessary instance sizes, as well as replicating data in multiple regions (Chen et al., 2021). </w:t>
      </w:r>
      <w:r w:rsidR="00125D6E">
        <w:t>I use Aurora DBMS for my work, and I find it is quite beneficial for decoupling database reads and writes.</w:t>
      </w:r>
    </w:p>
    <w:p w14:paraId="10352F64" w14:textId="06C5D4B9" w:rsidR="00125D6E" w:rsidRDefault="00EB56B6" w:rsidP="00215F25">
      <w:pPr>
        <w:ind w:firstLine="720"/>
      </w:pPr>
      <w:r>
        <w:t>You make an excellent point that response time must account for the user’s response time as well. This can be a varying number as everyone is different. Making the distinction of response times on computers and laptops versus smartphones and tablets, do acceptable response times change? Should a smartphone be less responsive than a computer, or just as fast, and with lesser processing power?</w:t>
      </w:r>
    </w:p>
    <w:p w14:paraId="6E7E731E" w14:textId="6584165B" w:rsidR="003C29DC" w:rsidRDefault="001F0719" w:rsidP="00215F25">
      <w:pPr>
        <w:ind w:firstLine="720"/>
      </w:pPr>
      <w:r>
        <w:t xml:space="preserve">With much of the country moving to remote work in recent years, is centralized data processing facility still the best option for IT support? An estimated 37% of American are now working from home. Would they still be able to perform their IT tasks on a centralized data processing facility from home? This is </w:t>
      </w:r>
      <w:proofErr w:type="gramStart"/>
      <w:r>
        <w:t>definitely a</w:t>
      </w:r>
      <w:proofErr w:type="gramEnd"/>
      <w:r>
        <w:t xml:space="preserve"> question that ties into more areas than just centralized data facilities, but it worth noting, given the numerous advantages of centralized data processing.</w:t>
      </w:r>
    </w:p>
    <w:p w14:paraId="175A8EAE" w14:textId="6F6BC88F" w:rsidR="001F0719" w:rsidRDefault="001F0719" w:rsidP="00215F25">
      <w:pPr>
        <w:ind w:firstLine="720"/>
      </w:pPr>
      <w:r>
        <w:t xml:space="preserve">When looking into </w:t>
      </w:r>
      <w:r w:rsidR="008546DE">
        <w:t xml:space="preserve">equipment and processes for redundancies in data facilities, what might a couple of environmental controls? Are these processes like system cooling and environmental protection? When creating data processing facilities, the direction of server rack affects </w:t>
      </w:r>
      <w:proofErr w:type="gramStart"/>
      <w:r w:rsidR="008546DE">
        <w:t>it’s</w:t>
      </w:r>
      <w:proofErr w:type="gramEnd"/>
      <w:r w:rsidR="008546DE">
        <w:t xml:space="preserve"> performance. This is because hardware operates best within certain temperature ranges. A mix of “hot aisle” and “cold aisle” racks are now the standard (</w:t>
      </w:r>
      <w:proofErr w:type="spellStart"/>
      <w:r w:rsidR="008546DE">
        <w:t>Manganelli</w:t>
      </w:r>
      <w:proofErr w:type="spellEnd"/>
      <w:r w:rsidR="008546DE">
        <w:t xml:space="preserve"> et al., 2021). </w:t>
      </w:r>
      <w:r w:rsidR="00554D77">
        <w:t>Also</w:t>
      </w:r>
      <w:r w:rsidR="00E56106">
        <w:t>,</w:t>
      </w:r>
      <w:r w:rsidR="00554D77">
        <w:t xml:space="preserve"> the use of water cooling is being implemented, which reduces the need for large loud fans.</w:t>
      </w:r>
      <w:r w:rsidR="00E56106">
        <w:t xml:space="preserve"> Rolling redundancy makes sense</w:t>
      </w:r>
      <w:r w:rsidR="004D79F1">
        <w:t xml:space="preserve"> </w:t>
      </w:r>
      <w:r w:rsidR="0083201A">
        <w:t>if the infrastructure and cost allow for it. But duplicating an entire system might not be feasible for some use cases</w:t>
      </w:r>
    </w:p>
    <w:p w14:paraId="077C004B" w14:textId="32071DAC" w:rsidR="001F0719" w:rsidRDefault="005355F7" w:rsidP="00215F25">
      <w:pPr>
        <w:ind w:firstLine="720"/>
      </w:pPr>
      <w:r>
        <w:t>References</w:t>
      </w:r>
    </w:p>
    <w:p w14:paraId="10AF3AEF" w14:textId="77777777" w:rsidR="005355F7" w:rsidRDefault="005355F7" w:rsidP="005355F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Manganelli</w:t>
      </w:r>
      <w:proofErr w:type="spellEnd"/>
      <w:r>
        <w:rPr>
          <w:rFonts w:ascii="Arial" w:hAnsi="Arial" w:cs="Arial"/>
          <w:sz w:val="22"/>
          <w:szCs w:val="22"/>
        </w:rPr>
        <w:t xml:space="preserve">, M., Soldati, A., </w:t>
      </w:r>
      <w:proofErr w:type="spellStart"/>
      <w:r>
        <w:rPr>
          <w:rFonts w:ascii="Arial" w:hAnsi="Arial" w:cs="Arial"/>
          <w:sz w:val="22"/>
          <w:szCs w:val="22"/>
        </w:rPr>
        <w:t>Martirano</w:t>
      </w:r>
      <w:proofErr w:type="spellEnd"/>
      <w:r>
        <w:rPr>
          <w:rFonts w:ascii="Arial" w:hAnsi="Arial" w:cs="Arial"/>
          <w:sz w:val="22"/>
          <w:szCs w:val="22"/>
        </w:rPr>
        <w:t xml:space="preserve">, L., &amp; Ramakrishna, S. (2021). Strategies for improving the sustainability of data centers via energy mix, energy conservation, and circular energy. </w:t>
      </w:r>
      <w:r>
        <w:rPr>
          <w:rFonts w:ascii="Arial" w:hAnsi="Arial" w:cs="Arial"/>
          <w:i/>
          <w:iCs/>
          <w:sz w:val="22"/>
          <w:szCs w:val="22"/>
        </w:rPr>
        <w:t>Sustainability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(11), 6114. https://doi.org/10.3390/su13116114</w:t>
      </w:r>
    </w:p>
    <w:p w14:paraId="2D74A968" w14:textId="77777777" w:rsidR="005355F7" w:rsidRDefault="005355F7" w:rsidP="005355F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Qu, L., Wang, Q., Chen, T., Li, K., Zhang, R., Zhou, X., Xu, Q., Yang, Z., Yang, C., Qian, W., &amp; Zhou, A. (2022). Are current benchmarks adequate to evaluate distributed transactional databases?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BenchCouncil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Transactions on Benchmarks, Standards and Evaluations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(1), 100031. https://doi.org/10.1016/j.tbench.2022.100031</w:t>
      </w:r>
    </w:p>
    <w:p w14:paraId="6F93D8AA" w14:textId="77777777" w:rsidR="005355F7" w:rsidRDefault="005355F7" w:rsidP="005355F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Yang, L., Holtz, D., Jaffe, S., Suri, S., Sinha, S., Weston, J., Joyce, C., Shah, N., Sherman, K., Hecht, B., &amp; </w:t>
      </w:r>
      <w:proofErr w:type="spellStart"/>
      <w:r>
        <w:rPr>
          <w:rFonts w:ascii="Arial" w:hAnsi="Arial" w:cs="Arial"/>
          <w:sz w:val="22"/>
          <w:szCs w:val="22"/>
        </w:rPr>
        <w:t>Teevan</w:t>
      </w:r>
      <w:proofErr w:type="spellEnd"/>
      <w:r>
        <w:rPr>
          <w:rFonts w:ascii="Arial" w:hAnsi="Arial" w:cs="Arial"/>
          <w:sz w:val="22"/>
          <w:szCs w:val="22"/>
        </w:rPr>
        <w:t xml:space="preserve">, J. (2021). The effects of remote work on collaboration among information workers. </w:t>
      </w:r>
      <w:r>
        <w:rPr>
          <w:rFonts w:ascii="Arial" w:hAnsi="Arial" w:cs="Arial"/>
          <w:i/>
          <w:iCs/>
          <w:sz w:val="22"/>
          <w:szCs w:val="22"/>
        </w:rPr>
        <w:t xml:space="preserve">Nature Human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Behaviour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(1), 164. https://doi.org/10.1038/s41562-021-01228-z</w:t>
      </w:r>
    </w:p>
    <w:p w14:paraId="560A2128" w14:textId="77777777" w:rsidR="005355F7" w:rsidRDefault="005355F7" w:rsidP="00215F25">
      <w:pPr>
        <w:ind w:firstLine="720"/>
      </w:pPr>
    </w:p>
    <w:sectPr w:rsidR="0053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07"/>
    <w:rsid w:val="00125D6E"/>
    <w:rsid w:val="00150207"/>
    <w:rsid w:val="001F0719"/>
    <w:rsid w:val="00215F25"/>
    <w:rsid w:val="00234CB3"/>
    <w:rsid w:val="003C29DC"/>
    <w:rsid w:val="004D79F1"/>
    <w:rsid w:val="005355F7"/>
    <w:rsid w:val="00554D77"/>
    <w:rsid w:val="0083201A"/>
    <w:rsid w:val="008546DE"/>
    <w:rsid w:val="00D47C9F"/>
    <w:rsid w:val="00E56106"/>
    <w:rsid w:val="00E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9815"/>
  <w15:chartTrackingRefBased/>
  <w15:docId w15:val="{DE10B544-6D1B-4A39-BBF8-5D2EE281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11</cp:revision>
  <dcterms:created xsi:type="dcterms:W3CDTF">2022-04-23T18:43:00Z</dcterms:created>
  <dcterms:modified xsi:type="dcterms:W3CDTF">2022-04-23T19:54:00Z</dcterms:modified>
</cp:coreProperties>
</file>