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Buyer, retail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(702)-281-7901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kylet@gmail.com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123 Main Street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02 Oct, 2023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Mary Sherman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7963 Sanders Gateway</w:t>
              <w:br/>
              <w:t xml:space="preserve">Floresfurt, MS 58348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599-753-8436x4340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scottjeffrey@yahoo.com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Mary Sherman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Buyer, retail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Delacruz PLC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(702)-281-7901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kylet@gmail.com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Kyle Tran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