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FE64" w14:textId="77777777" w:rsidR="008538F2" w:rsidRPr="008538F2" w:rsidRDefault="008538F2" w:rsidP="008538F2">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538F2">
        <w:rPr>
          <w:rFonts w:ascii="Times New Roman" w:eastAsia="Times New Roman" w:hAnsi="Times New Roman" w:cs="Times New Roman"/>
          <w:b/>
          <w:bCs/>
          <w:kern w:val="36"/>
          <w14:ligatures w14:val="none"/>
        </w:rPr>
        <w:t xml:space="preserve">Investment Recommendation – 2255 W. </w:t>
      </w:r>
      <w:proofErr w:type="spellStart"/>
      <w:r w:rsidRPr="008538F2">
        <w:rPr>
          <w:rFonts w:ascii="Times New Roman" w:eastAsia="Times New Roman" w:hAnsi="Times New Roman" w:cs="Times New Roman"/>
          <w:b/>
          <w:bCs/>
          <w:kern w:val="36"/>
          <w14:ligatures w14:val="none"/>
        </w:rPr>
        <w:t>Lugonia</w:t>
      </w:r>
      <w:proofErr w:type="spellEnd"/>
      <w:r w:rsidRPr="008538F2">
        <w:rPr>
          <w:rFonts w:ascii="Times New Roman" w:eastAsia="Times New Roman" w:hAnsi="Times New Roman" w:cs="Times New Roman"/>
          <w:b/>
          <w:bCs/>
          <w:kern w:val="36"/>
          <w14:ligatures w14:val="none"/>
        </w:rPr>
        <w:t xml:space="preserve"> Ave (Redlands, CA)</w:t>
      </w:r>
    </w:p>
    <w:p w14:paraId="36CA2E87" w14:textId="427E39D6" w:rsidR="008538F2" w:rsidRPr="008538F2" w:rsidRDefault="008A0804" w:rsidP="008538F2">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8538F2" w:rsidRPr="008538F2">
        <w:rPr>
          <w:rFonts w:ascii="Times New Roman" w:eastAsia="Times New Roman" w:hAnsi="Times New Roman" w:cs="Times New Roman"/>
          <w:b/>
          <w:bCs/>
          <w:kern w:val="0"/>
          <w14:ligatures w14:val="none"/>
        </w:rPr>
        <w:t>Executive Summary</w:t>
      </w:r>
    </w:p>
    <w:p w14:paraId="0567AF9D"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 xml:space="preserve">After thorough analysis of the two investment opportunities presented to Cardinal &amp; Gold Core+ Fund, I recommend pursuing the Redlands asset located at 2255 W. </w:t>
      </w:r>
      <w:proofErr w:type="spellStart"/>
      <w:r w:rsidRPr="008538F2">
        <w:rPr>
          <w:rFonts w:ascii="Times New Roman" w:eastAsia="Times New Roman" w:hAnsi="Times New Roman" w:cs="Times New Roman"/>
          <w:kern w:val="0"/>
          <w14:ligatures w14:val="none"/>
        </w:rPr>
        <w:t>Lugonia</w:t>
      </w:r>
      <w:proofErr w:type="spellEnd"/>
      <w:r w:rsidRPr="008538F2">
        <w:rPr>
          <w:rFonts w:ascii="Times New Roman" w:eastAsia="Times New Roman" w:hAnsi="Times New Roman" w:cs="Times New Roman"/>
          <w:kern w:val="0"/>
          <w14:ligatures w14:val="none"/>
        </w:rPr>
        <w:t xml:space="preserve"> Ave. While the Torrance property offers higher returns with an unlevered IRR of 19.2% and equity multiple of 3.65x compared to Redlands' 11% IRR and 2.5x equity multiple, the Redlands investment better aligns with the Fund's core to core+ objectives focused on long-term wealth creation through stable, lower-risk assets.</w:t>
      </w:r>
    </w:p>
    <w:p w14:paraId="75C8C0D8" w14:textId="1204C01D" w:rsidR="008538F2" w:rsidRPr="008538F2" w:rsidRDefault="008A0804" w:rsidP="008538F2">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8538F2" w:rsidRPr="008538F2">
        <w:rPr>
          <w:rFonts w:ascii="Times New Roman" w:eastAsia="Times New Roman" w:hAnsi="Times New Roman" w:cs="Times New Roman"/>
          <w:b/>
          <w:bCs/>
          <w:kern w:val="0"/>
          <w14:ligatures w14:val="none"/>
        </w:rPr>
        <w:t>Investment Analysis</w:t>
      </w:r>
    </w:p>
    <w:p w14:paraId="319B221E"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The Redlands property represents a stabilized industrial asset with Amazon as a credit tenant, providing reliable cash flows and minimal operational disruption. This stability is particularly valuable in the current market environment and aligns with our investors' expectations for predictable income streams. The property benefits from its location in a mature market with strong industrial fundamentals.</w:t>
      </w:r>
    </w:p>
    <w:p w14:paraId="2778B849"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In contrast, the Torrance opportunity at 20000 S. Western Ave presents a covered land play with significant development requirements. While potentially more lucrative, it introduces substantial redevelopment risk, construction uncertainty, and relies on a non-credit tenant until the anticipated default at the end of Year 4. The subsequent demolition and reconstruction in Year 5 would create a significant period of zero income, followed by lease-up risk.</w:t>
      </w:r>
    </w:p>
    <w:p w14:paraId="5D4284C3"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To achieve investment indifference between these opportunities, the Redlands purchase price would need to be reduced by approximately 30-40% from our current assumption. This price adjustment would elevate the risk-adjusted returns to match those of the Torrance redevelopment play.</w:t>
      </w:r>
    </w:p>
    <w:p w14:paraId="5BEC082D" w14:textId="61028F6E" w:rsidR="008538F2" w:rsidRPr="008538F2" w:rsidRDefault="008A0804" w:rsidP="008538F2">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8538F2" w:rsidRPr="008538F2">
        <w:rPr>
          <w:rFonts w:ascii="Times New Roman" w:eastAsia="Times New Roman" w:hAnsi="Times New Roman" w:cs="Times New Roman"/>
          <w:b/>
          <w:bCs/>
          <w:kern w:val="0"/>
          <w14:ligatures w14:val="none"/>
        </w:rPr>
        <w:t>Risk Assessment</w:t>
      </w:r>
    </w:p>
    <w:p w14:paraId="0902904D"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The Redlands property carries substantially lower risk due to several factors. First, Amazon's credit quality significantly reduces default risk and ensures stable cash flows throughout the holding period. Second, the mature Redlands market minimizes the risk of unexpected capital expenditure requirements. Finally, the stabilized nature of the asset means minimal additional capital injections will be needed, aligning perfectly with our core/core+ investment strategy.</w:t>
      </w:r>
    </w:p>
    <w:p w14:paraId="4266874E" w14:textId="03E07DE2" w:rsid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By contrast, the Torrance property introduces redevelopment and tenant transition risks, with construction, demolition, and lease-up challenges that could affect projected returns. While its returns are higher on paper, the exit and operational uncertainties in a redevelopment scenario increase the risk profile beyond what is appropriate for our Fund's mandate.</w:t>
      </w:r>
    </w:p>
    <w:p w14:paraId="564A079D" w14:textId="77777777" w:rsidR="008538F2" w:rsidRDefault="008538F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14FF7C1"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p>
    <w:p w14:paraId="7261910D" w14:textId="12708AD5" w:rsidR="008538F2" w:rsidRPr="008538F2" w:rsidRDefault="008A0804" w:rsidP="008538F2">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8538F2" w:rsidRPr="008538F2">
        <w:rPr>
          <w:rFonts w:ascii="Times New Roman" w:eastAsia="Times New Roman" w:hAnsi="Times New Roman" w:cs="Times New Roman"/>
          <w:b/>
          <w:bCs/>
          <w:kern w:val="0"/>
          <w14:ligatures w14:val="none"/>
        </w:rPr>
        <w:t>Conclusion</w:t>
      </w:r>
    </w:p>
    <w:p w14:paraId="24069822"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The Redlands property, despite its lower nominal returns, offers superior risk-adjusted performance that better serves our investors' long-term wealth creation objectives. Its stable cash flow profile, credit tenant security, and mature market characteristics make it the recommended investment choice for Cardinal &amp; Gold Core+ Fund's industrial portfolio expansion in Southern California.</w:t>
      </w:r>
    </w:p>
    <w:p w14:paraId="2C07264C" w14:textId="77777777" w:rsidR="008538F2" w:rsidRPr="008538F2" w:rsidRDefault="008538F2" w:rsidP="008538F2">
      <w:pPr>
        <w:spacing w:before="100" w:beforeAutospacing="1" w:after="100" w:afterAutospacing="1" w:line="240" w:lineRule="auto"/>
        <w:rPr>
          <w:rFonts w:ascii="Times New Roman" w:eastAsia="Times New Roman" w:hAnsi="Times New Roman" w:cs="Times New Roman"/>
          <w:kern w:val="0"/>
          <w14:ligatures w14:val="none"/>
        </w:rPr>
      </w:pPr>
      <w:r w:rsidRPr="008538F2">
        <w:rPr>
          <w:rFonts w:ascii="Times New Roman" w:eastAsia="Times New Roman" w:hAnsi="Times New Roman" w:cs="Times New Roman"/>
          <w:kern w:val="0"/>
          <w14:ligatures w14:val="none"/>
        </w:rPr>
        <w:t>The detailed Excel pro forma supporting these conclusions is attached for your review. I welcome any questions or requests for additional analysis.</w:t>
      </w:r>
    </w:p>
    <w:p w14:paraId="487C6A55" w14:textId="77777777" w:rsidR="00FC7ED5" w:rsidRPr="008538F2" w:rsidRDefault="00FC7ED5"/>
    <w:sectPr w:rsidR="00FC7ED5" w:rsidRPr="00853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F2"/>
    <w:rsid w:val="008538F2"/>
    <w:rsid w:val="008A0804"/>
    <w:rsid w:val="008F39B0"/>
    <w:rsid w:val="00AE1F57"/>
    <w:rsid w:val="00B10A34"/>
    <w:rsid w:val="00FC7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6B618"/>
  <w15:chartTrackingRefBased/>
  <w15:docId w15:val="{4EB7BB60-AC50-5D41-9221-61D87998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F2"/>
    <w:rPr>
      <w:rFonts w:eastAsiaTheme="majorEastAsia" w:cstheme="majorBidi"/>
      <w:color w:val="272727" w:themeColor="text1" w:themeTint="D8"/>
    </w:rPr>
  </w:style>
  <w:style w:type="paragraph" w:styleId="Title">
    <w:name w:val="Title"/>
    <w:basedOn w:val="Normal"/>
    <w:next w:val="Normal"/>
    <w:link w:val="TitleChar"/>
    <w:uiPriority w:val="10"/>
    <w:qFormat/>
    <w:rsid w:val="00853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F2"/>
    <w:pPr>
      <w:spacing w:before="160"/>
      <w:jc w:val="center"/>
    </w:pPr>
    <w:rPr>
      <w:i/>
      <w:iCs/>
      <w:color w:val="404040" w:themeColor="text1" w:themeTint="BF"/>
    </w:rPr>
  </w:style>
  <w:style w:type="character" w:customStyle="1" w:styleId="QuoteChar">
    <w:name w:val="Quote Char"/>
    <w:basedOn w:val="DefaultParagraphFont"/>
    <w:link w:val="Quote"/>
    <w:uiPriority w:val="29"/>
    <w:rsid w:val="008538F2"/>
    <w:rPr>
      <w:i/>
      <w:iCs/>
      <w:color w:val="404040" w:themeColor="text1" w:themeTint="BF"/>
    </w:rPr>
  </w:style>
  <w:style w:type="paragraph" w:styleId="ListParagraph">
    <w:name w:val="List Paragraph"/>
    <w:basedOn w:val="Normal"/>
    <w:uiPriority w:val="34"/>
    <w:qFormat/>
    <w:rsid w:val="008538F2"/>
    <w:pPr>
      <w:ind w:left="720"/>
      <w:contextualSpacing/>
    </w:pPr>
  </w:style>
  <w:style w:type="character" w:styleId="IntenseEmphasis">
    <w:name w:val="Intense Emphasis"/>
    <w:basedOn w:val="DefaultParagraphFont"/>
    <w:uiPriority w:val="21"/>
    <w:qFormat/>
    <w:rsid w:val="008538F2"/>
    <w:rPr>
      <w:i/>
      <w:iCs/>
      <w:color w:val="0F4761" w:themeColor="accent1" w:themeShade="BF"/>
    </w:rPr>
  </w:style>
  <w:style w:type="paragraph" w:styleId="IntenseQuote">
    <w:name w:val="Intense Quote"/>
    <w:basedOn w:val="Normal"/>
    <w:next w:val="Normal"/>
    <w:link w:val="IntenseQuoteChar"/>
    <w:uiPriority w:val="30"/>
    <w:qFormat/>
    <w:rsid w:val="00853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8F2"/>
    <w:rPr>
      <w:i/>
      <w:iCs/>
      <w:color w:val="0F4761" w:themeColor="accent1" w:themeShade="BF"/>
    </w:rPr>
  </w:style>
  <w:style w:type="character" w:styleId="IntenseReference">
    <w:name w:val="Intense Reference"/>
    <w:basedOn w:val="DefaultParagraphFont"/>
    <w:uiPriority w:val="32"/>
    <w:qFormat/>
    <w:rsid w:val="008538F2"/>
    <w:rPr>
      <w:b/>
      <w:bCs/>
      <w:smallCaps/>
      <w:color w:val="0F4761" w:themeColor="accent1" w:themeShade="BF"/>
      <w:spacing w:val="5"/>
    </w:rPr>
  </w:style>
  <w:style w:type="paragraph" w:styleId="NormalWeb">
    <w:name w:val="Normal (Web)"/>
    <w:basedOn w:val="Normal"/>
    <w:uiPriority w:val="99"/>
    <w:semiHidden/>
    <w:unhideWhenUsed/>
    <w:rsid w:val="008538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Tran</dc:creator>
  <cp:keywords/>
  <dc:description/>
  <cp:lastModifiedBy>Kyle Tran</cp:lastModifiedBy>
  <cp:revision>2</cp:revision>
  <dcterms:created xsi:type="dcterms:W3CDTF">2025-03-11T07:56:00Z</dcterms:created>
  <dcterms:modified xsi:type="dcterms:W3CDTF">2025-03-11T08:03:00Z</dcterms:modified>
</cp:coreProperties>
</file>