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C7F12" w14:textId="77777777" w:rsidR="00BB3AD8" w:rsidRDefault="00BB3AD8" w:rsidP="00BB3AD8">
      <w:pPr>
        <w:pStyle w:val="Heading1"/>
        <w:rPr>
          <w:rFonts w:ascii="Calibri" w:hAnsi="Calibri" w:cs="Calibri"/>
        </w:rPr>
      </w:pPr>
      <w:bookmarkStart w:id="0" w:name="_Toc192025264"/>
      <w:r>
        <w:rPr>
          <w:rFonts w:ascii="Calibri" w:hAnsi="Calibri" w:cs="Calibri"/>
        </w:rPr>
        <w:t>IMPACTO Model At-a-Glance</w:t>
      </w:r>
      <w:bookmarkEnd w:id="0"/>
    </w:p>
    <w:p w14:paraId="13F469ED" w14:textId="77777777" w:rsidR="00481056" w:rsidRPr="00481056" w:rsidRDefault="00481056" w:rsidP="00481056">
      <w:pPr>
        <w:rPr>
          <w:rFonts w:ascii="Calibri" w:hAnsi="Calibri" w:cs="Calibri"/>
          <w:b/>
          <w:bCs/>
        </w:rPr>
      </w:pPr>
      <w:r w:rsidRPr="00481056">
        <w:rPr>
          <w:rFonts w:ascii="Calibri" w:hAnsi="Calibri" w:cs="Calibri"/>
          <w:b/>
          <w:bCs/>
        </w:rPr>
        <w:t>1. Purpose and Scope</w:t>
      </w:r>
    </w:p>
    <w:p w14:paraId="229069D6" w14:textId="77777777" w:rsidR="00481056" w:rsidRPr="00481056" w:rsidRDefault="00481056" w:rsidP="00481056">
      <w:pPr>
        <w:rPr>
          <w:rFonts w:ascii="Calibri" w:hAnsi="Calibri" w:cs="Calibri"/>
        </w:rPr>
      </w:pPr>
      <w:r w:rsidRPr="00481056">
        <w:rPr>
          <w:rFonts w:ascii="Calibri" w:hAnsi="Calibri" w:cs="Calibri"/>
        </w:rPr>
        <w:t>The Integrated Maturity, Program Acceleration for Cyber Transformation &amp; Optimization (IMPACTO) Model is a structured, post-purchase cybersecurity framework designed to transform your cybersecurity investments into strategic business enablers. Its objective is to optimize solutions you have already acquired, ensuring measurable risk reduction, clear alignment with business goals, and demonstrable ROI.</w:t>
      </w:r>
    </w:p>
    <w:p w14:paraId="19390E30" w14:textId="77777777" w:rsidR="00481056" w:rsidRPr="00481056" w:rsidRDefault="00481056" w:rsidP="00481056">
      <w:pPr>
        <w:rPr>
          <w:rFonts w:ascii="Calibri" w:hAnsi="Calibri" w:cs="Calibri"/>
        </w:rPr>
      </w:pPr>
      <w:r w:rsidRPr="00481056">
        <w:rPr>
          <w:rFonts w:ascii="Calibri" w:hAnsi="Calibri" w:cs="Calibri"/>
          <w:b/>
          <w:bCs/>
        </w:rPr>
        <w:t>Primary Goal:</w:t>
      </w:r>
      <w:r w:rsidRPr="00481056">
        <w:rPr>
          <w:rFonts w:ascii="Calibri" w:hAnsi="Calibri" w:cs="Calibri"/>
        </w:rPr>
        <w:t xml:space="preserve"> Move beyond basic tool implementation ("shelfware") to a fully optimized, strategic cybersecurity capability that continuously adapts to evolving threats and organizational objectives.</w:t>
      </w:r>
    </w:p>
    <w:p w14:paraId="3CE1F9F1" w14:textId="77777777" w:rsidR="00481056" w:rsidRPr="00481056" w:rsidRDefault="00481056" w:rsidP="00481056">
      <w:pPr>
        <w:rPr>
          <w:rFonts w:ascii="Calibri" w:hAnsi="Calibri" w:cs="Calibri"/>
        </w:rPr>
      </w:pPr>
      <w:r w:rsidRPr="00481056">
        <w:rPr>
          <w:rFonts w:ascii="Calibri" w:hAnsi="Calibri" w:cs="Calibri"/>
          <w:b/>
          <w:bCs/>
        </w:rPr>
        <w:t>Key Principle:</w:t>
      </w:r>
      <w:r w:rsidRPr="00481056">
        <w:rPr>
          <w:rFonts w:ascii="Calibri" w:hAnsi="Calibri" w:cs="Calibri"/>
        </w:rPr>
        <w:t xml:space="preserve"> Cybersecurity investments should deliver clear business outcomes, quantified through reduced risk and operational impact, going beyond mere compliance.</w:t>
      </w:r>
    </w:p>
    <w:p w14:paraId="2683F006" w14:textId="77777777" w:rsidR="00481056" w:rsidRPr="00481056" w:rsidRDefault="00481056" w:rsidP="00481056">
      <w:pPr>
        <w:rPr>
          <w:rFonts w:ascii="Calibri" w:hAnsi="Calibri" w:cs="Calibri"/>
          <w:b/>
          <w:bCs/>
        </w:rPr>
      </w:pPr>
      <w:r w:rsidRPr="00481056">
        <w:rPr>
          <w:rFonts w:ascii="Calibri" w:hAnsi="Calibri" w:cs="Calibri"/>
          <w:b/>
          <w:bCs/>
        </w:rPr>
        <w:t>2. High-Level Approach</w:t>
      </w:r>
    </w:p>
    <w:p w14:paraId="2E9BDF89" w14:textId="77777777" w:rsidR="00481056" w:rsidRPr="00481056" w:rsidRDefault="00481056" w:rsidP="00481056">
      <w:pPr>
        <w:rPr>
          <w:rFonts w:ascii="Calibri" w:hAnsi="Calibri" w:cs="Calibri"/>
        </w:rPr>
      </w:pPr>
      <w:r w:rsidRPr="00481056">
        <w:rPr>
          <w:rFonts w:ascii="Calibri" w:hAnsi="Calibri" w:cs="Calibri"/>
        </w:rPr>
        <w:t>IMPACTO comprises six maturity stages (0–5) across four domains:</w:t>
      </w:r>
    </w:p>
    <w:p w14:paraId="2CDB5DF1" w14:textId="77777777" w:rsidR="00481056" w:rsidRPr="00481056" w:rsidRDefault="00481056" w:rsidP="00481056">
      <w:pPr>
        <w:numPr>
          <w:ilvl w:val="0"/>
          <w:numId w:val="11"/>
        </w:numPr>
        <w:rPr>
          <w:rFonts w:ascii="Calibri" w:hAnsi="Calibri" w:cs="Calibri"/>
        </w:rPr>
      </w:pPr>
      <w:r w:rsidRPr="00481056">
        <w:rPr>
          <w:rFonts w:ascii="Calibri" w:hAnsi="Calibri" w:cs="Calibri"/>
          <w:b/>
          <w:bCs/>
        </w:rPr>
        <w:t>Business</w:t>
      </w:r>
      <w:r w:rsidRPr="00481056">
        <w:rPr>
          <w:rFonts w:ascii="Calibri" w:hAnsi="Calibri" w:cs="Calibri"/>
        </w:rPr>
        <w:t xml:space="preserve"> – Budget alignment, executive sponsorship, strategic goal mapping, risk quantification (ROI, ALE)</w:t>
      </w:r>
    </w:p>
    <w:p w14:paraId="76AFB1DA" w14:textId="77777777" w:rsidR="00481056" w:rsidRPr="00481056" w:rsidRDefault="00481056" w:rsidP="00481056">
      <w:pPr>
        <w:numPr>
          <w:ilvl w:val="0"/>
          <w:numId w:val="11"/>
        </w:numPr>
        <w:rPr>
          <w:rFonts w:ascii="Calibri" w:hAnsi="Calibri" w:cs="Calibri"/>
        </w:rPr>
      </w:pPr>
      <w:r w:rsidRPr="00481056">
        <w:rPr>
          <w:rFonts w:ascii="Calibri" w:hAnsi="Calibri" w:cs="Calibri"/>
          <w:b/>
          <w:bCs/>
        </w:rPr>
        <w:t>People</w:t>
      </w:r>
      <w:r w:rsidRPr="00481056">
        <w:rPr>
          <w:rFonts w:ascii="Calibri" w:hAnsi="Calibri" w:cs="Calibri"/>
        </w:rPr>
        <w:t xml:space="preserve"> – Clearly defined roles, competency frameworks (e.g., NIST NICE), ongoing training</w:t>
      </w:r>
    </w:p>
    <w:p w14:paraId="4D46E717" w14:textId="77777777" w:rsidR="00481056" w:rsidRPr="00481056" w:rsidRDefault="00481056" w:rsidP="00481056">
      <w:pPr>
        <w:numPr>
          <w:ilvl w:val="0"/>
          <w:numId w:val="11"/>
        </w:numPr>
        <w:rPr>
          <w:rFonts w:ascii="Calibri" w:hAnsi="Calibri" w:cs="Calibri"/>
        </w:rPr>
      </w:pPr>
      <w:r w:rsidRPr="00481056">
        <w:rPr>
          <w:rFonts w:ascii="Calibri" w:hAnsi="Calibri" w:cs="Calibri"/>
          <w:b/>
          <w:bCs/>
        </w:rPr>
        <w:t>Process</w:t>
      </w:r>
      <w:r w:rsidRPr="00481056">
        <w:rPr>
          <w:rFonts w:ascii="Calibri" w:hAnsi="Calibri" w:cs="Calibri"/>
        </w:rPr>
        <w:t xml:space="preserve"> – Formalized workflows, SOPs, incident response runbooks, governance, continuous improvement</w:t>
      </w:r>
    </w:p>
    <w:p w14:paraId="341C309A" w14:textId="77777777" w:rsidR="00481056" w:rsidRPr="00481056" w:rsidRDefault="00481056" w:rsidP="00481056">
      <w:pPr>
        <w:numPr>
          <w:ilvl w:val="0"/>
          <w:numId w:val="11"/>
        </w:numPr>
        <w:rPr>
          <w:rFonts w:ascii="Calibri" w:hAnsi="Calibri" w:cs="Calibri"/>
        </w:rPr>
      </w:pPr>
      <w:r w:rsidRPr="00481056">
        <w:rPr>
          <w:rFonts w:ascii="Calibri" w:hAnsi="Calibri" w:cs="Calibri"/>
          <w:b/>
          <w:bCs/>
        </w:rPr>
        <w:t>Technology</w:t>
      </w:r>
      <w:r w:rsidRPr="00481056">
        <w:rPr>
          <w:rFonts w:ascii="Calibri" w:hAnsi="Calibri" w:cs="Calibri"/>
        </w:rPr>
        <w:t xml:space="preserve"> – Tool configurations, advanced integrations, analytics, MITRE ATT&amp;CK/D3FEND alignment</w:t>
      </w:r>
    </w:p>
    <w:p w14:paraId="38815638" w14:textId="77777777" w:rsidR="00481056" w:rsidRPr="00481056" w:rsidRDefault="00481056" w:rsidP="00481056">
      <w:pPr>
        <w:rPr>
          <w:rFonts w:ascii="Calibri" w:hAnsi="Calibri" w:cs="Calibri"/>
        </w:rPr>
      </w:pPr>
      <w:r w:rsidRPr="00481056">
        <w:rPr>
          <w:rFonts w:ascii="Calibri" w:hAnsi="Calibri" w:cs="Calibri"/>
          <w:b/>
          <w:bCs/>
        </w:rPr>
        <w:t>Stages 0–5:</w:t>
      </w:r>
    </w:p>
    <w:p w14:paraId="54D566C1"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0: Purchased</w:t>
      </w:r>
      <w:r w:rsidRPr="00481056">
        <w:rPr>
          <w:rFonts w:ascii="Calibri" w:hAnsi="Calibri" w:cs="Calibri"/>
        </w:rPr>
        <w:t xml:space="preserve"> – Minimal deployment, unclear business rationale, “shelfware”</w:t>
      </w:r>
    </w:p>
    <w:p w14:paraId="19D3CDBC"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1: Ad Hoc</w:t>
      </w:r>
      <w:r w:rsidRPr="00481056">
        <w:rPr>
          <w:rFonts w:ascii="Calibri" w:hAnsi="Calibri" w:cs="Calibri"/>
        </w:rPr>
        <w:t xml:space="preserve"> – Sporadic use, basic compliance-driven activities, minimal documentation</w:t>
      </w:r>
    </w:p>
    <w:p w14:paraId="6D88740B"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2: Managed</w:t>
      </w:r>
      <w:r w:rsidRPr="00481056">
        <w:rPr>
          <w:rFonts w:ascii="Calibri" w:hAnsi="Calibri" w:cs="Calibri"/>
        </w:rPr>
        <w:t xml:space="preserve"> – Defined tasks, documented runbooks, clear roles established</w:t>
      </w:r>
    </w:p>
    <w:p w14:paraId="26D8C687"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3: Formalized</w:t>
      </w:r>
      <w:r w:rsidRPr="00481056">
        <w:rPr>
          <w:rFonts w:ascii="Calibri" w:hAnsi="Calibri" w:cs="Calibri"/>
        </w:rPr>
        <w:t xml:space="preserve"> – Integrated security into broader organizational workflows, systematic improvements</w:t>
      </w:r>
    </w:p>
    <w:p w14:paraId="6544FEAF"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4: Data-Driven</w:t>
      </w:r>
      <w:r w:rsidRPr="00481056">
        <w:rPr>
          <w:rFonts w:ascii="Calibri" w:hAnsi="Calibri" w:cs="Calibri"/>
        </w:rPr>
        <w:t xml:space="preserve"> – Advanced metrics and analytics drive proactive security decisions, reduced false positives</w:t>
      </w:r>
    </w:p>
    <w:p w14:paraId="22EB7105" w14:textId="77777777" w:rsidR="00481056" w:rsidRPr="00481056" w:rsidRDefault="00481056" w:rsidP="00481056">
      <w:pPr>
        <w:numPr>
          <w:ilvl w:val="0"/>
          <w:numId w:val="12"/>
        </w:numPr>
        <w:rPr>
          <w:rFonts w:ascii="Calibri" w:hAnsi="Calibri" w:cs="Calibri"/>
        </w:rPr>
      </w:pPr>
      <w:r w:rsidRPr="00481056">
        <w:rPr>
          <w:rFonts w:ascii="Calibri" w:hAnsi="Calibri" w:cs="Calibri"/>
          <w:b/>
          <w:bCs/>
        </w:rPr>
        <w:t>5: Optimizing</w:t>
      </w:r>
      <w:r w:rsidRPr="00481056">
        <w:rPr>
          <w:rFonts w:ascii="Calibri" w:hAnsi="Calibri" w:cs="Calibri"/>
        </w:rPr>
        <w:t xml:space="preserve"> – Real-time adaptation, continuous intelligence-driven improvements, strategic business enabler</w:t>
      </w:r>
    </w:p>
    <w:p w14:paraId="253759C3" w14:textId="77777777" w:rsidR="00497ECD" w:rsidRDefault="00497ECD" w:rsidP="00481056">
      <w:pPr>
        <w:rPr>
          <w:rFonts w:ascii="Calibri" w:hAnsi="Calibri" w:cs="Calibri"/>
          <w:b/>
          <w:bCs/>
        </w:rPr>
      </w:pPr>
    </w:p>
    <w:p w14:paraId="3159F182" w14:textId="77777777" w:rsidR="00497ECD" w:rsidRDefault="00497ECD" w:rsidP="00481056">
      <w:pPr>
        <w:rPr>
          <w:rFonts w:ascii="Calibri" w:hAnsi="Calibri" w:cs="Calibri"/>
          <w:b/>
          <w:bCs/>
        </w:rPr>
      </w:pPr>
    </w:p>
    <w:p w14:paraId="3D5B8071" w14:textId="577B5432" w:rsidR="00481056" w:rsidRPr="00481056" w:rsidRDefault="00481056" w:rsidP="00481056">
      <w:pPr>
        <w:rPr>
          <w:rFonts w:ascii="Calibri" w:hAnsi="Calibri" w:cs="Calibri"/>
        </w:rPr>
      </w:pPr>
      <w:r w:rsidRPr="00481056">
        <w:rPr>
          <w:rFonts w:ascii="Calibri" w:hAnsi="Calibri" w:cs="Calibri"/>
          <w:b/>
          <w:bCs/>
        </w:rPr>
        <w:lastRenderedPageBreak/>
        <w:t>How It Works:</w:t>
      </w:r>
    </w:p>
    <w:p w14:paraId="7A5B4EA8" w14:textId="77777777" w:rsidR="00481056" w:rsidRPr="00481056" w:rsidRDefault="00481056" w:rsidP="00481056">
      <w:pPr>
        <w:numPr>
          <w:ilvl w:val="0"/>
          <w:numId w:val="13"/>
        </w:numPr>
        <w:rPr>
          <w:rFonts w:ascii="Calibri" w:hAnsi="Calibri" w:cs="Calibri"/>
        </w:rPr>
      </w:pPr>
      <w:r w:rsidRPr="00481056">
        <w:rPr>
          <w:rFonts w:ascii="Calibri" w:hAnsi="Calibri" w:cs="Calibri"/>
        </w:rPr>
        <w:t>Evaluate each domain’s current maturity stage</w:t>
      </w:r>
    </w:p>
    <w:p w14:paraId="1BE57A8B" w14:textId="77777777" w:rsidR="00481056" w:rsidRPr="00481056" w:rsidRDefault="00481056" w:rsidP="00481056">
      <w:pPr>
        <w:numPr>
          <w:ilvl w:val="0"/>
          <w:numId w:val="13"/>
        </w:numPr>
        <w:rPr>
          <w:rFonts w:ascii="Calibri" w:hAnsi="Calibri" w:cs="Calibri"/>
        </w:rPr>
      </w:pPr>
      <w:r w:rsidRPr="00481056">
        <w:rPr>
          <w:rFonts w:ascii="Calibri" w:hAnsi="Calibri" w:cs="Calibri"/>
        </w:rPr>
        <w:t>Identify domain-specific gaps (e.g., incomplete training, insufficient runbooks, inadequate ROI metrics)</w:t>
      </w:r>
    </w:p>
    <w:p w14:paraId="4D9AF58C" w14:textId="77777777" w:rsidR="00481056" w:rsidRPr="00481056" w:rsidRDefault="00481056" w:rsidP="00481056">
      <w:pPr>
        <w:numPr>
          <w:ilvl w:val="0"/>
          <w:numId w:val="13"/>
        </w:numPr>
        <w:rPr>
          <w:rFonts w:ascii="Calibri" w:hAnsi="Calibri" w:cs="Calibri"/>
        </w:rPr>
      </w:pPr>
      <w:r w:rsidRPr="00481056">
        <w:rPr>
          <w:rFonts w:ascii="Calibri" w:hAnsi="Calibri" w:cs="Calibri"/>
        </w:rPr>
        <w:t>Implement recommended practices to progress systematically through higher stages</w:t>
      </w:r>
    </w:p>
    <w:p w14:paraId="1A55BE25" w14:textId="77777777" w:rsidR="00481056" w:rsidRPr="00481056" w:rsidRDefault="00481056" w:rsidP="00481056">
      <w:pPr>
        <w:rPr>
          <w:rFonts w:ascii="Calibri" w:hAnsi="Calibri" w:cs="Calibri"/>
          <w:b/>
          <w:bCs/>
        </w:rPr>
      </w:pPr>
      <w:r w:rsidRPr="00481056">
        <w:rPr>
          <w:rFonts w:ascii="Calibri" w:hAnsi="Calibri" w:cs="Calibri"/>
          <w:b/>
          <w:bCs/>
        </w:rPr>
        <w:t>3. How to Use the IMPACTO Model</w:t>
      </w:r>
    </w:p>
    <w:p w14:paraId="666C5014" w14:textId="77777777" w:rsidR="00481056" w:rsidRPr="00481056" w:rsidRDefault="00481056" w:rsidP="00481056">
      <w:pPr>
        <w:numPr>
          <w:ilvl w:val="0"/>
          <w:numId w:val="14"/>
        </w:numPr>
        <w:rPr>
          <w:rFonts w:ascii="Calibri" w:hAnsi="Calibri" w:cs="Calibri"/>
        </w:rPr>
      </w:pPr>
      <w:r w:rsidRPr="00481056">
        <w:rPr>
          <w:rFonts w:ascii="Calibri" w:hAnsi="Calibri" w:cs="Calibri"/>
          <w:b/>
          <w:bCs/>
        </w:rPr>
        <w:t>Assess Current State:</w:t>
      </w:r>
      <w:r w:rsidRPr="00481056">
        <w:rPr>
          <w:rFonts w:ascii="Calibri" w:hAnsi="Calibri" w:cs="Calibri"/>
        </w:rPr>
        <w:t xml:space="preserve"> Identify your stage (0–1 for new or minimally deployed tools, stage 2–3 for partially integrated solutions)</w:t>
      </w:r>
    </w:p>
    <w:p w14:paraId="644909C6" w14:textId="77777777" w:rsidR="00481056" w:rsidRPr="00481056" w:rsidRDefault="00481056" w:rsidP="00481056">
      <w:pPr>
        <w:numPr>
          <w:ilvl w:val="0"/>
          <w:numId w:val="14"/>
        </w:numPr>
        <w:rPr>
          <w:rFonts w:ascii="Calibri" w:hAnsi="Calibri" w:cs="Calibri"/>
        </w:rPr>
      </w:pPr>
      <w:r w:rsidRPr="00481056">
        <w:rPr>
          <w:rFonts w:ascii="Calibri" w:hAnsi="Calibri" w:cs="Calibri"/>
          <w:b/>
          <w:bCs/>
        </w:rPr>
        <w:t>Domain Mapping:</w:t>
      </w:r>
      <w:r w:rsidRPr="00481056">
        <w:rPr>
          <w:rFonts w:ascii="Calibri" w:hAnsi="Calibri" w:cs="Calibri"/>
        </w:rPr>
        <w:t xml:space="preserve"> Evaluate Business, People, Process, and Technology maturity independently</w:t>
      </w:r>
    </w:p>
    <w:p w14:paraId="6108CA18" w14:textId="77777777" w:rsidR="00481056" w:rsidRPr="00481056" w:rsidRDefault="00481056" w:rsidP="00481056">
      <w:pPr>
        <w:numPr>
          <w:ilvl w:val="0"/>
          <w:numId w:val="14"/>
        </w:numPr>
        <w:rPr>
          <w:rFonts w:ascii="Calibri" w:hAnsi="Calibri" w:cs="Calibri"/>
        </w:rPr>
      </w:pPr>
      <w:r w:rsidRPr="00481056">
        <w:rPr>
          <w:rFonts w:ascii="Calibri" w:hAnsi="Calibri" w:cs="Calibri"/>
          <w:b/>
          <w:bCs/>
        </w:rPr>
        <w:t>Apply Classification Frameworks:</w:t>
      </w:r>
    </w:p>
    <w:p w14:paraId="293DDA67" w14:textId="77777777" w:rsidR="00481056" w:rsidRPr="00481056" w:rsidRDefault="00481056" w:rsidP="00481056">
      <w:pPr>
        <w:numPr>
          <w:ilvl w:val="1"/>
          <w:numId w:val="14"/>
        </w:numPr>
        <w:rPr>
          <w:rFonts w:ascii="Calibri" w:hAnsi="Calibri" w:cs="Calibri"/>
        </w:rPr>
      </w:pPr>
      <w:r w:rsidRPr="00481056">
        <w:rPr>
          <w:rFonts w:ascii="Calibri" w:hAnsi="Calibri" w:cs="Calibri"/>
          <w:b/>
          <w:bCs/>
        </w:rPr>
        <w:t>Maturity Classification Framework (MCF):</w:t>
      </w:r>
      <w:r w:rsidRPr="00481056">
        <w:rPr>
          <w:rFonts w:ascii="Calibri" w:hAnsi="Calibri" w:cs="Calibri"/>
        </w:rPr>
        <w:t xml:space="preserve"> Evaluates consistency and improvement of people and processes</w:t>
      </w:r>
    </w:p>
    <w:p w14:paraId="44F07989" w14:textId="77777777" w:rsidR="00481056" w:rsidRPr="00481056" w:rsidRDefault="00481056" w:rsidP="00481056">
      <w:pPr>
        <w:numPr>
          <w:ilvl w:val="1"/>
          <w:numId w:val="14"/>
        </w:numPr>
        <w:rPr>
          <w:rFonts w:ascii="Calibri" w:hAnsi="Calibri" w:cs="Calibri"/>
        </w:rPr>
      </w:pPr>
      <w:r w:rsidRPr="00481056">
        <w:rPr>
          <w:rFonts w:ascii="Calibri" w:hAnsi="Calibri" w:cs="Calibri"/>
          <w:b/>
          <w:bCs/>
        </w:rPr>
        <w:t>Capability Classification Framework (CCF):</w:t>
      </w:r>
      <w:r w:rsidRPr="00481056">
        <w:rPr>
          <w:rFonts w:ascii="Calibri" w:hAnsi="Calibri" w:cs="Calibri"/>
        </w:rPr>
        <w:t xml:space="preserve"> Measures depth of tool deployment and utilization</w:t>
      </w:r>
    </w:p>
    <w:p w14:paraId="5873479F" w14:textId="77777777" w:rsidR="00481056" w:rsidRPr="00481056" w:rsidRDefault="00481056" w:rsidP="00481056">
      <w:pPr>
        <w:numPr>
          <w:ilvl w:val="0"/>
          <w:numId w:val="14"/>
        </w:numPr>
        <w:rPr>
          <w:rFonts w:ascii="Calibri" w:hAnsi="Calibri" w:cs="Calibri"/>
        </w:rPr>
      </w:pPr>
      <w:r w:rsidRPr="00481056">
        <w:rPr>
          <w:rFonts w:ascii="Calibri" w:hAnsi="Calibri" w:cs="Calibri"/>
          <w:b/>
          <w:bCs/>
        </w:rPr>
        <w:t>Leverage Operational Intelligence (OI):</w:t>
      </w:r>
      <w:r w:rsidRPr="00481056">
        <w:rPr>
          <w:rFonts w:ascii="Calibri" w:hAnsi="Calibri" w:cs="Calibri"/>
        </w:rPr>
        <w:t xml:space="preserve"> Use real-world threat intelligence, incident data, and scenario testing to adjust capabilities continuously</w:t>
      </w:r>
    </w:p>
    <w:p w14:paraId="598F8A35" w14:textId="77777777" w:rsidR="00481056" w:rsidRPr="00481056" w:rsidRDefault="00481056" w:rsidP="00481056">
      <w:pPr>
        <w:numPr>
          <w:ilvl w:val="0"/>
          <w:numId w:val="14"/>
        </w:numPr>
        <w:rPr>
          <w:rFonts w:ascii="Calibri" w:hAnsi="Calibri" w:cs="Calibri"/>
        </w:rPr>
      </w:pPr>
      <w:r w:rsidRPr="00481056">
        <w:rPr>
          <w:rFonts w:ascii="Calibri" w:hAnsi="Calibri" w:cs="Calibri"/>
          <w:b/>
          <w:bCs/>
        </w:rPr>
        <w:t>Continuous Improvement:</w:t>
      </w:r>
      <w:r w:rsidRPr="00481056">
        <w:rPr>
          <w:rFonts w:ascii="Calibri" w:hAnsi="Calibri" w:cs="Calibri"/>
        </w:rPr>
        <w:t xml:space="preserve"> Regularly reassess domains, measure progress with KPIs (MTTD, MTTR), and iterate to higher maturity stages</w:t>
      </w:r>
    </w:p>
    <w:p w14:paraId="7588A471" w14:textId="7F15A677" w:rsidR="00481056" w:rsidRPr="00481056" w:rsidRDefault="00497ECD" w:rsidP="00481056">
      <w:pPr>
        <w:rPr>
          <w:rFonts w:ascii="Calibri" w:hAnsi="Calibri" w:cs="Calibri"/>
          <w:b/>
          <w:bCs/>
        </w:rPr>
      </w:pPr>
      <w:r>
        <w:rPr>
          <w:rFonts w:ascii="Calibri" w:hAnsi="Calibri" w:cs="Calibri"/>
          <w:b/>
          <w:bCs/>
        </w:rPr>
        <w:t>4</w:t>
      </w:r>
      <w:r w:rsidR="00481056" w:rsidRPr="00481056">
        <w:rPr>
          <w:rFonts w:ascii="Calibri" w:hAnsi="Calibri" w:cs="Calibri"/>
          <w:b/>
          <w:bCs/>
        </w:rPr>
        <w:t>. Key Disclaimers</w:t>
      </w:r>
    </w:p>
    <w:p w14:paraId="1619752B" w14:textId="77777777" w:rsidR="00481056" w:rsidRPr="00481056" w:rsidRDefault="00481056" w:rsidP="00481056">
      <w:pPr>
        <w:numPr>
          <w:ilvl w:val="0"/>
          <w:numId w:val="16"/>
        </w:numPr>
        <w:rPr>
          <w:rFonts w:ascii="Calibri" w:hAnsi="Calibri" w:cs="Calibri"/>
        </w:rPr>
      </w:pPr>
      <w:r w:rsidRPr="00481056">
        <w:rPr>
          <w:rFonts w:ascii="Calibri" w:hAnsi="Calibri" w:cs="Calibri"/>
          <w:b/>
          <w:bCs/>
        </w:rPr>
        <w:t>Post-Purchase Focus:</w:t>
      </w:r>
      <w:r w:rsidRPr="00481056">
        <w:rPr>
          <w:rFonts w:ascii="Calibri" w:hAnsi="Calibri" w:cs="Calibri"/>
        </w:rPr>
        <w:t xml:space="preserve"> IMPACTO is not for selecting cybersecurity products; it maximizes the value of existing investments.</w:t>
      </w:r>
    </w:p>
    <w:p w14:paraId="69B0BEAC" w14:textId="77777777" w:rsidR="00481056" w:rsidRPr="00481056" w:rsidRDefault="00481056" w:rsidP="00481056">
      <w:pPr>
        <w:numPr>
          <w:ilvl w:val="0"/>
          <w:numId w:val="16"/>
        </w:numPr>
        <w:rPr>
          <w:rFonts w:ascii="Calibri" w:hAnsi="Calibri" w:cs="Calibri"/>
        </w:rPr>
      </w:pPr>
      <w:r w:rsidRPr="00481056">
        <w:rPr>
          <w:rFonts w:ascii="Calibri" w:hAnsi="Calibri" w:cs="Calibri"/>
          <w:b/>
          <w:bCs/>
        </w:rPr>
        <w:t>Complementary Framework:</w:t>
      </w:r>
      <w:r w:rsidRPr="00481056">
        <w:rPr>
          <w:rFonts w:ascii="Calibri" w:hAnsi="Calibri" w:cs="Calibri"/>
        </w:rPr>
        <w:t xml:space="preserve"> Complements existing standards (NIST CSF, SOC-CMM, Zero Trust), facilitating practical operationalization.</w:t>
      </w:r>
    </w:p>
    <w:p w14:paraId="3C8FB456" w14:textId="77777777" w:rsidR="00481056" w:rsidRPr="00481056" w:rsidRDefault="00481056" w:rsidP="00481056">
      <w:pPr>
        <w:numPr>
          <w:ilvl w:val="0"/>
          <w:numId w:val="16"/>
        </w:numPr>
        <w:rPr>
          <w:rFonts w:ascii="Calibri" w:hAnsi="Calibri" w:cs="Calibri"/>
        </w:rPr>
      </w:pPr>
      <w:r w:rsidRPr="00481056">
        <w:rPr>
          <w:rFonts w:ascii="Calibri" w:hAnsi="Calibri" w:cs="Calibri"/>
          <w:b/>
          <w:bCs/>
        </w:rPr>
        <w:t>Scalability:</w:t>
      </w:r>
      <w:r w:rsidRPr="00481056">
        <w:rPr>
          <w:rFonts w:ascii="Calibri" w:hAnsi="Calibri" w:cs="Calibri"/>
        </w:rPr>
        <w:t xml:space="preserve"> Applicable across organizational sizes—from small teams to global enterprises—with scalable documentation and processes.</w:t>
      </w:r>
    </w:p>
    <w:p w14:paraId="700617A3" w14:textId="77777777" w:rsidR="00481056" w:rsidRPr="00481056" w:rsidRDefault="00481056" w:rsidP="00481056">
      <w:pPr>
        <w:numPr>
          <w:ilvl w:val="0"/>
          <w:numId w:val="16"/>
        </w:numPr>
        <w:rPr>
          <w:rFonts w:ascii="Calibri" w:hAnsi="Calibri" w:cs="Calibri"/>
        </w:rPr>
      </w:pPr>
      <w:r w:rsidRPr="00481056">
        <w:rPr>
          <w:rFonts w:ascii="Calibri" w:hAnsi="Calibri" w:cs="Calibri"/>
          <w:b/>
          <w:bCs/>
        </w:rPr>
        <w:t>Evolving Model:</w:t>
      </w:r>
      <w:r w:rsidRPr="00481056">
        <w:rPr>
          <w:rFonts w:ascii="Calibri" w:hAnsi="Calibri" w:cs="Calibri"/>
        </w:rPr>
        <w:t xml:space="preserve"> Version 0.1 is an evolving model. Future updates will refine domain criteria, practices, and integration with emerging standards and regulatory frameworks.</w:t>
      </w:r>
    </w:p>
    <w:p w14:paraId="34C5C499" w14:textId="77777777" w:rsidR="00481056" w:rsidRPr="00481056" w:rsidRDefault="00481056" w:rsidP="00481056">
      <w:pPr>
        <w:numPr>
          <w:ilvl w:val="0"/>
          <w:numId w:val="16"/>
        </w:numPr>
        <w:rPr>
          <w:rFonts w:ascii="Calibri" w:hAnsi="Calibri" w:cs="Calibri"/>
        </w:rPr>
      </w:pPr>
      <w:r w:rsidRPr="00481056">
        <w:rPr>
          <w:rFonts w:ascii="Calibri" w:hAnsi="Calibri" w:cs="Calibri"/>
          <w:b/>
          <w:bCs/>
        </w:rPr>
        <w:t>Risk Methodology Agnostic:</w:t>
      </w:r>
      <w:r w:rsidRPr="00481056">
        <w:rPr>
          <w:rFonts w:ascii="Calibri" w:hAnsi="Calibri" w:cs="Calibri"/>
        </w:rPr>
        <w:t xml:space="preserve"> Compatible with various risk methodologies (FAIR, NIST SP 800-30). The model emphasizes consistent tracking of purchased versus actual risk outcomes.</w:t>
      </w:r>
    </w:p>
    <w:p w14:paraId="085DC8A4" w14:textId="77777777" w:rsidR="00F26A04" w:rsidRPr="00481056" w:rsidRDefault="00F26A04" w:rsidP="004F3381">
      <w:pPr>
        <w:rPr>
          <w:rFonts w:ascii="Calibri" w:hAnsi="Calibri" w:cs="Calibri"/>
        </w:rPr>
      </w:pPr>
    </w:p>
    <w:sectPr w:rsidR="00F26A04" w:rsidRPr="0048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AB4"/>
    <w:multiLevelType w:val="multilevel"/>
    <w:tmpl w:val="CA5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74F4"/>
    <w:multiLevelType w:val="multilevel"/>
    <w:tmpl w:val="1E5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B54CB"/>
    <w:multiLevelType w:val="multilevel"/>
    <w:tmpl w:val="4E9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0D5E"/>
    <w:multiLevelType w:val="multilevel"/>
    <w:tmpl w:val="F6B0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650F"/>
    <w:multiLevelType w:val="multilevel"/>
    <w:tmpl w:val="80A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86EE6"/>
    <w:multiLevelType w:val="multilevel"/>
    <w:tmpl w:val="7E2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81617"/>
    <w:multiLevelType w:val="multilevel"/>
    <w:tmpl w:val="28E4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51CB6"/>
    <w:multiLevelType w:val="multilevel"/>
    <w:tmpl w:val="2EB0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B5998"/>
    <w:multiLevelType w:val="multilevel"/>
    <w:tmpl w:val="E2D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41B20"/>
    <w:multiLevelType w:val="multilevel"/>
    <w:tmpl w:val="C11C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E42C2"/>
    <w:multiLevelType w:val="multilevel"/>
    <w:tmpl w:val="B590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4168C"/>
    <w:multiLevelType w:val="multilevel"/>
    <w:tmpl w:val="499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32E18"/>
    <w:multiLevelType w:val="multilevel"/>
    <w:tmpl w:val="016C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D5AFA"/>
    <w:multiLevelType w:val="multilevel"/>
    <w:tmpl w:val="C22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F177E"/>
    <w:multiLevelType w:val="multilevel"/>
    <w:tmpl w:val="C894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93B16"/>
    <w:multiLevelType w:val="multilevel"/>
    <w:tmpl w:val="D27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910110">
    <w:abstractNumId w:val="12"/>
  </w:num>
  <w:num w:numId="2" w16cid:durableId="197818170">
    <w:abstractNumId w:val="0"/>
  </w:num>
  <w:num w:numId="3" w16cid:durableId="678849856">
    <w:abstractNumId w:val="4"/>
  </w:num>
  <w:num w:numId="4" w16cid:durableId="748114897">
    <w:abstractNumId w:val="5"/>
  </w:num>
  <w:num w:numId="5" w16cid:durableId="870918469">
    <w:abstractNumId w:val="6"/>
  </w:num>
  <w:num w:numId="6" w16cid:durableId="1619991454">
    <w:abstractNumId w:val="13"/>
  </w:num>
  <w:num w:numId="7" w16cid:durableId="1729764397">
    <w:abstractNumId w:val="9"/>
  </w:num>
  <w:num w:numId="8" w16cid:durableId="1186476530">
    <w:abstractNumId w:val="3"/>
  </w:num>
  <w:num w:numId="9" w16cid:durableId="1276716001">
    <w:abstractNumId w:val="10"/>
  </w:num>
  <w:num w:numId="10" w16cid:durableId="2007518368">
    <w:abstractNumId w:val="7"/>
  </w:num>
  <w:num w:numId="11" w16cid:durableId="1004161422">
    <w:abstractNumId w:val="8"/>
  </w:num>
  <w:num w:numId="12" w16cid:durableId="1626615235">
    <w:abstractNumId w:val="1"/>
  </w:num>
  <w:num w:numId="13" w16cid:durableId="1944654013">
    <w:abstractNumId w:val="11"/>
  </w:num>
  <w:num w:numId="14" w16cid:durableId="388580952">
    <w:abstractNumId w:val="14"/>
  </w:num>
  <w:num w:numId="15" w16cid:durableId="1348410314">
    <w:abstractNumId w:val="15"/>
  </w:num>
  <w:num w:numId="16" w16cid:durableId="147078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D8"/>
    <w:rsid w:val="000007B1"/>
    <w:rsid w:val="000B46BB"/>
    <w:rsid w:val="0034534A"/>
    <w:rsid w:val="00481056"/>
    <w:rsid w:val="00497ECD"/>
    <w:rsid w:val="004F3381"/>
    <w:rsid w:val="00557B16"/>
    <w:rsid w:val="007E5B7F"/>
    <w:rsid w:val="00880656"/>
    <w:rsid w:val="0094436E"/>
    <w:rsid w:val="00BB3AD8"/>
    <w:rsid w:val="00BC1766"/>
    <w:rsid w:val="00DB76C0"/>
    <w:rsid w:val="00DE2DEF"/>
    <w:rsid w:val="00F2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65AEA"/>
  <w15:chartTrackingRefBased/>
  <w15:docId w15:val="{8633C689-1BE2-41D2-BECF-3152E686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D8"/>
  </w:style>
  <w:style w:type="paragraph" w:styleId="Heading1">
    <w:name w:val="heading 1"/>
    <w:basedOn w:val="Normal"/>
    <w:next w:val="Normal"/>
    <w:link w:val="Heading1Char"/>
    <w:uiPriority w:val="9"/>
    <w:qFormat/>
    <w:rsid w:val="00BB3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AD8"/>
    <w:rPr>
      <w:rFonts w:eastAsiaTheme="majorEastAsia" w:cstheme="majorBidi"/>
      <w:color w:val="272727" w:themeColor="text1" w:themeTint="D8"/>
    </w:rPr>
  </w:style>
  <w:style w:type="paragraph" w:styleId="Title">
    <w:name w:val="Title"/>
    <w:basedOn w:val="Normal"/>
    <w:next w:val="Normal"/>
    <w:link w:val="TitleChar"/>
    <w:uiPriority w:val="10"/>
    <w:qFormat/>
    <w:rsid w:val="00BB3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AD8"/>
    <w:pPr>
      <w:spacing w:before="160"/>
      <w:jc w:val="center"/>
    </w:pPr>
    <w:rPr>
      <w:i/>
      <w:iCs/>
      <w:color w:val="404040" w:themeColor="text1" w:themeTint="BF"/>
    </w:rPr>
  </w:style>
  <w:style w:type="character" w:customStyle="1" w:styleId="QuoteChar">
    <w:name w:val="Quote Char"/>
    <w:basedOn w:val="DefaultParagraphFont"/>
    <w:link w:val="Quote"/>
    <w:uiPriority w:val="29"/>
    <w:rsid w:val="00BB3AD8"/>
    <w:rPr>
      <w:i/>
      <w:iCs/>
      <w:color w:val="404040" w:themeColor="text1" w:themeTint="BF"/>
    </w:rPr>
  </w:style>
  <w:style w:type="paragraph" w:styleId="ListParagraph">
    <w:name w:val="List Paragraph"/>
    <w:basedOn w:val="Normal"/>
    <w:uiPriority w:val="34"/>
    <w:qFormat/>
    <w:rsid w:val="00BB3AD8"/>
    <w:pPr>
      <w:ind w:left="720"/>
      <w:contextualSpacing/>
    </w:pPr>
  </w:style>
  <w:style w:type="character" w:styleId="IntenseEmphasis">
    <w:name w:val="Intense Emphasis"/>
    <w:basedOn w:val="DefaultParagraphFont"/>
    <w:uiPriority w:val="21"/>
    <w:qFormat/>
    <w:rsid w:val="00BB3AD8"/>
    <w:rPr>
      <w:i/>
      <w:iCs/>
      <w:color w:val="0F4761" w:themeColor="accent1" w:themeShade="BF"/>
    </w:rPr>
  </w:style>
  <w:style w:type="paragraph" w:styleId="IntenseQuote">
    <w:name w:val="Intense Quote"/>
    <w:basedOn w:val="Normal"/>
    <w:next w:val="Normal"/>
    <w:link w:val="IntenseQuoteChar"/>
    <w:uiPriority w:val="30"/>
    <w:qFormat/>
    <w:rsid w:val="00BB3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AD8"/>
    <w:rPr>
      <w:i/>
      <w:iCs/>
      <w:color w:val="0F4761" w:themeColor="accent1" w:themeShade="BF"/>
    </w:rPr>
  </w:style>
  <w:style w:type="character" w:styleId="IntenseReference">
    <w:name w:val="Intense Reference"/>
    <w:basedOn w:val="DefaultParagraphFont"/>
    <w:uiPriority w:val="32"/>
    <w:qFormat/>
    <w:rsid w:val="00BB3A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696276">
      <w:bodyDiv w:val="1"/>
      <w:marLeft w:val="0"/>
      <w:marRight w:val="0"/>
      <w:marTop w:val="0"/>
      <w:marBottom w:val="0"/>
      <w:divBdr>
        <w:top w:val="none" w:sz="0" w:space="0" w:color="auto"/>
        <w:left w:val="none" w:sz="0" w:space="0" w:color="auto"/>
        <w:bottom w:val="none" w:sz="0" w:space="0" w:color="auto"/>
        <w:right w:val="none" w:sz="0" w:space="0" w:color="auto"/>
      </w:divBdr>
      <w:divsChild>
        <w:div w:id="874923591">
          <w:marLeft w:val="0"/>
          <w:marRight w:val="0"/>
          <w:marTop w:val="0"/>
          <w:marBottom w:val="0"/>
          <w:divBdr>
            <w:top w:val="none" w:sz="0" w:space="0" w:color="auto"/>
            <w:left w:val="none" w:sz="0" w:space="0" w:color="auto"/>
            <w:bottom w:val="none" w:sz="0" w:space="0" w:color="auto"/>
            <w:right w:val="none" w:sz="0" w:space="0" w:color="auto"/>
          </w:divBdr>
        </w:div>
        <w:div w:id="1590114868">
          <w:marLeft w:val="0"/>
          <w:marRight w:val="0"/>
          <w:marTop w:val="0"/>
          <w:marBottom w:val="0"/>
          <w:divBdr>
            <w:top w:val="none" w:sz="0" w:space="0" w:color="auto"/>
            <w:left w:val="none" w:sz="0" w:space="0" w:color="auto"/>
            <w:bottom w:val="none" w:sz="0" w:space="0" w:color="auto"/>
            <w:right w:val="none" w:sz="0" w:space="0" w:color="auto"/>
          </w:divBdr>
        </w:div>
        <w:div w:id="1577787681">
          <w:marLeft w:val="0"/>
          <w:marRight w:val="0"/>
          <w:marTop w:val="0"/>
          <w:marBottom w:val="0"/>
          <w:divBdr>
            <w:top w:val="none" w:sz="0" w:space="0" w:color="auto"/>
            <w:left w:val="none" w:sz="0" w:space="0" w:color="auto"/>
            <w:bottom w:val="none" w:sz="0" w:space="0" w:color="auto"/>
            <w:right w:val="none" w:sz="0" w:space="0" w:color="auto"/>
          </w:divBdr>
        </w:div>
        <w:div w:id="1114708524">
          <w:marLeft w:val="0"/>
          <w:marRight w:val="0"/>
          <w:marTop w:val="0"/>
          <w:marBottom w:val="0"/>
          <w:divBdr>
            <w:top w:val="none" w:sz="0" w:space="0" w:color="auto"/>
            <w:left w:val="none" w:sz="0" w:space="0" w:color="auto"/>
            <w:bottom w:val="none" w:sz="0" w:space="0" w:color="auto"/>
            <w:right w:val="none" w:sz="0" w:space="0" w:color="auto"/>
          </w:divBdr>
        </w:div>
      </w:divsChild>
    </w:div>
    <w:div w:id="1747263837">
      <w:bodyDiv w:val="1"/>
      <w:marLeft w:val="0"/>
      <w:marRight w:val="0"/>
      <w:marTop w:val="0"/>
      <w:marBottom w:val="0"/>
      <w:divBdr>
        <w:top w:val="none" w:sz="0" w:space="0" w:color="auto"/>
        <w:left w:val="none" w:sz="0" w:space="0" w:color="auto"/>
        <w:bottom w:val="none" w:sz="0" w:space="0" w:color="auto"/>
        <w:right w:val="none" w:sz="0" w:space="0" w:color="auto"/>
      </w:divBdr>
    </w:div>
    <w:div w:id="1755932456">
      <w:bodyDiv w:val="1"/>
      <w:marLeft w:val="0"/>
      <w:marRight w:val="0"/>
      <w:marTop w:val="0"/>
      <w:marBottom w:val="0"/>
      <w:divBdr>
        <w:top w:val="none" w:sz="0" w:space="0" w:color="auto"/>
        <w:left w:val="none" w:sz="0" w:space="0" w:color="auto"/>
        <w:bottom w:val="none" w:sz="0" w:space="0" w:color="auto"/>
        <w:right w:val="none" w:sz="0" w:space="0" w:color="auto"/>
      </w:divBdr>
      <w:divsChild>
        <w:div w:id="2016569980">
          <w:marLeft w:val="0"/>
          <w:marRight w:val="0"/>
          <w:marTop w:val="0"/>
          <w:marBottom w:val="0"/>
          <w:divBdr>
            <w:top w:val="none" w:sz="0" w:space="0" w:color="auto"/>
            <w:left w:val="none" w:sz="0" w:space="0" w:color="auto"/>
            <w:bottom w:val="none" w:sz="0" w:space="0" w:color="auto"/>
            <w:right w:val="none" w:sz="0" w:space="0" w:color="auto"/>
          </w:divBdr>
        </w:div>
        <w:div w:id="1924758823">
          <w:marLeft w:val="0"/>
          <w:marRight w:val="0"/>
          <w:marTop w:val="0"/>
          <w:marBottom w:val="0"/>
          <w:divBdr>
            <w:top w:val="none" w:sz="0" w:space="0" w:color="auto"/>
            <w:left w:val="none" w:sz="0" w:space="0" w:color="auto"/>
            <w:bottom w:val="none" w:sz="0" w:space="0" w:color="auto"/>
            <w:right w:val="none" w:sz="0" w:space="0" w:color="auto"/>
          </w:divBdr>
        </w:div>
        <w:div w:id="440958449">
          <w:marLeft w:val="0"/>
          <w:marRight w:val="0"/>
          <w:marTop w:val="0"/>
          <w:marBottom w:val="0"/>
          <w:divBdr>
            <w:top w:val="none" w:sz="0" w:space="0" w:color="auto"/>
            <w:left w:val="none" w:sz="0" w:space="0" w:color="auto"/>
            <w:bottom w:val="none" w:sz="0" w:space="0" w:color="auto"/>
            <w:right w:val="none" w:sz="0" w:space="0" w:color="auto"/>
          </w:divBdr>
        </w:div>
        <w:div w:id="708798298">
          <w:marLeft w:val="0"/>
          <w:marRight w:val="0"/>
          <w:marTop w:val="0"/>
          <w:marBottom w:val="0"/>
          <w:divBdr>
            <w:top w:val="none" w:sz="0" w:space="0" w:color="auto"/>
            <w:left w:val="none" w:sz="0" w:space="0" w:color="auto"/>
            <w:bottom w:val="none" w:sz="0" w:space="0" w:color="auto"/>
            <w:right w:val="none" w:sz="0" w:space="0" w:color="auto"/>
          </w:divBdr>
        </w:div>
      </w:divsChild>
    </w:div>
    <w:div w:id="176514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B77C-AD25-48F2-9023-0B839356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441</Words>
  <Characters>3187</Characters>
  <DocSecurity>0</DocSecurity>
  <Lines>60</Lines>
  <Paragraphs>41</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2025-03-06T02:04:00Z</dcterms:created>
  <dcterms:modified xsi:type="dcterms:W3CDTF">2025-03-29T22:15:00Z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0d6964a8-a7cb-4ffc-94dd-7e34d405426b</vt:lpwstr>
  </property>
</Properties>
</file>