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E68" w:rsidRPr="008323C0" w:rsidRDefault="009A2E68" w:rsidP="00D13896">
      <w:pPr>
        <w:spacing w:after="0"/>
        <w:rPr>
          <w:rFonts w:asciiTheme="minorHAnsi" w:hAnsiTheme="minorHAnsi"/>
          <w:sz w:val="22"/>
        </w:rPr>
      </w:pPr>
      <w:r w:rsidRPr="00D13896">
        <w:rPr>
          <w:rFonts w:asciiTheme="minorHAnsi" w:hAnsiTheme="minorHAnsi"/>
          <w:b/>
          <w:sz w:val="22"/>
        </w:rPr>
        <w:t>Table 1</w:t>
      </w:r>
      <w:r w:rsidRPr="008323C0">
        <w:rPr>
          <w:rFonts w:asciiTheme="minorHAnsi" w:hAnsiTheme="minorHAnsi"/>
          <w:sz w:val="22"/>
        </w:rPr>
        <w:t xml:space="preserve">. IUCN </w:t>
      </w:r>
      <w:r w:rsidR="00D13896">
        <w:rPr>
          <w:rFonts w:asciiTheme="minorHAnsi" w:hAnsiTheme="minorHAnsi"/>
          <w:sz w:val="22"/>
        </w:rPr>
        <w:t xml:space="preserve">Red List </w:t>
      </w:r>
      <w:r w:rsidRPr="008323C0">
        <w:rPr>
          <w:rFonts w:asciiTheme="minorHAnsi" w:hAnsiTheme="minorHAnsi"/>
          <w:sz w:val="22"/>
        </w:rPr>
        <w:t xml:space="preserve">status of species observed </w:t>
      </w:r>
      <w:r w:rsidR="00F11C9A" w:rsidRPr="008323C0">
        <w:rPr>
          <w:rFonts w:asciiTheme="minorHAnsi" w:hAnsiTheme="minorHAnsi"/>
          <w:sz w:val="22"/>
        </w:rPr>
        <w:t xml:space="preserve">over 19 days </w:t>
      </w:r>
      <w:r w:rsidRPr="008323C0">
        <w:rPr>
          <w:rFonts w:asciiTheme="minorHAnsi" w:hAnsiTheme="minorHAnsi"/>
          <w:sz w:val="22"/>
        </w:rPr>
        <w:t>at Site 15 located in Suriname.</w:t>
      </w:r>
    </w:p>
    <w:tbl>
      <w:tblPr>
        <w:tblStyle w:val="TableGrid"/>
        <w:tblW w:w="0" w:type="auto"/>
        <w:tblLook w:val="04A0" w:firstRow="1" w:lastRow="0" w:firstColumn="1" w:lastColumn="0" w:noHBand="0" w:noVBand="1"/>
      </w:tblPr>
      <w:tblGrid>
        <w:gridCol w:w="3420"/>
        <w:gridCol w:w="83"/>
        <w:gridCol w:w="2167"/>
        <w:gridCol w:w="2619"/>
      </w:tblGrid>
      <w:tr w:rsidR="00D13896" w:rsidRPr="008323C0" w:rsidTr="00D13896">
        <w:trPr>
          <w:trHeight w:val="246"/>
        </w:trPr>
        <w:tc>
          <w:tcPr>
            <w:tcW w:w="3420" w:type="dxa"/>
            <w:tcBorders>
              <w:top w:val="single" w:sz="12" w:space="0" w:color="auto"/>
              <w:left w:val="nil"/>
              <w:bottom w:val="single" w:sz="12" w:space="0" w:color="auto"/>
              <w:right w:val="nil"/>
            </w:tcBorders>
            <w:noWrap/>
          </w:tcPr>
          <w:p w:rsidR="00D13896" w:rsidRPr="00D13896" w:rsidRDefault="00D13896" w:rsidP="008323C0">
            <w:pPr>
              <w:rPr>
                <w:rFonts w:asciiTheme="minorHAnsi" w:hAnsiTheme="minorHAnsi"/>
                <w:sz w:val="20"/>
                <w:szCs w:val="20"/>
              </w:rPr>
            </w:pPr>
            <w:r>
              <w:rPr>
                <w:rFonts w:asciiTheme="minorHAnsi" w:hAnsiTheme="minorHAnsi"/>
                <w:sz w:val="20"/>
                <w:szCs w:val="20"/>
              </w:rPr>
              <w:t>Species observed</w:t>
            </w:r>
          </w:p>
        </w:tc>
        <w:tc>
          <w:tcPr>
            <w:tcW w:w="2250" w:type="dxa"/>
            <w:gridSpan w:val="2"/>
            <w:tcBorders>
              <w:top w:val="single" w:sz="12" w:space="0" w:color="auto"/>
              <w:left w:val="nil"/>
              <w:bottom w:val="single" w:sz="12" w:space="0" w:color="auto"/>
              <w:right w:val="nil"/>
            </w:tcBorders>
            <w:noWrap/>
          </w:tcPr>
          <w:p w:rsidR="00D13896" w:rsidRPr="008323C0" w:rsidRDefault="00D13896" w:rsidP="00D13896">
            <w:pPr>
              <w:rPr>
                <w:rFonts w:asciiTheme="minorHAnsi" w:hAnsiTheme="minorHAnsi"/>
                <w:sz w:val="20"/>
                <w:szCs w:val="20"/>
              </w:rPr>
            </w:pPr>
            <w:r>
              <w:rPr>
                <w:rFonts w:asciiTheme="minorHAnsi" w:hAnsiTheme="minorHAnsi"/>
                <w:sz w:val="20"/>
                <w:szCs w:val="20"/>
              </w:rPr>
              <w:t>Total number observed</w:t>
            </w:r>
          </w:p>
        </w:tc>
        <w:tc>
          <w:tcPr>
            <w:tcW w:w="2619" w:type="dxa"/>
            <w:tcBorders>
              <w:top w:val="single" w:sz="12" w:space="0" w:color="auto"/>
              <w:left w:val="nil"/>
              <w:bottom w:val="single" w:sz="12" w:space="0" w:color="auto"/>
              <w:right w:val="nil"/>
            </w:tcBorders>
            <w:noWrap/>
          </w:tcPr>
          <w:p w:rsidR="00D13896" w:rsidRPr="008323C0" w:rsidRDefault="00D13896" w:rsidP="008323C0">
            <w:pPr>
              <w:rPr>
                <w:rFonts w:asciiTheme="minorHAnsi" w:hAnsiTheme="minorHAnsi"/>
                <w:sz w:val="20"/>
                <w:szCs w:val="20"/>
              </w:rPr>
            </w:pPr>
            <w:r>
              <w:rPr>
                <w:rFonts w:asciiTheme="minorHAnsi" w:hAnsiTheme="minorHAnsi"/>
                <w:sz w:val="20"/>
                <w:szCs w:val="20"/>
              </w:rPr>
              <w:t>IUCN Red List status</w:t>
            </w:r>
          </w:p>
        </w:tc>
      </w:tr>
      <w:tr w:rsidR="008323C0" w:rsidRPr="008323C0" w:rsidTr="00D13896">
        <w:trPr>
          <w:trHeight w:val="246"/>
        </w:trPr>
        <w:tc>
          <w:tcPr>
            <w:tcW w:w="3503" w:type="dxa"/>
            <w:gridSpan w:val="2"/>
            <w:tcBorders>
              <w:top w:val="single" w:sz="12" w:space="0" w:color="auto"/>
              <w:left w:val="nil"/>
              <w:bottom w:val="nil"/>
              <w:right w:val="nil"/>
            </w:tcBorders>
            <w:noWrap/>
            <w:hideMark/>
          </w:tcPr>
          <w:p w:rsidR="008323C0" w:rsidRPr="008323C0" w:rsidRDefault="008323C0" w:rsidP="00D13896">
            <w:pPr>
              <w:spacing w:line="259" w:lineRule="auto"/>
              <w:rPr>
                <w:rFonts w:asciiTheme="minorHAnsi" w:hAnsiTheme="minorHAnsi"/>
                <w:i/>
                <w:sz w:val="20"/>
                <w:szCs w:val="20"/>
              </w:rPr>
            </w:pPr>
            <w:proofErr w:type="spellStart"/>
            <w:r w:rsidRPr="008323C0">
              <w:rPr>
                <w:rFonts w:asciiTheme="minorHAnsi" w:hAnsiTheme="minorHAnsi"/>
                <w:i/>
                <w:sz w:val="20"/>
                <w:szCs w:val="20"/>
              </w:rPr>
              <w:t>Myrmecophaga</w:t>
            </w:r>
            <w:proofErr w:type="spellEnd"/>
            <w:r w:rsidRPr="008323C0">
              <w:rPr>
                <w:rFonts w:asciiTheme="minorHAnsi" w:hAnsiTheme="minorHAnsi"/>
                <w:i/>
                <w:sz w:val="20"/>
                <w:szCs w:val="20"/>
              </w:rPr>
              <w:t xml:space="preserve"> </w:t>
            </w:r>
            <w:proofErr w:type="spellStart"/>
            <w:r w:rsidRPr="008323C0">
              <w:rPr>
                <w:rFonts w:asciiTheme="minorHAnsi" w:hAnsiTheme="minorHAnsi"/>
                <w:i/>
                <w:sz w:val="20"/>
                <w:szCs w:val="20"/>
              </w:rPr>
              <w:t>tridactyla</w:t>
            </w:r>
            <w:proofErr w:type="spellEnd"/>
          </w:p>
        </w:tc>
        <w:tc>
          <w:tcPr>
            <w:tcW w:w="2167" w:type="dxa"/>
            <w:tcBorders>
              <w:top w:val="single" w:sz="12" w:space="0" w:color="auto"/>
              <w:left w:val="nil"/>
              <w:bottom w:val="nil"/>
              <w:right w:val="nil"/>
            </w:tcBorders>
            <w:noWrap/>
            <w:hideMark/>
          </w:tcPr>
          <w:p w:rsidR="008323C0" w:rsidRPr="008323C0" w:rsidRDefault="008323C0" w:rsidP="00D13896">
            <w:pPr>
              <w:spacing w:line="259" w:lineRule="auto"/>
              <w:jc w:val="center"/>
              <w:rPr>
                <w:rFonts w:asciiTheme="minorHAnsi" w:hAnsiTheme="minorHAnsi"/>
                <w:sz w:val="20"/>
                <w:szCs w:val="20"/>
              </w:rPr>
            </w:pPr>
            <w:r w:rsidRPr="008323C0">
              <w:rPr>
                <w:rFonts w:asciiTheme="minorHAnsi" w:hAnsiTheme="minorHAnsi"/>
                <w:sz w:val="20"/>
                <w:szCs w:val="20"/>
              </w:rPr>
              <w:t>1</w:t>
            </w:r>
          </w:p>
        </w:tc>
        <w:tc>
          <w:tcPr>
            <w:tcW w:w="2619" w:type="dxa"/>
            <w:tcBorders>
              <w:top w:val="single" w:sz="12" w:space="0" w:color="auto"/>
              <w:left w:val="nil"/>
              <w:bottom w:val="nil"/>
              <w:right w:val="nil"/>
            </w:tcBorders>
            <w:noWrap/>
            <w:hideMark/>
          </w:tcPr>
          <w:p w:rsidR="008323C0" w:rsidRPr="005835D3" w:rsidRDefault="008323C0" w:rsidP="00D13896">
            <w:pPr>
              <w:spacing w:line="259" w:lineRule="auto"/>
              <w:rPr>
                <w:rFonts w:asciiTheme="minorHAnsi" w:hAnsiTheme="minorHAnsi"/>
                <w:b/>
                <w:sz w:val="20"/>
                <w:szCs w:val="20"/>
              </w:rPr>
            </w:pPr>
            <w:r w:rsidRPr="005835D3">
              <w:rPr>
                <w:rFonts w:asciiTheme="minorHAnsi" w:hAnsiTheme="minorHAnsi"/>
                <w:b/>
                <w:sz w:val="20"/>
                <w:szCs w:val="20"/>
              </w:rPr>
              <w:t>Vulnerable</w:t>
            </w:r>
          </w:p>
        </w:tc>
      </w:tr>
      <w:tr w:rsidR="008323C0" w:rsidRPr="008323C0" w:rsidTr="00D13896">
        <w:trPr>
          <w:trHeight w:val="246"/>
        </w:trPr>
        <w:tc>
          <w:tcPr>
            <w:tcW w:w="3503" w:type="dxa"/>
            <w:gridSpan w:val="2"/>
            <w:tcBorders>
              <w:top w:val="nil"/>
              <w:left w:val="nil"/>
              <w:bottom w:val="nil"/>
              <w:right w:val="nil"/>
            </w:tcBorders>
            <w:noWrap/>
            <w:hideMark/>
          </w:tcPr>
          <w:p w:rsidR="008323C0" w:rsidRPr="008323C0" w:rsidRDefault="008323C0" w:rsidP="00D13896">
            <w:pPr>
              <w:spacing w:line="259" w:lineRule="auto"/>
              <w:rPr>
                <w:rFonts w:asciiTheme="minorHAnsi" w:hAnsiTheme="minorHAnsi"/>
                <w:i/>
                <w:sz w:val="20"/>
                <w:szCs w:val="20"/>
              </w:rPr>
            </w:pPr>
            <w:proofErr w:type="spellStart"/>
            <w:r w:rsidRPr="008323C0">
              <w:rPr>
                <w:rFonts w:asciiTheme="minorHAnsi" w:hAnsiTheme="minorHAnsi"/>
                <w:i/>
                <w:sz w:val="20"/>
                <w:szCs w:val="20"/>
              </w:rPr>
              <w:t>Leopardus</w:t>
            </w:r>
            <w:proofErr w:type="spellEnd"/>
            <w:r w:rsidRPr="008323C0">
              <w:rPr>
                <w:rFonts w:asciiTheme="minorHAnsi" w:hAnsiTheme="minorHAnsi"/>
                <w:i/>
                <w:sz w:val="20"/>
                <w:szCs w:val="20"/>
              </w:rPr>
              <w:t xml:space="preserve"> </w:t>
            </w:r>
            <w:proofErr w:type="spellStart"/>
            <w:r w:rsidRPr="008323C0">
              <w:rPr>
                <w:rFonts w:asciiTheme="minorHAnsi" w:hAnsiTheme="minorHAnsi"/>
                <w:i/>
                <w:sz w:val="20"/>
                <w:szCs w:val="20"/>
              </w:rPr>
              <w:t>pardalis</w:t>
            </w:r>
            <w:proofErr w:type="spellEnd"/>
          </w:p>
        </w:tc>
        <w:tc>
          <w:tcPr>
            <w:tcW w:w="2167" w:type="dxa"/>
            <w:tcBorders>
              <w:top w:val="nil"/>
              <w:left w:val="nil"/>
              <w:bottom w:val="nil"/>
              <w:right w:val="nil"/>
            </w:tcBorders>
            <w:noWrap/>
            <w:hideMark/>
          </w:tcPr>
          <w:p w:rsidR="008323C0" w:rsidRPr="008323C0" w:rsidRDefault="008323C0" w:rsidP="00D13896">
            <w:pPr>
              <w:spacing w:line="259" w:lineRule="auto"/>
              <w:jc w:val="center"/>
              <w:rPr>
                <w:rFonts w:asciiTheme="minorHAnsi" w:hAnsiTheme="minorHAnsi"/>
                <w:sz w:val="20"/>
                <w:szCs w:val="20"/>
              </w:rPr>
            </w:pPr>
            <w:r w:rsidRPr="008323C0">
              <w:rPr>
                <w:rFonts w:asciiTheme="minorHAnsi" w:hAnsiTheme="minorHAnsi"/>
                <w:sz w:val="20"/>
                <w:szCs w:val="20"/>
              </w:rPr>
              <w:t>2</w:t>
            </w:r>
          </w:p>
        </w:tc>
        <w:tc>
          <w:tcPr>
            <w:tcW w:w="2619" w:type="dxa"/>
            <w:tcBorders>
              <w:top w:val="nil"/>
              <w:left w:val="nil"/>
              <w:bottom w:val="nil"/>
              <w:right w:val="nil"/>
            </w:tcBorders>
            <w:noWrap/>
            <w:hideMark/>
          </w:tcPr>
          <w:p w:rsidR="008323C0" w:rsidRPr="008323C0" w:rsidRDefault="008323C0" w:rsidP="00D13896">
            <w:pPr>
              <w:spacing w:line="259" w:lineRule="auto"/>
              <w:rPr>
                <w:rFonts w:asciiTheme="minorHAnsi" w:hAnsiTheme="minorHAnsi"/>
                <w:sz w:val="20"/>
                <w:szCs w:val="20"/>
              </w:rPr>
            </w:pPr>
            <w:r w:rsidRPr="008323C0">
              <w:rPr>
                <w:rFonts w:asciiTheme="minorHAnsi" w:hAnsiTheme="minorHAnsi"/>
                <w:sz w:val="20"/>
                <w:szCs w:val="20"/>
              </w:rPr>
              <w:t>Least Concern</w:t>
            </w:r>
          </w:p>
        </w:tc>
      </w:tr>
      <w:tr w:rsidR="008323C0" w:rsidRPr="008323C0" w:rsidTr="00D13896">
        <w:trPr>
          <w:trHeight w:val="246"/>
        </w:trPr>
        <w:tc>
          <w:tcPr>
            <w:tcW w:w="3503" w:type="dxa"/>
            <w:gridSpan w:val="2"/>
            <w:tcBorders>
              <w:top w:val="nil"/>
              <w:left w:val="nil"/>
              <w:bottom w:val="nil"/>
              <w:right w:val="nil"/>
            </w:tcBorders>
            <w:noWrap/>
            <w:hideMark/>
          </w:tcPr>
          <w:p w:rsidR="008323C0" w:rsidRPr="008323C0" w:rsidRDefault="008323C0" w:rsidP="00D13896">
            <w:pPr>
              <w:spacing w:line="259" w:lineRule="auto"/>
              <w:rPr>
                <w:rFonts w:asciiTheme="minorHAnsi" w:hAnsiTheme="minorHAnsi"/>
                <w:i/>
                <w:sz w:val="20"/>
                <w:szCs w:val="20"/>
              </w:rPr>
            </w:pPr>
            <w:proofErr w:type="spellStart"/>
            <w:r w:rsidRPr="008323C0">
              <w:rPr>
                <w:rFonts w:asciiTheme="minorHAnsi" w:hAnsiTheme="minorHAnsi"/>
                <w:i/>
                <w:sz w:val="20"/>
                <w:szCs w:val="20"/>
              </w:rPr>
              <w:t>Panthera</w:t>
            </w:r>
            <w:proofErr w:type="spellEnd"/>
            <w:r w:rsidRPr="008323C0">
              <w:rPr>
                <w:rFonts w:asciiTheme="minorHAnsi" w:hAnsiTheme="minorHAnsi"/>
                <w:i/>
                <w:sz w:val="20"/>
                <w:szCs w:val="20"/>
              </w:rPr>
              <w:t xml:space="preserve"> </w:t>
            </w:r>
            <w:proofErr w:type="spellStart"/>
            <w:r w:rsidRPr="008323C0">
              <w:rPr>
                <w:rFonts w:asciiTheme="minorHAnsi" w:hAnsiTheme="minorHAnsi"/>
                <w:i/>
                <w:sz w:val="20"/>
                <w:szCs w:val="20"/>
              </w:rPr>
              <w:t>onca</w:t>
            </w:r>
            <w:proofErr w:type="spellEnd"/>
          </w:p>
        </w:tc>
        <w:tc>
          <w:tcPr>
            <w:tcW w:w="2167" w:type="dxa"/>
            <w:tcBorders>
              <w:top w:val="nil"/>
              <w:left w:val="nil"/>
              <w:bottom w:val="nil"/>
              <w:right w:val="nil"/>
            </w:tcBorders>
            <w:noWrap/>
            <w:hideMark/>
          </w:tcPr>
          <w:p w:rsidR="008323C0" w:rsidRPr="008323C0" w:rsidRDefault="008323C0" w:rsidP="00D13896">
            <w:pPr>
              <w:spacing w:line="259" w:lineRule="auto"/>
              <w:jc w:val="center"/>
              <w:rPr>
                <w:rFonts w:asciiTheme="minorHAnsi" w:hAnsiTheme="minorHAnsi"/>
                <w:sz w:val="20"/>
                <w:szCs w:val="20"/>
              </w:rPr>
            </w:pPr>
            <w:r w:rsidRPr="008323C0">
              <w:rPr>
                <w:rFonts w:asciiTheme="minorHAnsi" w:hAnsiTheme="minorHAnsi"/>
                <w:sz w:val="20"/>
                <w:szCs w:val="20"/>
              </w:rPr>
              <w:t>1</w:t>
            </w:r>
          </w:p>
        </w:tc>
        <w:tc>
          <w:tcPr>
            <w:tcW w:w="2619" w:type="dxa"/>
            <w:tcBorders>
              <w:top w:val="nil"/>
              <w:left w:val="nil"/>
              <w:bottom w:val="nil"/>
              <w:right w:val="nil"/>
            </w:tcBorders>
            <w:noWrap/>
            <w:hideMark/>
          </w:tcPr>
          <w:p w:rsidR="008323C0" w:rsidRPr="005835D3" w:rsidRDefault="008323C0" w:rsidP="00D13896">
            <w:pPr>
              <w:spacing w:line="259" w:lineRule="auto"/>
              <w:rPr>
                <w:rFonts w:asciiTheme="minorHAnsi" w:hAnsiTheme="minorHAnsi"/>
                <w:b/>
                <w:sz w:val="20"/>
                <w:szCs w:val="20"/>
              </w:rPr>
            </w:pPr>
            <w:r w:rsidRPr="005835D3">
              <w:rPr>
                <w:rFonts w:asciiTheme="minorHAnsi" w:hAnsiTheme="minorHAnsi"/>
                <w:b/>
                <w:sz w:val="20"/>
                <w:szCs w:val="20"/>
              </w:rPr>
              <w:t>Near Threatened</w:t>
            </w:r>
          </w:p>
        </w:tc>
      </w:tr>
      <w:tr w:rsidR="008323C0" w:rsidRPr="008323C0" w:rsidTr="00D13896">
        <w:trPr>
          <w:trHeight w:val="246"/>
        </w:trPr>
        <w:tc>
          <w:tcPr>
            <w:tcW w:w="3503" w:type="dxa"/>
            <w:gridSpan w:val="2"/>
            <w:tcBorders>
              <w:top w:val="nil"/>
              <w:left w:val="nil"/>
              <w:bottom w:val="nil"/>
              <w:right w:val="nil"/>
            </w:tcBorders>
            <w:noWrap/>
            <w:hideMark/>
          </w:tcPr>
          <w:p w:rsidR="008323C0" w:rsidRPr="008323C0" w:rsidRDefault="008323C0" w:rsidP="00D13896">
            <w:pPr>
              <w:spacing w:line="259" w:lineRule="auto"/>
              <w:rPr>
                <w:rFonts w:asciiTheme="minorHAnsi" w:hAnsiTheme="minorHAnsi"/>
                <w:i/>
                <w:sz w:val="20"/>
                <w:szCs w:val="20"/>
              </w:rPr>
            </w:pPr>
            <w:r w:rsidRPr="008323C0">
              <w:rPr>
                <w:rFonts w:asciiTheme="minorHAnsi" w:hAnsiTheme="minorHAnsi"/>
                <w:i/>
                <w:sz w:val="20"/>
                <w:szCs w:val="20"/>
              </w:rPr>
              <w:t>Puma (</w:t>
            </w:r>
            <w:proofErr w:type="spellStart"/>
            <w:r w:rsidRPr="008323C0">
              <w:rPr>
                <w:rFonts w:asciiTheme="minorHAnsi" w:hAnsiTheme="minorHAnsi"/>
                <w:i/>
                <w:sz w:val="20"/>
                <w:szCs w:val="20"/>
              </w:rPr>
              <w:t>Panthera</w:t>
            </w:r>
            <w:proofErr w:type="spellEnd"/>
            <w:r w:rsidRPr="008323C0">
              <w:rPr>
                <w:rFonts w:asciiTheme="minorHAnsi" w:hAnsiTheme="minorHAnsi"/>
                <w:i/>
                <w:sz w:val="20"/>
                <w:szCs w:val="20"/>
              </w:rPr>
              <w:t xml:space="preserve">) </w:t>
            </w:r>
            <w:proofErr w:type="spellStart"/>
            <w:r w:rsidRPr="008323C0">
              <w:rPr>
                <w:rFonts w:asciiTheme="minorHAnsi" w:hAnsiTheme="minorHAnsi"/>
                <w:i/>
                <w:sz w:val="20"/>
                <w:szCs w:val="20"/>
              </w:rPr>
              <w:t>concolor</w:t>
            </w:r>
            <w:proofErr w:type="spellEnd"/>
          </w:p>
        </w:tc>
        <w:tc>
          <w:tcPr>
            <w:tcW w:w="2167" w:type="dxa"/>
            <w:tcBorders>
              <w:top w:val="nil"/>
              <w:left w:val="nil"/>
              <w:bottom w:val="nil"/>
              <w:right w:val="nil"/>
            </w:tcBorders>
            <w:noWrap/>
            <w:hideMark/>
          </w:tcPr>
          <w:p w:rsidR="008323C0" w:rsidRPr="008323C0" w:rsidRDefault="008323C0" w:rsidP="00D13896">
            <w:pPr>
              <w:spacing w:line="259" w:lineRule="auto"/>
              <w:jc w:val="center"/>
              <w:rPr>
                <w:rFonts w:asciiTheme="minorHAnsi" w:hAnsiTheme="minorHAnsi"/>
                <w:sz w:val="20"/>
                <w:szCs w:val="20"/>
              </w:rPr>
            </w:pPr>
            <w:r w:rsidRPr="008323C0">
              <w:rPr>
                <w:rFonts w:asciiTheme="minorHAnsi" w:hAnsiTheme="minorHAnsi"/>
                <w:sz w:val="20"/>
                <w:szCs w:val="20"/>
              </w:rPr>
              <w:t>2</w:t>
            </w:r>
          </w:p>
        </w:tc>
        <w:tc>
          <w:tcPr>
            <w:tcW w:w="2619" w:type="dxa"/>
            <w:tcBorders>
              <w:top w:val="nil"/>
              <w:left w:val="nil"/>
              <w:bottom w:val="nil"/>
              <w:right w:val="nil"/>
            </w:tcBorders>
            <w:noWrap/>
            <w:hideMark/>
          </w:tcPr>
          <w:p w:rsidR="008323C0" w:rsidRPr="008323C0" w:rsidRDefault="008323C0" w:rsidP="00D13896">
            <w:pPr>
              <w:spacing w:line="259" w:lineRule="auto"/>
              <w:rPr>
                <w:rFonts w:asciiTheme="minorHAnsi" w:hAnsiTheme="minorHAnsi"/>
                <w:sz w:val="20"/>
                <w:szCs w:val="20"/>
              </w:rPr>
            </w:pPr>
            <w:r w:rsidRPr="008323C0">
              <w:rPr>
                <w:rFonts w:asciiTheme="minorHAnsi" w:hAnsiTheme="minorHAnsi"/>
                <w:sz w:val="20"/>
                <w:szCs w:val="20"/>
              </w:rPr>
              <w:t>Least Concern</w:t>
            </w:r>
          </w:p>
        </w:tc>
      </w:tr>
      <w:tr w:rsidR="008323C0" w:rsidRPr="008323C0" w:rsidTr="00D13896">
        <w:trPr>
          <w:trHeight w:val="246"/>
        </w:trPr>
        <w:tc>
          <w:tcPr>
            <w:tcW w:w="3503" w:type="dxa"/>
            <w:gridSpan w:val="2"/>
            <w:tcBorders>
              <w:top w:val="nil"/>
              <w:left w:val="nil"/>
              <w:bottom w:val="nil"/>
              <w:right w:val="nil"/>
            </w:tcBorders>
            <w:noWrap/>
            <w:hideMark/>
          </w:tcPr>
          <w:p w:rsidR="008323C0" w:rsidRPr="008323C0" w:rsidRDefault="008323C0" w:rsidP="00D13896">
            <w:pPr>
              <w:spacing w:line="259" w:lineRule="auto"/>
              <w:rPr>
                <w:rFonts w:asciiTheme="minorHAnsi" w:hAnsiTheme="minorHAnsi"/>
                <w:i/>
                <w:sz w:val="20"/>
                <w:szCs w:val="20"/>
              </w:rPr>
            </w:pPr>
            <w:proofErr w:type="spellStart"/>
            <w:r w:rsidRPr="008323C0">
              <w:rPr>
                <w:rFonts w:asciiTheme="minorHAnsi" w:hAnsiTheme="minorHAnsi"/>
                <w:i/>
                <w:sz w:val="20"/>
                <w:szCs w:val="20"/>
              </w:rPr>
              <w:t>Tapirus</w:t>
            </w:r>
            <w:proofErr w:type="spellEnd"/>
            <w:r w:rsidRPr="008323C0">
              <w:rPr>
                <w:rFonts w:asciiTheme="minorHAnsi" w:hAnsiTheme="minorHAnsi"/>
                <w:i/>
                <w:sz w:val="20"/>
                <w:szCs w:val="20"/>
              </w:rPr>
              <w:t xml:space="preserve"> </w:t>
            </w:r>
            <w:proofErr w:type="spellStart"/>
            <w:r w:rsidRPr="008323C0">
              <w:rPr>
                <w:rFonts w:asciiTheme="minorHAnsi" w:hAnsiTheme="minorHAnsi"/>
                <w:i/>
                <w:sz w:val="20"/>
                <w:szCs w:val="20"/>
              </w:rPr>
              <w:t>terrestris</w:t>
            </w:r>
            <w:proofErr w:type="spellEnd"/>
          </w:p>
        </w:tc>
        <w:tc>
          <w:tcPr>
            <w:tcW w:w="2167" w:type="dxa"/>
            <w:tcBorders>
              <w:top w:val="nil"/>
              <w:left w:val="nil"/>
              <w:bottom w:val="nil"/>
              <w:right w:val="nil"/>
            </w:tcBorders>
            <w:noWrap/>
            <w:hideMark/>
          </w:tcPr>
          <w:p w:rsidR="008323C0" w:rsidRPr="008323C0" w:rsidRDefault="008323C0" w:rsidP="00D13896">
            <w:pPr>
              <w:spacing w:line="259" w:lineRule="auto"/>
              <w:jc w:val="center"/>
              <w:rPr>
                <w:rFonts w:asciiTheme="minorHAnsi" w:hAnsiTheme="minorHAnsi"/>
                <w:sz w:val="20"/>
                <w:szCs w:val="20"/>
              </w:rPr>
            </w:pPr>
            <w:r w:rsidRPr="008323C0">
              <w:rPr>
                <w:rFonts w:asciiTheme="minorHAnsi" w:hAnsiTheme="minorHAnsi"/>
                <w:sz w:val="20"/>
                <w:szCs w:val="20"/>
              </w:rPr>
              <w:t>1</w:t>
            </w:r>
          </w:p>
        </w:tc>
        <w:tc>
          <w:tcPr>
            <w:tcW w:w="2619" w:type="dxa"/>
            <w:tcBorders>
              <w:top w:val="nil"/>
              <w:left w:val="nil"/>
              <w:bottom w:val="nil"/>
              <w:right w:val="nil"/>
            </w:tcBorders>
            <w:noWrap/>
            <w:hideMark/>
          </w:tcPr>
          <w:p w:rsidR="008323C0" w:rsidRPr="005835D3" w:rsidRDefault="008323C0" w:rsidP="00D13896">
            <w:pPr>
              <w:spacing w:line="259" w:lineRule="auto"/>
              <w:rPr>
                <w:rFonts w:asciiTheme="minorHAnsi" w:hAnsiTheme="minorHAnsi"/>
                <w:b/>
                <w:sz w:val="20"/>
                <w:szCs w:val="20"/>
              </w:rPr>
            </w:pPr>
            <w:r w:rsidRPr="005835D3">
              <w:rPr>
                <w:rFonts w:asciiTheme="minorHAnsi" w:hAnsiTheme="minorHAnsi"/>
                <w:b/>
                <w:sz w:val="20"/>
                <w:szCs w:val="20"/>
              </w:rPr>
              <w:t>Vulnerable</w:t>
            </w:r>
          </w:p>
        </w:tc>
      </w:tr>
      <w:tr w:rsidR="008323C0" w:rsidRPr="008323C0" w:rsidTr="00D13896">
        <w:trPr>
          <w:trHeight w:val="246"/>
        </w:trPr>
        <w:tc>
          <w:tcPr>
            <w:tcW w:w="3503" w:type="dxa"/>
            <w:gridSpan w:val="2"/>
            <w:tcBorders>
              <w:top w:val="nil"/>
              <w:left w:val="nil"/>
              <w:bottom w:val="nil"/>
              <w:right w:val="nil"/>
            </w:tcBorders>
            <w:noWrap/>
            <w:hideMark/>
          </w:tcPr>
          <w:p w:rsidR="008323C0" w:rsidRPr="008323C0" w:rsidRDefault="008323C0" w:rsidP="00D13896">
            <w:pPr>
              <w:spacing w:line="259" w:lineRule="auto"/>
              <w:rPr>
                <w:rFonts w:asciiTheme="minorHAnsi" w:hAnsiTheme="minorHAnsi"/>
                <w:i/>
                <w:sz w:val="20"/>
                <w:szCs w:val="20"/>
              </w:rPr>
            </w:pPr>
            <w:proofErr w:type="spellStart"/>
            <w:r w:rsidRPr="008323C0">
              <w:rPr>
                <w:rFonts w:asciiTheme="minorHAnsi" w:hAnsiTheme="minorHAnsi"/>
                <w:i/>
                <w:sz w:val="20"/>
                <w:szCs w:val="20"/>
              </w:rPr>
              <w:t>Pecari</w:t>
            </w:r>
            <w:proofErr w:type="spellEnd"/>
            <w:r w:rsidRPr="008323C0">
              <w:rPr>
                <w:rFonts w:asciiTheme="minorHAnsi" w:hAnsiTheme="minorHAnsi"/>
                <w:i/>
                <w:sz w:val="20"/>
                <w:szCs w:val="20"/>
              </w:rPr>
              <w:t xml:space="preserve"> </w:t>
            </w:r>
            <w:proofErr w:type="spellStart"/>
            <w:r w:rsidRPr="008323C0">
              <w:rPr>
                <w:rFonts w:asciiTheme="minorHAnsi" w:hAnsiTheme="minorHAnsi"/>
                <w:i/>
                <w:sz w:val="20"/>
                <w:szCs w:val="20"/>
              </w:rPr>
              <w:t>tajacu</w:t>
            </w:r>
            <w:proofErr w:type="spellEnd"/>
          </w:p>
        </w:tc>
        <w:tc>
          <w:tcPr>
            <w:tcW w:w="2167" w:type="dxa"/>
            <w:tcBorders>
              <w:top w:val="nil"/>
              <w:left w:val="nil"/>
              <w:bottom w:val="nil"/>
              <w:right w:val="nil"/>
            </w:tcBorders>
            <w:noWrap/>
            <w:hideMark/>
          </w:tcPr>
          <w:p w:rsidR="008323C0" w:rsidRPr="008323C0" w:rsidRDefault="008323C0" w:rsidP="00D13896">
            <w:pPr>
              <w:spacing w:line="259" w:lineRule="auto"/>
              <w:jc w:val="center"/>
              <w:rPr>
                <w:rFonts w:asciiTheme="minorHAnsi" w:hAnsiTheme="minorHAnsi"/>
                <w:sz w:val="20"/>
                <w:szCs w:val="20"/>
              </w:rPr>
            </w:pPr>
            <w:r w:rsidRPr="008323C0">
              <w:rPr>
                <w:rFonts w:asciiTheme="minorHAnsi" w:hAnsiTheme="minorHAnsi"/>
                <w:sz w:val="20"/>
                <w:szCs w:val="20"/>
              </w:rPr>
              <w:t>1</w:t>
            </w:r>
          </w:p>
        </w:tc>
        <w:tc>
          <w:tcPr>
            <w:tcW w:w="2619" w:type="dxa"/>
            <w:tcBorders>
              <w:top w:val="nil"/>
              <w:left w:val="nil"/>
              <w:bottom w:val="nil"/>
              <w:right w:val="nil"/>
            </w:tcBorders>
            <w:noWrap/>
            <w:hideMark/>
          </w:tcPr>
          <w:p w:rsidR="008323C0" w:rsidRPr="008323C0" w:rsidRDefault="008323C0" w:rsidP="00D13896">
            <w:pPr>
              <w:spacing w:line="259" w:lineRule="auto"/>
              <w:rPr>
                <w:rFonts w:asciiTheme="minorHAnsi" w:hAnsiTheme="minorHAnsi"/>
                <w:sz w:val="20"/>
                <w:szCs w:val="20"/>
              </w:rPr>
            </w:pPr>
            <w:r w:rsidRPr="008323C0">
              <w:rPr>
                <w:rFonts w:asciiTheme="minorHAnsi" w:hAnsiTheme="minorHAnsi"/>
                <w:sz w:val="20"/>
                <w:szCs w:val="20"/>
              </w:rPr>
              <w:t>Least Concern</w:t>
            </w:r>
          </w:p>
        </w:tc>
      </w:tr>
      <w:tr w:rsidR="008323C0" w:rsidRPr="008323C0" w:rsidTr="00D13896">
        <w:trPr>
          <w:trHeight w:val="246"/>
        </w:trPr>
        <w:tc>
          <w:tcPr>
            <w:tcW w:w="3503" w:type="dxa"/>
            <w:gridSpan w:val="2"/>
            <w:tcBorders>
              <w:top w:val="nil"/>
              <w:left w:val="nil"/>
              <w:bottom w:val="nil"/>
              <w:right w:val="nil"/>
            </w:tcBorders>
            <w:noWrap/>
            <w:hideMark/>
          </w:tcPr>
          <w:p w:rsidR="008323C0" w:rsidRPr="008323C0" w:rsidRDefault="008323C0" w:rsidP="00D13896">
            <w:pPr>
              <w:spacing w:line="259" w:lineRule="auto"/>
              <w:rPr>
                <w:rFonts w:asciiTheme="minorHAnsi" w:hAnsiTheme="minorHAnsi"/>
                <w:i/>
                <w:sz w:val="20"/>
                <w:szCs w:val="20"/>
              </w:rPr>
            </w:pPr>
            <w:proofErr w:type="spellStart"/>
            <w:r w:rsidRPr="008323C0">
              <w:rPr>
                <w:rFonts w:asciiTheme="minorHAnsi" w:hAnsiTheme="minorHAnsi"/>
                <w:i/>
                <w:sz w:val="20"/>
                <w:szCs w:val="20"/>
              </w:rPr>
              <w:t>Tayassu</w:t>
            </w:r>
            <w:proofErr w:type="spellEnd"/>
            <w:r w:rsidRPr="008323C0">
              <w:rPr>
                <w:rFonts w:asciiTheme="minorHAnsi" w:hAnsiTheme="minorHAnsi"/>
                <w:i/>
                <w:sz w:val="20"/>
                <w:szCs w:val="20"/>
              </w:rPr>
              <w:t xml:space="preserve"> </w:t>
            </w:r>
            <w:proofErr w:type="spellStart"/>
            <w:r w:rsidRPr="008323C0">
              <w:rPr>
                <w:rFonts w:asciiTheme="minorHAnsi" w:hAnsiTheme="minorHAnsi"/>
                <w:i/>
                <w:sz w:val="20"/>
                <w:szCs w:val="20"/>
              </w:rPr>
              <w:t>pecari</w:t>
            </w:r>
            <w:proofErr w:type="spellEnd"/>
          </w:p>
        </w:tc>
        <w:tc>
          <w:tcPr>
            <w:tcW w:w="2167" w:type="dxa"/>
            <w:tcBorders>
              <w:top w:val="nil"/>
              <w:left w:val="nil"/>
              <w:bottom w:val="nil"/>
              <w:right w:val="nil"/>
            </w:tcBorders>
            <w:noWrap/>
            <w:hideMark/>
          </w:tcPr>
          <w:p w:rsidR="008323C0" w:rsidRPr="008323C0" w:rsidRDefault="008323C0" w:rsidP="00D13896">
            <w:pPr>
              <w:spacing w:line="259" w:lineRule="auto"/>
              <w:jc w:val="center"/>
              <w:rPr>
                <w:rFonts w:asciiTheme="minorHAnsi" w:hAnsiTheme="minorHAnsi"/>
                <w:sz w:val="20"/>
                <w:szCs w:val="20"/>
              </w:rPr>
            </w:pPr>
            <w:r w:rsidRPr="008323C0">
              <w:rPr>
                <w:rFonts w:asciiTheme="minorHAnsi" w:hAnsiTheme="minorHAnsi"/>
                <w:sz w:val="20"/>
                <w:szCs w:val="20"/>
              </w:rPr>
              <w:t>4</w:t>
            </w:r>
          </w:p>
        </w:tc>
        <w:tc>
          <w:tcPr>
            <w:tcW w:w="2619" w:type="dxa"/>
            <w:tcBorders>
              <w:top w:val="nil"/>
              <w:left w:val="nil"/>
              <w:bottom w:val="nil"/>
              <w:right w:val="nil"/>
            </w:tcBorders>
            <w:noWrap/>
            <w:hideMark/>
          </w:tcPr>
          <w:p w:rsidR="008323C0" w:rsidRPr="005835D3" w:rsidRDefault="008323C0" w:rsidP="00D13896">
            <w:pPr>
              <w:spacing w:line="259" w:lineRule="auto"/>
              <w:rPr>
                <w:rFonts w:asciiTheme="minorHAnsi" w:hAnsiTheme="minorHAnsi"/>
                <w:b/>
                <w:sz w:val="20"/>
                <w:szCs w:val="20"/>
              </w:rPr>
            </w:pPr>
            <w:r w:rsidRPr="005835D3">
              <w:rPr>
                <w:rFonts w:asciiTheme="minorHAnsi" w:hAnsiTheme="minorHAnsi"/>
                <w:b/>
                <w:sz w:val="20"/>
                <w:szCs w:val="20"/>
              </w:rPr>
              <w:t>Vulnerable</w:t>
            </w:r>
          </w:p>
        </w:tc>
      </w:tr>
      <w:tr w:rsidR="008323C0" w:rsidRPr="008323C0" w:rsidTr="00D13896">
        <w:trPr>
          <w:trHeight w:val="246"/>
        </w:trPr>
        <w:tc>
          <w:tcPr>
            <w:tcW w:w="3503" w:type="dxa"/>
            <w:gridSpan w:val="2"/>
            <w:tcBorders>
              <w:top w:val="nil"/>
              <w:left w:val="nil"/>
              <w:bottom w:val="nil"/>
              <w:right w:val="nil"/>
            </w:tcBorders>
            <w:noWrap/>
            <w:hideMark/>
          </w:tcPr>
          <w:p w:rsidR="008323C0" w:rsidRPr="008323C0" w:rsidRDefault="008323C0" w:rsidP="00D13896">
            <w:pPr>
              <w:spacing w:line="259" w:lineRule="auto"/>
              <w:rPr>
                <w:rFonts w:asciiTheme="minorHAnsi" w:hAnsiTheme="minorHAnsi"/>
                <w:i/>
                <w:sz w:val="20"/>
                <w:szCs w:val="20"/>
              </w:rPr>
            </w:pPr>
            <w:proofErr w:type="spellStart"/>
            <w:r w:rsidRPr="008323C0">
              <w:rPr>
                <w:rFonts w:asciiTheme="minorHAnsi" w:hAnsiTheme="minorHAnsi"/>
                <w:i/>
                <w:sz w:val="20"/>
                <w:szCs w:val="20"/>
              </w:rPr>
              <w:t>Mazama</w:t>
            </w:r>
            <w:proofErr w:type="spellEnd"/>
            <w:r w:rsidRPr="008323C0">
              <w:rPr>
                <w:rFonts w:asciiTheme="minorHAnsi" w:hAnsiTheme="minorHAnsi"/>
                <w:i/>
                <w:sz w:val="20"/>
                <w:szCs w:val="20"/>
              </w:rPr>
              <w:t xml:space="preserve"> </w:t>
            </w:r>
            <w:proofErr w:type="spellStart"/>
            <w:r w:rsidRPr="008323C0">
              <w:rPr>
                <w:rFonts w:asciiTheme="minorHAnsi" w:hAnsiTheme="minorHAnsi"/>
                <w:i/>
                <w:sz w:val="20"/>
                <w:szCs w:val="20"/>
              </w:rPr>
              <w:t>americana</w:t>
            </w:r>
            <w:proofErr w:type="spellEnd"/>
          </w:p>
        </w:tc>
        <w:tc>
          <w:tcPr>
            <w:tcW w:w="2167" w:type="dxa"/>
            <w:tcBorders>
              <w:top w:val="nil"/>
              <w:left w:val="nil"/>
              <w:bottom w:val="nil"/>
              <w:right w:val="nil"/>
            </w:tcBorders>
            <w:noWrap/>
            <w:hideMark/>
          </w:tcPr>
          <w:p w:rsidR="008323C0" w:rsidRPr="008323C0" w:rsidRDefault="008323C0" w:rsidP="00D13896">
            <w:pPr>
              <w:spacing w:line="259" w:lineRule="auto"/>
              <w:jc w:val="center"/>
              <w:rPr>
                <w:rFonts w:asciiTheme="minorHAnsi" w:hAnsiTheme="minorHAnsi"/>
                <w:sz w:val="20"/>
                <w:szCs w:val="20"/>
              </w:rPr>
            </w:pPr>
            <w:r w:rsidRPr="008323C0">
              <w:rPr>
                <w:rFonts w:asciiTheme="minorHAnsi" w:hAnsiTheme="minorHAnsi"/>
                <w:sz w:val="20"/>
                <w:szCs w:val="20"/>
              </w:rPr>
              <w:t>5</w:t>
            </w:r>
          </w:p>
        </w:tc>
        <w:tc>
          <w:tcPr>
            <w:tcW w:w="2619" w:type="dxa"/>
            <w:tcBorders>
              <w:top w:val="nil"/>
              <w:left w:val="nil"/>
              <w:bottom w:val="nil"/>
              <w:right w:val="nil"/>
            </w:tcBorders>
            <w:noWrap/>
            <w:hideMark/>
          </w:tcPr>
          <w:p w:rsidR="008323C0" w:rsidRPr="008323C0" w:rsidRDefault="008323C0" w:rsidP="00D13896">
            <w:pPr>
              <w:spacing w:line="259" w:lineRule="auto"/>
              <w:rPr>
                <w:rFonts w:asciiTheme="minorHAnsi" w:hAnsiTheme="minorHAnsi"/>
                <w:sz w:val="20"/>
                <w:szCs w:val="20"/>
              </w:rPr>
            </w:pPr>
            <w:r w:rsidRPr="008323C0">
              <w:rPr>
                <w:rFonts w:asciiTheme="minorHAnsi" w:hAnsiTheme="minorHAnsi"/>
                <w:sz w:val="20"/>
                <w:szCs w:val="20"/>
              </w:rPr>
              <w:t>Data Deficient</w:t>
            </w:r>
          </w:p>
        </w:tc>
      </w:tr>
      <w:tr w:rsidR="008323C0" w:rsidRPr="008323C0" w:rsidTr="00D13896">
        <w:trPr>
          <w:trHeight w:val="246"/>
        </w:trPr>
        <w:tc>
          <w:tcPr>
            <w:tcW w:w="3503" w:type="dxa"/>
            <w:gridSpan w:val="2"/>
            <w:tcBorders>
              <w:top w:val="nil"/>
              <w:left w:val="nil"/>
              <w:bottom w:val="nil"/>
              <w:right w:val="nil"/>
            </w:tcBorders>
            <w:noWrap/>
            <w:hideMark/>
          </w:tcPr>
          <w:p w:rsidR="008323C0" w:rsidRPr="008323C0" w:rsidRDefault="008323C0" w:rsidP="00D13896">
            <w:pPr>
              <w:spacing w:line="259" w:lineRule="auto"/>
              <w:rPr>
                <w:rFonts w:asciiTheme="minorHAnsi" w:hAnsiTheme="minorHAnsi"/>
                <w:i/>
                <w:sz w:val="20"/>
                <w:szCs w:val="20"/>
              </w:rPr>
            </w:pPr>
            <w:proofErr w:type="spellStart"/>
            <w:r w:rsidRPr="008323C0">
              <w:rPr>
                <w:rFonts w:asciiTheme="minorHAnsi" w:hAnsiTheme="minorHAnsi"/>
                <w:i/>
                <w:sz w:val="20"/>
                <w:szCs w:val="20"/>
              </w:rPr>
              <w:t>Sciurus</w:t>
            </w:r>
            <w:proofErr w:type="spellEnd"/>
            <w:r w:rsidRPr="008323C0">
              <w:rPr>
                <w:rFonts w:asciiTheme="minorHAnsi" w:hAnsiTheme="minorHAnsi"/>
                <w:i/>
                <w:sz w:val="20"/>
                <w:szCs w:val="20"/>
              </w:rPr>
              <w:t xml:space="preserve"> </w:t>
            </w:r>
            <w:proofErr w:type="spellStart"/>
            <w:r w:rsidRPr="008323C0">
              <w:rPr>
                <w:rFonts w:asciiTheme="minorHAnsi" w:hAnsiTheme="minorHAnsi"/>
                <w:i/>
                <w:sz w:val="20"/>
                <w:szCs w:val="20"/>
              </w:rPr>
              <w:t>ignitus</w:t>
            </w:r>
            <w:proofErr w:type="spellEnd"/>
          </w:p>
        </w:tc>
        <w:tc>
          <w:tcPr>
            <w:tcW w:w="2167" w:type="dxa"/>
            <w:tcBorders>
              <w:top w:val="nil"/>
              <w:left w:val="nil"/>
              <w:bottom w:val="nil"/>
              <w:right w:val="nil"/>
            </w:tcBorders>
            <w:noWrap/>
            <w:hideMark/>
          </w:tcPr>
          <w:p w:rsidR="008323C0" w:rsidRPr="008323C0" w:rsidRDefault="008323C0" w:rsidP="00D13896">
            <w:pPr>
              <w:spacing w:line="259" w:lineRule="auto"/>
              <w:jc w:val="center"/>
              <w:rPr>
                <w:rFonts w:asciiTheme="minorHAnsi" w:hAnsiTheme="minorHAnsi"/>
                <w:sz w:val="20"/>
                <w:szCs w:val="20"/>
              </w:rPr>
            </w:pPr>
            <w:r w:rsidRPr="008323C0">
              <w:rPr>
                <w:rFonts w:asciiTheme="minorHAnsi" w:hAnsiTheme="minorHAnsi"/>
                <w:sz w:val="20"/>
                <w:szCs w:val="20"/>
              </w:rPr>
              <w:t>1</w:t>
            </w:r>
          </w:p>
        </w:tc>
        <w:tc>
          <w:tcPr>
            <w:tcW w:w="2619" w:type="dxa"/>
            <w:tcBorders>
              <w:top w:val="nil"/>
              <w:left w:val="nil"/>
              <w:bottom w:val="nil"/>
              <w:right w:val="nil"/>
            </w:tcBorders>
            <w:noWrap/>
            <w:hideMark/>
          </w:tcPr>
          <w:p w:rsidR="008323C0" w:rsidRPr="008323C0" w:rsidRDefault="008323C0" w:rsidP="00D13896">
            <w:pPr>
              <w:spacing w:line="259" w:lineRule="auto"/>
              <w:rPr>
                <w:rFonts w:asciiTheme="minorHAnsi" w:hAnsiTheme="minorHAnsi"/>
                <w:sz w:val="20"/>
                <w:szCs w:val="20"/>
              </w:rPr>
            </w:pPr>
            <w:r w:rsidRPr="008323C0">
              <w:rPr>
                <w:rFonts w:asciiTheme="minorHAnsi" w:hAnsiTheme="minorHAnsi"/>
                <w:sz w:val="20"/>
                <w:szCs w:val="20"/>
              </w:rPr>
              <w:t>Data Deficient</w:t>
            </w:r>
          </w:p>
        </w:tc>
      </w:tr>
      <w:tr w:rsidR="008323C0" w:rsidRPr="008323C0" w:rsidTr="00D13896">
        <w:trPr>
          <w:trHeight w:val="246"/>
        </w:trPr>
        <w:tc>
          <w:tcPr>
            <w:tcW w:w="3503" w:type="dxa"/>
            <w:gridSpan w:val="2"/>
            <w:tcBorders>
              <w:top w:val="nil"/>
              <w:left w:val="nil"/>
              <w:bottom w:val="nil"/>
              <w:right w:val="nil"/>
            </w:tcBorders>
            <w:noWrap/>
            <w:hideMark/>
          </w:tcPr>
          <w:p w:rsidR="008323C0" w:rsidRPr="008323C0" w:rsidRDefault="008323C0" w:rsidP="00D13896">
            <w:pPr>
              <w:spacing w:line="259" w:lineRule="auto"/>
              <w:rPr>
                <w:rFonts w:asciiTheme="minorHAnsi" w:hAnsiTheme="minorHAnsi"/>
                <w:i/>
                <w:sz w:val="20"/>
                <w:szCs w:val="20"/>
              </w:rPr>
            </w:pPr>
            <w:proofErr w:type="spellStart"/>
            <w:r w:rsidRPr="008323C0">
              <w:rPr>
                <w:rFonts w:asciiTheme="minorHAnsi" w:hAnsiTheme="minorHAnsi"/>
                <w:i/>
                <w:sz w:val="20"/>
                <w:szCs w:val="20"/>
              </w:rPr>
              <w:t>Cuniculus</w:t>
            </w:r>
            <w:proofErr w:type="spellEnd"/>
            <w:r w:rsidRPr="008323C0">
              <w:rPr>
                <w:rFonts w:asciiTheme="minorHAnsi" w:hAnsiTheme="minorHAnsi"/>
                <w:i/>
                <w:sz w:val="20"/>
                <w:szCs w:val="20"/>
              </w:rPr>
              <w:t xml:space="preserve"> (Agouti) </w:t>
            </w:r>
            <w:proofErr w:type="spellStart"/>
            <w:r w:rsidRPr="008323C0">
              <w:rPr>
                <w:rFonts w:asciiTheme="minorHAnsi" w:hAnsiTheme="minorHAnsi"/>
                <w:i/>
                <w:sz w:val="20"/>
                <w:szCs w:val="20"/>
              </w:rPr>
              <w:t>paca</w:t>
            </w:r>
            <w:proofErr w:type="spellEnd"/>
          </w:p>
        </w:tc>
        <w:tc>
          <w:tcPr>
            <w:tcW w:w="2167" w:type="dxa"/>
            <w:tcBorders>
              <w:top w:val="nil"/>
              <w:left w:val="nil"/>
              <w:bottom w:val="nil"/>
              <w:right w:val="nil"/>
            </w:tcBorders>
            <w:noWrap/>
            <w:hideMark/>
          </w:tcPr>
          <w:p w:rsidR="008323C0" w:rsidRPr="008323C0" w:rsidRDefault="008323C0" w:rsidP="00D13896">
            <w:pPr>
              <w:spacing w:line="259" w:lineRule="auto"/>
              <w:jc w:val="center"/>
              <w:rPr>
                <w:rFonts w:asciiTheme="minorHAnsi" w:hAnsiTheme="minorHAnsi"/>
                <w:sz w:val="20"/>
                <w:szCs w:val="20"/>
              </w:rPr>
            </w:pPr>
            <w:r w:rsidRPr="008323C0">
              <w:rPr>
                <w:rFonts w:asciiTheme="minorHAnsi" w:hAnsiTheme="minorHAnsi"/>
                <w:sz w:val="20"/>
                <w:szCs w:val="20"/>
              </w:rPr>
              <w:t>1</w:t>
            </w:r>
          </w:p>
        </w:tc>
        <w:tc>
          <w:tcPr>
            <w:tcW w:w="2619" w:type="dxa"/>
            <w:tcBorders>
              <w:top w:val="nil"/>
              <w:left w:val="nil"/>
              <w:bottom w:val="nil"/>
              <w:right w:val="nil"/>
            </w:tcBorders>
            <w:noWrap/>
            <w:hideMark/>
          </w:tcPr>
          <w:p w:rsidR="008323C0" w:rsidRPr="008323C0" w:rsidRDefault="008323C0" w:rsidP="00D13896">
            <w:pPr>
              <w:spacing w:line="259" w:lineRule="auto"/>
              <w:rPr>
                <w:rFonts w:asciiTheme="minorHAnsi" w:hAnsiTheme="minorHAnsi"/>
                <w:sz w:val="20"/>
                <w:szCs w:val="20"/>
              </w:rPr>
            </w:pPr>
            <w:r w:rsidRPr="008323C0">
              <w:rPr>
                <w:rFonts w:asciiTheme="minorHAnsi" w:hAnsiTheme="minorHAnsi"/>
                <w:sz w:val="20"/>
                <w:szCs w:val="20"/>
              </w:rPr>
              <w:t>Least Concern</w:t>
            </w:r>
          </w:p>
        </w:tc>
      </w:tr>
      <w:tr w:rsidR="008323C0" w:rsidRPr="008323C0" w:rsidTr="00D13896">
        <w:trPr>
          <w:trHeight w:val="246"/>
        </w:trPr>
        <w:tc>
          <w:tcPr>
            <w:tcW w:w="3503" w:type="dxa"/>
            <w:gridSpan w:val="2"/>
            <w:tcBorders>
              <w:top w:val="nil"/>
              <w:left w:val="nil"/>
              <w:bottom w:val="single" w:sz="12" w:space="0" w:color="auto"/>
              <w:right w:val="nil"/>
            </w:tcBorders>
            <w:noWrap/>
            <w:hideMark/>
          </w:tcPr>
          <w:p w:rsidR="008323C0" w:rsidRPr="008323C0" w:rsidRDefault="008323C0" w:rsidP="00D13896">
            <w:pPr>
              <w:spacing w:line="259" w:lineRule="auto"/>
              <w:rPr>
                <w:rFonts w:asciiTheme="minorHAnsi" w:hAnsiTheme="minorHAnsi"/>
                <w:i/>
                <w:sz w:val="20"/>
                <w:szCs w:val="20"/>
              </w:rPr>
            </w:pPr>
            <w:proofErr w:type="spellStart"/>
            <w:r w:rsidRPr="008323C0">
              <w:rPr>
                <w:rFonts w:asciiTheme="minorHAnsi" w:hAnsiTheme="minorHAnsi"/>
                <w:i/>
                <w:sz w:val="20"/>
                <w:szCs w:val="20"/>
              </w:rPr>
              <w:t>Myoprocta</w:t>
            </w:r>
            <w:proofErr w:type="spellEnd"/>
            <w:r w:rsidRPr="008323C0">
              <w:rPr>
                <w:rFonts w:asciiTheme="minorHAnsi" w:hAnsiTheme="minorHAnsi"/>
                <w:i/>
                <w:sz w:val="20"/>
                <w:szCs w:val="20"/>
              </w:rPr>
              <w:t xml:space="preserve"> </w:t>
            </w:r>
            <w:proofErr w:type="spellStart"/>
            <w:r w:rsidRPr="008323C0">
              <w:rPr>
                <w:rFonts w:asciiTheme="minorHAnsi" w:hAnsiTheme="minorHAnsi"/>
                <w:i/>
                <w:sz w:val="20"/>
                <w:szCs w:val="20"/>
              </w:rPr>
              <w:t>acouchy</w:t>
            </w:r>
            <w:proofErr w:type="spellEnd"/>
          </w:p>
        </w:tc>
        <w:tc>
          <w:tcPr>
            <w:tcW w:w="2167" w:type="dxa"/>
            <w:tcBorders>
              <w:top w:val="nil"/>
              <w:left w:val="nil"/>
              <w:bottom w:val="single" w:sz="12" w:space="0" w:color="auto"/>
              <w:right w:val="nil"/>
            </w:tcBorders>
            <w:noWrap/>
            <w:hideMark/>
          </w:tcPr>
          <w:p w:rsidR="008323C0" w:rsidRPr="008323C0" w:rsidRDefault="008323C0" w:rsidP="00D13896">
            <w:pPr>
              <w:spacing w:line="259" w:lineRule="auto"/>
              <w:jc w:val="center"/>
              <w:rPr>
                <w:rFonts w:asciiTheme="minorHAnsi" w:hAnsiTheme="minorHAnsi"/>
                <w:sz w:val="20"/>
                <w:szCs w:val="20"/>
              </w:rPr>
            </w:pPr>
            <w:r w:rsidRPr="008323C0">
              <w:rPr>
                <w:rFonts w:asciiTheme="minorHAnsi" w:hAnsiTheme="minorHAnsi"/>
                <w:sz w:val="20"/>
                <w:szCs w:val="20"/>
              </w:rPr>
              <w:t>3</w:t>
            </w:r>
            <w:bookmarkStart w:id="0" w:name="_GoBack"/>
            <w:bookmarkEnd w:id="0"/>
          </w:p>
        </w:tc>
        <w:tc>
          <w:tcPr>
            <w:tcW w:w="2619" w:type="dxa"/>
            <w:tcBorders>
              <w:top w:val="nil"/>
              <w:left w:val="nil"/>
              <w:bottom w:val="single" w:sz="12" w:space="0" w:color="auto"/>
              <w:right w:val="nil"/>
            </w:tcBorders>
            <w:noWrap/>
            <w:hideMark/>
          </w:tcPr>
          <w:p w:rsidR="008323C0" w:rsidRPr="008323C0" w:rsidRDefault="008323C0" w:rsidP="00D13896">
            <w:pPr>
              <w:spacing w:line="259" w:lineRule="auto"/>
              <w:rPr>
                <w:rFonts w:asciiTheme="minorHAnsi" w:hAnsiTheme="minorHAnsi"/>
                <w:sz w:val="20"/>
                <w:szCs w:val="20"/>
              </w:rPr>
            </w:pPr>
            <w:r w:rsidRPr="008323C0">
              <w:rPr>
                <w:rFonts w:asciiTheme="minorHAnsi" w:hAnsiTheme="minorHAnsi"/>
                <w:sz w:val="20"/>
                <w:szCs w:val="20"/>
              </w:rPr>
              <w:t>Least Concern</w:t>
            </w:r>
          </w:p>
        </w:tc>
      </w:tr>
    </w:tbl>
    <w:p w:rsidR="009A2E68" w:rsidRDefault="00AF5059">
      <w:pPr>
        <w:rPr>
          <w:rFonts w:asciiTheme="minorHAnsi" w:hAnsiTheme="minorHAnsi"/>
          <w:sz w:val="22"/>
        </w:rPr>
      </w:pPr>
      <w:r>
        <w:rPr>
          <w:rFonts w:asciiTheme="minorHAnsi" w:hAnsiTheme="minorHAnsi"/>
          <w:sz w:val="22"/>
        </w:rPr>
        <w:br/>
        <w:t xml:space="preserve">Observed species richness of Site 15: </w:t>
      </w:r>
      <w:r w:rsidRPr="00AF5059">
        <w:rPr>
          <w:rFonts w:asciiTheme="minorHAnsi" w:hAnsiTheme="minorHAnsi"/>
          <w:b/>
          <w:sz w:val="22"/>
        </w:rPr>
        <w:t>11 species</w:t>
      </w:r>
    </w:p>
    <w:p w:rsidR="00AF5059" w:rsidRPr="00AF5059" w:rsidRDefault="00AF5059">
      <w:pPr>
        <w:rPr>
          <w:rFonts w:asciiTheme="minorHAnsi" w:hAnsiTheme="minorHAnsi"/>
          <w:b/>
          <w:sz w:val="22"/>
        </w:rPr>
      </w:pPr>
      <w:r>
        <w:rPr>
          <w:rFonts w:asciiTheme="minorHAnsi" w:hAnsiTheme="minorHAnsi"/>
          <w:sz w:val="22"/>
        </w:rPr>
        <w:t xml:space="preserve">Estimated species richness of Site 15: </w:t>
      </w:r>
      <w:r w:rsidRPr="00AF5059">
        <w:rPr>
          <w:rFonts w:asciiTheme="minorHAnsi" w:hAnsiTheme="minorHAnsi"/>
          <w:b/>
          <w:sz w:val="22"/>
        </w:rPr>
        <w:t>15.77 species</w:t>
      </w:r>
    </w:p>
    <w:p w:rsidR="009A2E68" w:rsidRPr="008323C0" w:rsidRDefault="009A2E68">
      <w:pPr>
        <w:rPr>
          <w:rFonts w:asciiTheme="minorHAnsi" w:hAnsiTheme="minorHAnsi"/>
          <w:sz w:val="22"/>
        </w:rPr>
      </w:pPr>
    </w:p>
    <w:p w:rsidR="00663CDF" w:rsidRPr="008323C0" w:rsidRDefault="00663CDF" w:rsidP="00D13896">
      <w:pPr>
        <w:spacing w:after="0"/>
        <w:rPr>
          <w:rFonts w:asciiTheme="minorHAnsi" w:hAnsiTheme="minorHAnsi"/>
          <w:sz w:val="22"/>
        </w:rPr>
      </w:pPr>
      <w:r w:rsidRPr="008323C0">
        <w:rPr>
          <w:rFonts w:asciiTheme="minorHAnsi" w:hAnsiTheme="minorHAnsi"/>
          <w:noProof/>
          <w:sz w:val="22"/>
        </w:rPr>
        <w:drawing>
          <wp:inline distT="0" distB="0" distL="0" distR="0" wp14:anchorId="224F6FEE" wp14:editId="10CA8E63">
            <wp:extent cx="5857875" cy="33528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A2E68" w:rsidRPr="008323C0" w:rsidRDefault="009A2E68">
      <w:pPr>
        <w:rPr>
          <w:rFonts w:asciiTheme="minorHAnsi" w:hAnsiTheme="minorHAnsi"/>
          <w:sz w:val="22"/>
        </w:rPr>
      </w:pPr>
      <w:r w:rsidRPr="00D13896">
        <w:rPr>
          <w:rFonts w:asciiTheme="minorHAnsi" w:hAnsiTheme="minorHAnsi"/>
          <w:b/>
          <w:sz w:val="22"/>
        </w:rPr>
        <w:t>Figure 1</w:t>
      </w:r>
      <w:r w:rsidRPr="008323C0">
        <w:rPr>
          <w:rFonts w:asciiTheme="minorHAnsi" w:hAnsiTheme="minorHAnsi"/>
          <w:sz w:val="22"/>
        </w:rPr>
        <w:t>. Observed and estimated species richness of Site 15 located in Suriname.</w:t>
      </w:r>
    </w:p>
    <w:p w:rsidR="00663CDF" w:rsidRPr="008323C0" w:rsidRDefault="00663CDF">
      <w:pPr>
        <w:rPr>
          <w:rFonts w:asciiTheme="minorHAnsi" w:hAnsiTheme="minorHAnsi"/>
          <w:sz w:val="22"/>
        </w:rPr>
      </w:pPr>
    </w:p>
    <w:p w:rsidR="009A2E68" w:rsidRPr="008323C0" w:rsidRDefault="009A2E68">
      <w:pPr>
        <w:rPr>
          <w:rFonts w:asciiTheme="minorHAnsi" w:hAnsiTheme="minorHAnsi"/>
          <w:sz w:val="22"/>
        </w:rPr>
      </w:pPr>
      <w:r w:rsidRPr="008323C0">
        <w:rPr>
          <w:rFonts w:asciiTheme="minorHAnsi" w:hAnsiTheme="minorHAnsi"/>
          <w:sz w:val="22"/>
        </w:rPr>
        <w:t>Based on the above graph, the estimated species richness (Chao1) curve in blue accumulates more quickly than the observed species richness curve in green. This suggests that the observed species richness is substantially lower than is predicted for this site located in Suriname.</w:t>
      </w:r>
    </w:p>
    <w:sectPr w:rsidR="009A2E68" w:rsidRPr="008323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BCB" w:rsidRDefault="00CF1BCB" w:rsidP="00EC082E">
      <w:pPr>
        <w:spacing w:after="0" w:line="240" w:lineRule="auto"/>
      </w:pPr>
      <w:r>
        <w:separator/>
      </w:r>
    </w:p>
  </w:endnote>
  <w:endnote w:type="continuationSeparator" w:id="0">
    <w:p w:rsidR="00CF1BCB" w:rsidRDefault="00CF1BCB" w:rsidP="00EC0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BCB" w:rsidRDefault="00CF1BCB" w:rsidP="00EC082E">
      <w:pPr>
        <w:spacing w:after="0" w:line="240" w:lineRule="auto"/>
      </w:pPr>
      <w:r>
        <w:separator/>
      </w:r>
    </w:p>
  </w:footnote>
  <w:footnote w:type="continuationSeparator" w:id="0">
    <w:p w:rsidR="00CF1BCB" w:rsidRDefault="00CF1BCB" w:rsidP="00EC08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82E" w:rsidRPr="00EC082E" w:rsidRDefault="00EC082E" w:rsidP="00EC082E">
    <w:pPr>
      <w:pStyle w:val="Header"/>
      <w:jc w:val="right"/>
      <w:rPr>
        <w:rFonts w:asciiTheme="minorHAnsi" w:hAnsiTheme="minorHAnsi"/>
      </w:rPr>
    </w:pPr>
    <w:r w:rsidRPr="00EC082E">
      <w:rPr>
        <w:rFonts w:asciiTheme="minorHAnsi" w:hAnsiTheme="minorHAnsi"/>
      </w:rPr>
      <w:t>Kyle Hovey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CDF"/>
    <w:rsid w:val="005835D3"/>
    <w:rsid w:val="00663CDF"/>
    <w:rsid w:val="007110A9"/>
    <w:rsid w:val="008323C0"/>
    <w:rsid w:val="009453D9"/>
    <w:rsid w:val="009A2E68"/>
    <w:rsid w:val="00AF5059"/>
    <w:rsid w:val="00CF1BCB"/>
    <w:rsid w:val="00D13896"/>
    <w:rsid w:val="00DE778F"/>
    <w:rsid w:val="00E8188C"/>
    <w:rsid w:val="00EC082E"/>
    <w:rsid w:val="00F1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439B1-C637-4A7F-B48B-7836353A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0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82E"/>
  </w:style>
  <w:style w:type="paragraph" w:styleId="Footer">
    <w:name w:val="footer"/>
    <w:basedOn w:val="Normal"/>
    <w:link w:val="FooterChar"/>
    <w:uiPriority w:val="99"/>
    <w:unhideWhenUsed/>
    <w:rsid w:val="00EC0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82E"/>
  </w:style>
  <w:style w:type="paragraph" w:styleId="BalloonText">
    <w:name w:val="Balloon Text"/>
    <w:basedOn w:val="Normal"/>
    <w:link w:val="BalloonTextChar"/>
    <w:uiPriority w:val="99"/>
    <w:semiHidden/>
    <w:unhideWhenUsed/>
    <w:rsid w:val="00EC08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8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94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yle\Documents\Grad%20JCU\previous%20semesters\JCU%20courses%20by%20semester\2016%20spring\BL%20519%20conservation%20bio\15_Hovey\site15metawin.txt"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S Mean (runs)</c:v>
          </c:tx>
          <c:spPr>
            <a:ln w="19050" cap="rnd">
              <a:solidFill>
                <a:schemeClr val="accent6"/>
              </a:solidFill>
              <a:round/>
            </a:ln>
            <a:effectLst/>
          </c:spPr>
          <c:marker>
            <c:symbol val="circle"/>
            <c:size val="5"/>
            <c:spPr>
              <a:solidFill>
                <a:schemeClr val="accent6"/>
              </a:solidFill>
              <a:ln w="9525">
                <a:solidFill>
                  <a:schemeClr val="accent6"/>
                </a:solidFill>
              </a:ln>
              <a:effectLst/>
            </c:spPr>
          </c:marker>
          <c:cat>
            <c:numRef>
              <c:f>site15metawin!$B$5:$B$23</c:f>
              <c:numCache>
                <c:formatCode>General</c:formatCode>
                <c:ptCount val="19"/>
                <c:pt idx="0">
                  <c:v>1.1599999999999999</c:v>
                </c:pt>
                <c:pt idx="1">
                  <c:v>2.3199999999999998</c:v>
                </c:pt>
                <c:pt idx="2">
                  <c:v>3.47</c:v>
                </c:pt>
                <c:pt idx="3">
                  <c:v>4.63</c:v>
                </c:pt>
                <c:pt idx="4">
                  <c:v>5.79</c:v>
                </c:pt>
                <c:pt idx="5">
                  <c:v>6.95</c:v>
                </c:pt>
                <c:pt idx="6">
                  <c:v>8.11</c:v>
                </c:pt>
                <c:pt idx="7">
                  <c:v>9.26</c:v>
                </c:pt>
                <c:pt idx="8">
                  <c:v>10.42</c:v>
                </c:pt>
                <c:pt idx="9">
                  <c:v>11.58</c:v>
                </c:pt>
                <c:pt idx="10">
                  <c:v>12.74</c:v>
                </c:pt>
                <c:pt idx="11">
                  <c:v>13.89</c:v>
                </c:pt>
                <c:pt idx="12">
                  <c:v>15.05</c:v>
                </c:pt>
                <c:pt idx="13">
                  <c:v>16.21</c:v>
                </c:pt>
                <c:pt idx="14">
                  <c:v>17.37</c:v>
                </c:pt>
                <c:pt idx="15">
                  <c:v>18.53</c:v>
                </c:pt>
                <c:pt idx="16">
                  <c:v>19.68</c:v>
                </c:pt>
                <c:pt idx="17">
                  <c:v>20.84</c:v>
                </c:pt>
                <c:pt idx="18">
                  <c:v>22</c:v>
                </c:pt>
              </c:numCache>
            </c:numRef>
          </c:cat>
          <c:val>
            <c:numRef>
              <c:f>site15metawin!$G$5:$G$23</c:f>
              <c:numCache>
                <c:formatCode>General</c:formatCode>
                <c:ptCount val="19"/>
                <c:pt idx="0">
                  <c:v>1.06</c:v>
                </c:pt>
                <c:pt idx="1">
                  <c:v>1.98</c:v>
                </c:pt>
                <c:pt idx="2">
                  <c:v>2.85</c:v>
                </c:pt>
                <c:pt idx="3">
                  <c:v>3.59</c:v>
                </c:pt>
                <c:pt idx="4">
                  <c:v>4.42</c:v>
                </c:pt>
                <c:pt idx="5">
                  <c:v>5.18</c:v>
                </c:pt>
                <c:pt idx="6">
                  <c:v>5.76</c:v>
                </c:pt>
                <c:pt idx="7">
                  <c:v>6.33</c:v>
                </c:pt>
                <c:pt idx="8">
                  <c:v>6.92</c:v>
                </c:pt>
                <c:pt idx="9">
                  <c:v>7.42</c:v>
                </c:pt>
                <c:pt idx="10">
                  <c:v>7.9</c:v>
                </c:pt>
                <c:pt idx="11">
                  <c:v>8.3699999999999992</c:v>
                </c:pt>
                <c:pt idx="12">
                  <c:v>8.8000000000000007</c:v>
                </c:pt>
                <c:pt idx="13">
                  <c:v>9.1999999999999993</c:v>
                </c:pt>
                <c:pt idx="14">
                  <c:v>9.57</c:v>
                </c:pt>
                <c:pt idx="15">
                  <c:v>10.029999999999999</c:v>
                </c:pt>
                <c:pt idx="16">
                  <c:v>10.32</c:v>
                </c:pt>
                <c:pt idx="17">
                  <c:v>10.75</c:v>
                </c:pt>
                <c:pt idx="18">
                  <c:v>11</c:v>
                </c:pt>
              </c:numCache>
            </c:numRef>
          </c:val>
          <c:smooth val="0"/>
        </c:ser>
        <c:dLbls>
          <c:showLegendKey val="0"/>
          <c:showVal val="0"/>
          <c:showCatName val="0"/>
          <c:showSerName val="0"/>
          <c:showPercent val="0"/>
          <c:showBubbleSize val="0"/>
        </c:dLbls>
        <c:marker val="1"/>
        <c:smooth val="0"/>
        <c:axId val="1421177520"/>
        <c:axId val="1421181872"/>
      </c:lineChart>
      <c:lineChart>
        <c:grouping val="standard"/>
        <c:varyColors val="0"/>
        <c:ser>
          <c:idx val="1"/>
          <c:order val="1"/>
          <c:tx>
            <c:v>Chao 1 Mean</c:v>
          </c:tx>
          <c:spPr>
            <a:ln w="19050" cap="rnd">
              <a:solidFill>
                <a:schemeClr val="accent5"/>
              </a:solidFill>
              <a:round/>
            </a:ln>
            <a:effectLst/>
          </c:spPr>
          <c:marker>
            <c:symbol val="circle"/>
            <c:size val="5"/>
            <c:spPr>
              <a:solidFill>
                <a:schemeClr val="accent5"/>
              </a:solidFill>
              <a:ln w="9525">
                <a:solidFill>
                  <a:schemeClr val="accent5"/>
                </a:solidFill>
              </a:ln>
              <a:effectLst/>
            </c:spPr>
          </c:marker>
          <c:cat>
            <c:numRef>
              <c:f>site15metawin!$B$5:$B$23</c:f>
              <c:numCache>
                <c:formatCode>General</c:formatCode>
                <c:ptCount val="19"/>
                <c:pt idx="0">
                  <c:v>1.1599999999999999</c:v>
                </c:pt>
                <c:pt idx="1">
                  <c:v>2.3199999999999998</c:v>
                </c:pt>
                <c:pt idx="2">
                  <c:v>3.47</c:v>
                </c:pt>
                <c:pt idx="3">
                  <c:v>4.63</c:v>
                </c:pt>
                <c:pt idx="4">
                  <c:v>5.79</c:v>
                </c:pt>
                <c:pt idx="5">
                  <c:v>6.95</c:v>
                </c:pt>
                <c:pt idx="6">
                  <c:v>8.11</c:v>
                </c:pt>
                <c:pt idx="7">
                  <c:v>9.26</c:v>
                </c:pt>
                <c:pt idx="8">
                  <c:v>10.42</c:v>
                </c:pt>
                <c:pt idx="9">
                  <c:v>11.58</c:v>
                </c:pt>
                <c:pt idx="10">
                  <c:v>12.74</c:v>
                </c:pt>
                <c:pt idx="11">
                  <c:v>13.89</c:v>
                </c:pt>
                <c:pt idx="12">
                  <c:v>15.05</c:v>
                </c:pt>
                <c:pt idx="13">
                  <c:v>16.21</c:v>
                </c:pt>
                <c:pt idx="14">
                  <c:v>17.37</c:v>
                </c:pt>
                <c:pt idx="15">
                  <c:v>18.53</c:v>
                </c:pt>
                <c:pt idx="16">
                  <c:v>19.68</c:v>
                </c:pt>
                <c:pt idx="17">
                  <c:v>20.84</c:v>
                </c:pt>
                <c:pt idx="18">
                  <c:v>22</c:v>
                </c:pt>
              </c:numCache>
            </c:numRef>
          </c:cat>
          <c:val>
            <c:numRef>
              <c:f>site15metawin!$T$5:$T$23</c:f>
              <c:numCache>
                <c:formatCode>General</c:formatCode>
                <c:ptCount val="19"/>
                <c:pt idx="0">
                  <c:v>1.0900000000000001</c:v>
                </c:pt>
                <c:pt idx="1">
                  <c:v>2.4900000000000002</c:v>
                </c:pt>
                <c:pt idx="2">
                  <c:v>4.4000000000000004</c:v>
                </c:pt>
                <c:pt idx="3">
                  <c:v>6.02</c:v>
                </c:pt>
                <c:pt idx="4">
                  <c:v>8.07</c:v>
                </c:pt>
                <c:pt idx="5">
                  <c:v>9.9700000000000006</c:v>
                </c:pt>
                <c:pt idx="6">
                  <c:v>10.75</c:v>
                </c:pt>
                <c:pt idx="7">
                  <c:v>12.25</c:v>
                </c:pt>
                <c:pt idx="8">
                  <c:v>12.79</c:v>
                </c:pt>
                <c:pt idx="9">
                  <c:v>13.97</c:v>
                </c:pt>
                <c:pt idx="10">
                  <c:v>14.57</c:v>
                </c:pt>
                <c:pt idx="11">
                  <c:v>14.67</c:v>
                </c:pt>
                <c:pt idx="12">
                  <c:v>15.91</c:v>
                </c:pt>
                <c:pt idx="13">
                  <c:v>15.3</c:v>
                </c:pt>
                <c:pt idx="14">
                  <c:v>15.61</c:v>
                </c:pt>
                <c:pt idx="15">
                  <c:v>16.07</c:v>
                </c:pt>
                <c:pt idx="16">
                  <c:v>16.2</c:v>
                </c:pt>
                <c:pt idx="17">
                  <c:v>16.21</c:v>
                </c:pt>
                <c:pt idx="18">
                  <c:v>15.77</c:v>
                </c:pt>
              </c:numCache>
            </c:numRef>
          </c:val>
          <c:smooth val="0"/>
        </c:ser>
        <c:dLbls>
          <c:showLegendKey val="0"/>
          <c:showVal val="0"/>
          <c:showCatName val="0"/>
          <c:showSerName val="0"/>
          <c:showPercent val="0"/>
          <c:showBubbleSize val="0"/>
        </c:dLbls>
        <c:marker val="1"/>
        <c:smooth val="0"/>
        <c:axId val="1421176432"/>
        <c:axId val="1421180784"/>
      </c:lineChart>
      <c:catAx>
        <c:axId val="142117752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Individuals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21181872"/>
        <c:crosses val="autoZero"/>
        <c:auto val="1"/>
        <c:lblAlgn val="ctr"/>
        <c:lblOffset val="100"/>
        <c:tickLblSkip val="1"/>
        <c:noMultiLvlLbl val="0"/>
      </c:catAx>
      <c:valAx>
        <c:axId val="1421181872"/>
        <c:scaling>
          <c:orientation val="minMax"/>
          <c:max val="18"/>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Observed number of species</a:t>
                </a:r>
                <a:r>
                  <a:rPr lang="en-US" baseline="0"/>
                  <a:t> [</a:t>
                </a:r>
                <a:r>
                  <a:rPr lang="en-US"/>
                  <a:t>S Mean (runs)]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21177520"/>
        <c:crosses val="autoZero"/>
        <c:crossBetween val="between"/>
      </c:valAx>
      <c:valAx>
        <c:axId val="1421180784"/>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Estimated species richness (Chao1 Mean)</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21176432"/>
        <c:crosses val="max"/>
        <c:crossBetween val="between"/>
      </c:valAx>
      <c:catAx>
        <c:axId val="1421176432"/>
        <c:scaling>
          <c:orientation val="minMax"/>
        </c:scaling>
        <c:delete val="1"/>
        <c:axPos val="b"/>
        <c:numFmt formatCode="General" sourceLinked="1"/>
        <c:majorTickMark val="out"/>
        <c:minorTickMark val="none"/>
        <c:tickLblPos val="nextTo"/>
        <c:crossAx val="1421180784"/>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5502</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Hovey</dc:creator>
  <cp:keywords/>
  <dc:description/>
  <cp:lastModifiedBy>Kyle Hovey</cp:lastModifiedBy>
  <cp:revision>5</cp:revision>
  <cp:lastPrinted>2016-04-14T14:54:00Z</cp:lastPrinted>
  <dcterms:created xsi:type="dcterms:W3CDTF">2016-04-07T17:43:00Z</dcterms:created>
  <dcterms:modified xsi:type="dcterms:W3CDTF">2016-04-14T14:54:00Z</dcterms:modified>
</cp:coreProperties>
</file>