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jc w:val="center"/>
        <w:widowControl w:val="true"/>
      </w:pPr>
      <w:r>
        <w:rPr>
          <w:rFonts w:ascii="Calibri" w:hAnsi="Calibri" w:eastAsia="微软雅黑"/>
          <w:b/>
          <w:color w:val="666666"/>
          <w:sz w:val="24"/>
        </w:rPr>
        <w:t>INOGI AI Office System</w:t>
      </w:r>
    </w:p>
    <w:p>
      <w:pPr>
        <w:pStyle w:val="Title"/>
        <w:keepNext/>
        <w:spacing w:before="0" w:after="160" w:line="240" w:lineRule="auto"/>
        <w:jc w:val="center"/>
        <w:widowControl w:val="true"/>
      </w:pPr>
      <w:r>
        <w:rPr>
          <w:rFonts w:ascii="Calibri" w:hAnsi="Calibri" w:eastAsia="微软雅黑"/>
          <w:b/>
          <w:color w:val="000000"/>
          <w:sz w:val="56"/>
        </w:rPr>
        <w:t>发明专利申请立项书</w:t>
      </w:r>
    </w:p>
    <w:p>
      <w:pPr>
        <w:pStyle w:val="Subtitle"/>
        <w:keepNext/>
        <w:spacing w:before="0" w:after="240" w:line="264" w:lineRule="auto"/>
        <w:jc w:val="center"/>
        <w:widowControl w:val="true"/>
      </w:pPr>
      <w:r>
        <w:rPr>
          <w:rFonts w:ascii="Calibri" w:hAnsi="Calibri" w:eastAsia="微软雅黑"/>
          <w:color w:val="1F4D78"/>
          <w:sz w:val="32"/>
        </w:rPr>
        <w:t>企业智能体权限约束式工具执行方法及系统</w:t>
      </w:r>
    </w:p>
    <w:p>
      <w:pPr>
        <w:spacing w:before="0" w:after="600" w:line="264" w:lineRule="auto"/>
        <w:jc w:val="center"/>
        <w:widowControl w:val="true"/>
      </w:pPr>
      <w:r>
        <w:rPr>
          <w:rFonts w:ascii="Calibri" w:hAnsi="Calibri" w:eastAsia="宋体"/>
          <w:b/>
          <w:color w:val="666666"/>
          <w:sz w:val="21"/>
        </w:rPr>
        <w:t>内部决策稿｜用于申请人、发明人及专利代理机构立项评审</w:t>
      </w:r>
    </w:p>
    <w:tbl>
      <w:tblPr>
        <w:tblW w:type="dxa" w:w="9026"/>
        <w:jc w:val="left"/>
        <w:tblLayout w:type="fixed"/>
        <w:tblLook w:firstColumn="1" w:firstRow="1" w:lastColumn="0" w:lastRow="0" w:noHBand="0" w:noVBand="1" w:val="04A0"/>
        <w:tblInd w:type="dxa" w:w="120"/>
      </w:tblPr>
      <w:tblGrid>
        <w:gridCol w:w="2088"/>
        <w:gridCol w:w="6938"/>
      </w:tblGrid>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文件编号</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INOGI-IP-2026-001</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申请类型</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中国发明专利（建议同时布局：方法、系统、电子设备、存储介质、计算机程序产品）</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拟申请人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【必须补录】单位正式全称；须与公章及统一社会信用代码一致</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【必须核定】仅填写对实质性特点作出创造性贡献的自然人；不得填写单位、团队名或人工智能名称</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编制依据</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当前项目代码、数据库模型、专项测试与Git提交记录（截至2026-08-25）</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文档状态</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30" w:after="30" w:line="252" w:lineRule="auto"/>
              <w:jc w:val="left"/>
            </w:pPr>
            <w:r>
              <w:rPr>
                <w:rFonts w:ascii="Arial" w:hAnsi="Arial" w:eastAsia="微软雅黑"/>
                <w:b w:val="0"/>
                <w:color w:val="222222"/>
                <w:sz w:val="17"/>
              </w:rPr>
              <w:t>立项评审完善版 V2.0｜已补入完整权利要求讨论稿、术语解释、替代实施方式、支持矩阵及签字核对表；正式提交前须由申请人和专利代理师复核</w:t>
            </w:r>
          </w:p>
        </w:tc>
      </w:tr>
      <w:t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保密等级</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内部机密｜专利申请日前不得对外公开本文件中的未公开技术细节</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立项结论：</w:t>
            </w:r>
            <w:r>
              <w:rPr>
                <w:rFonts w:ascii="Calibri" w:hAnsi="Calibri" w:eastAsia="宋体"/>
                <w:color w:val="000000"/>
                <w:sz w:val="21"/>
              </w:rPr>
              <w:t>建议按P0优先级立项中国发明专利。核心保护点应限定为“业务接口权限元数据同源反射 + 无声明失败关闭 + 风险分级确认卡 + 数据库条件更新原子抢占 + 执行前权限复核 + 轨迹持久化回放”的组合，不宜仅主张通用的工具调用、RBAC、用户确认或日志记录。</w:t>
            </w:r>
          </w:p>
        </w:tc>
      </w:tr>
    </w:tbl>
    <w:p>
      <w:pPr>
        <w:spacing w:after="40"/>
        <w:widowControl w:val="true"/>
      </w:pPr>
    </w:p>
    <w:p>
      <w:pPr>
        <w:spacing w:before="280" w:after="0" w:line="264" w:lineRule="auto"/>
        <w:jc w:val="center"/>
        <w:widowControl w:val="true"/>
      </w:pPr>
      <w:r>
        <w:rPr>
          <w:rFonts w:ascii="Calibri" w:hAnsi="Calibri" w:eastAsia="宋体"/>
          <w:b/>
          <w:color w:val="666666"/>
          <w:sz w:val="22"/>
        </w:rPr>
      </w:r>
      <w:r>
        <w:rPr>
          <w:rFonts w:ascii="Arial" w:hAnsi="Arial" w:eastAsia="微软雅黑"/>
          <w:b/>
          <w:color w:val="1F4E78"/>
          <w:sz w:val="22"/>
        </w:rPr>
        <w:t>2026年8月26日</w:t>
      </w:r>
    </w:p>
    <w:p>
      <w:pPr>
        <w:widowControl w:val="true"/>
      </w:pPr>
      <w:r>
        <w:br w:type="page"/>
      </w:r>
    </w:p>
    <w:p>
      <w:pPr>
        <w:pStyle w:val="Heading1"/>
        <w:widowControl w:val="true"/>
      </w:pPr>
      <w:r>
        <w:t>0. 使用说明与完整性声明</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C00000"/>
                <w:sz w:val="21"/>
              </w:rPr>
              <w:t>重要说明：</w:t>
            </w:r>
            <w:r>
              <w:rPr>
                <w:rFonts w:ascii="Calibri" w:hAnsi="Calibri" w:eastAsia="宋体"/>
                <w:color w:val="000000"/>
                <w:sz w:val="21"/>
              </w:rPr>
              <w:t>本文件是专利申请的内部立项与技术交底底稿，不替代国家知识产权局的正式请求书、说明书、权利要求书、说明书摘要及必要附图。未知的法律主体、自然人身份、地址、公开披露和委托信息均以“必须补录／必须核定”明确保留，避免虚构。</w:t>
            </w:r>
          </w:p>
        </w:tc>
      </w:tr>
    </w:tbl>
    <w:p>
      <w:pPr>
        <w:spacing w:after="40"/>
        <w:widowControl w:val="true"/>
      </w:pPr>
    </w:p>
    <w:p>
      <w:pPr>
        <w:spacing w:before="0" w:after="120" w:line="264" w:lineRule="auto"/>
        <w:jc w:val="both"/>
        <w:widowControl w:val="true"/>
      </w:pPr>
      <w:r>
        <w:rPr>
          <w:rFonts w:ascii="Calibri" w:hAnsi="Calibri" w:eastAsia="宋体"/>
          <w:color w:val="000000"/>
          <w:sz w:val="22"/>
        </w:rPr>
        <w:t>完整性口径：已覆盖立项决策、技术方案、可专利性、现有技术、权利要求布局、说明书公开、发明人和权属、披露与保密、申报选择、预算、时程、风险、验收、签批及正式申报附件核对。标记为“必须补录／必须核定”的事项不是遗漏，而是提交前必须由申请人提供或确认的事实。</w:t>
      </w:r>
    </w:p>
    <w:p>
      <w:pPr>
        <w:pStyle w:val="Heading2"/>
        <w:widowControl w:val="true"/>
      </w:pPr>
      <w:r>
        <w:t>0.1 提交前的四个硬性闸门</w:t>
      </w:r>
    </w:p>
    <w:p>
      <w:pPr>
        <w:spacing w:before="0" w:after="160" w:line="280" w:lineRule="auto"/>
        <w:numPr>
          <w:ilvl w:val="0"/>
          <w:numId w:val="10"/>
        </w:numPr>
        <w:widowControl w:val="true"/>
      </w:pPr>
      <w:r>
        <w:rPr>
          <w:rFonts w:ascii="Calibri" w:hAnsi="Calibri" w:eastAsia="宋体"/>
          <w:color w:val="000000"/>
          <w:sz w:val="22"/>
        </w:rPr>
        <w:t>主体闸门：补齐申请人正式名称、统一社会信用代码、注册地址、邮编、联系人、电话和电子邮箱。</w:t>
      </w:r>
    </w:p>
    <w:p>
      <w:pPr>
        <w:spacing w:before="0" w:after="160" w:line="280" w:lineRule="auto"/>
        <w:numPr>
          <w:ilvl w:val="0"/>
          <w:numId w:val="10"/>
        </w:numPr>
        <w:widowControl w:val="true"/>
      </w:pPr>
      <w:r>
        <w:rPr>
          <w:rFonts w:ascii="Calibri" w:hAnsi="Calibri" w:eastAsia="宋体"/>
          <w:color w:val="000000"/>
          <w:sz w:val="22"/>
        </w:rPr>
        <w:t>发明人闸门：以创造性贡献访谈和代码提交记录为依据，将仓库别名映射到自然人法定姓名，确认署名顺序和贡献说明。</w:t>
      </w:r>
    </w:p>
    <w:p>
      <w:pPr>
        <w:spacing w:before="0" w:after="160" w:line="280" w:lineRule="auto"/>
        <w:numPr>
          <w:ilvl w:val="0"/>
          <w:numId w:val="10"/>
        </w:numPr>
        <w:widowControl w:val="true"/>
      </w:pPr>
      <w:r>
        <w:rPr>
          <w:rFonts w:ascii="Calibri" w:hAnsi="Calibri" w:eastAsia="宋体"/>
          <w:color w:val="000000"/>
          <w:sz w:val="22"/>
        </w:rPr>
        <w:t>新颖性闸门：核实Figma链接、生产部署、客户试用、演示、操作手册、截图、群聊和代码仓库是否已向不受保密义务约束的公众开放。</w:t>
      </w:r>
    </w:p>
    <w:p>
      <w:pPr>
        <w:spacing w:before="0" w:after="160" w:line="280" w:lineRule="auto"/>
        <w:numPr>
          <w:ilvl w:val="0"/>
          <w:numId w:val="10"/>
        </w:numPr>
        <w:widowControl w:val="true"/>
      </w:pPr>
      <w:r>
        <w:rPr>
          <w:rFonts w:ascii="Calibri" w:hAnsi="Calibri" w:eastAsia="宋体"/>
          <w:color w:val="000000"/>
          <w:sz w:val="22"/>
        </w:rPr>
        <w:t>检索闸门：由专利代理师在CNIPA及商业数据库完成中文／英文／PCT同族和非专利文献检索，并据此调整独立权利要求。</w:t>
      </w:r>
    </w:p>
    <w:p>
      <w:pPr>
        <w:pStyle w:val="Heading2"/>
        <w:widowControl w:val="true"/>
      </w:pPr>
      <w:r>
        <w:t>0.2 目录</w:t>
      </w:r>
    </w:p>
    <w:p>
      <w:pPr>
        <w:spacing w:before="0" w:after="160" w:line="280" w:lineRule="auto"/>
        <w:numPr>
          <w:ilvl w:val="0"/>
          <w:numId w:val="11"/>
        </w:numPr>
        <w:widowControl w:val="true"/>
      </w:pPr>
      <w:r>
        <w:rPr>
          <w:rFonts w:ascii="Calibri" w:hAnsi="Calibri" w:eastAsia="宋体"/>
          <w:color w:val="000000"/>
          <w:sz w:val="22"/>
        </w:rPr>
        <w:t>申请立项基本信息与项目概况</w:t>
      </w:r>
    </w:p>
    <w:p>
      <w:pPr>
        <w:spacing w:before="0" w:after="160" w:line="280" w:lineRule="auto"/>
        <w:numPr>
          <w:ilvl w:val="0"/>
          <w:numId w:val="11"/>
        </w:numPr>
        <w:widowControl w:val="true"/>
      </w:pPr>
      <w:r>
        <w:rPr>
          <w:rFonts w:ascii="Calibri" w:hAnsi="Calibri" w:eastAsia="宋体"/>
          <w:color w:val="000000"/>
          <w:sz w:val="22"/>
        </w:rPr>
        <w:t>拟保护技术方案、架构、流程、数据结构与实施例</w:t>
      </w:r>
    </w:p>
    <w:p>
      <w:pPr>
        <w:spacing w:before="0" w:after="160" w:line="280" w:lineRule="auto"/>
        <w:numPr>
          <w:ilvl w:val="0"/>
          <w:numId w:val="11"/>
        </w:numPr>
        <w:widowControl w:val="true"/>
      </w:pPr>
      <w:r>
        <w:rPr>
          <w:rFonts w:ascii="Calibri" w:hAnsi="Calibri" w:eastAsia="宋体"/>
          <w:color w:val="000000"/>
          <w:sz w:val="22"/>
        </w:rPr>
        <w:t>技术效果、验证证据与可专利性分析</w:t>
      </w:r>
    </w:p>
    <w:p>
      <w:pPr>
        <w:spacing w:before="0" w:after="160" w:line="280" w:lineRule="auto"/>
        <w:numPr>
          <w:ilvl w:val="0"/>
          <w:numId w:val="11"/>
        </w:numPr>
        <w:widowControl w:val="true"/>
      </w:pPr>
      <w:r>
        <w:rPr>
          <w:rFonts w:ascii="Calibri" w:hAnsi="Calibri" w:eastAsia="宋体"/>
          <w:color w:val="000000"/>
          <w:sz w:val="22"/>
        </w:rPr>
        <w:t>现有技术初检、差异点与权利要求布局</w:t>
      </w:r>
    </w:p>
    <w:p>
      <w:pPr>
        <w:spacing w:before="0" w:after="160" w:line="280" w:lineRule="auto"/>
        <w:numPr>
          <w:ilvl w:val="0"/>
          <w:numId w:val="11"/>
        </w:numPr>
        <w:widowControl w:val="true"/>
      </w:pPr>
      <w:r>
        <w:rPr>
          <w:rFonts w:ascii="Calibri" w:hAnsi="Calibri" w:eastAsia="宋体"/>
          <w:color w:val="000000"/>
          <w:sz w:val="22"/>
        </w:rPr>
        <w:t>权属、发明人、披露保密、申报策略、预算与计划</w:t>
      </w:r>
    </w:p>
    <w:p>
      <w:pPr>
        <w:spacing w:before="0" w:after="160" w:line="280" w:lineRule="auto"/>
        <w:numPr>
          <w:ilvl w:val="0"/>
          <w:numId w:val="11"/>
        </w:numPr>
        <w:widowControl w:val="true"/>
      </w:pPr>
      <w:r>
        <w:rPr>
          <w:rFonts w:ascii="Calibri" w:hAnsi="Calibri" w:eastAsia="宋体"/>
          <w:color w:val="000000"/>
          <w:sz w:val="22"/>
        </w:rPr>
        <w:t>风险、验收、立项审批与全部附件清单</w:t>
      </w:r>
    </w:p>
    <w:p>
      <w:pPr>
        <w:pStyle w:val="Heading1"/>
        <w:widowControl w:val="true"/>
      </w:pPr>
      <w:r>
        <w:t>1. 申请立项基本信息</w:t>
      </w:r>
    </w:p>
    <w:tbl>
      <w:tblPr>
        <w:tblW w:type="dxa" w:w="9026"/>
        <w:jc w:val="left"/>
        <w:tblLayout w:type="fixed"/>
        <w:tblLook w:firstColumn="1" w:firstRow="1" w:lastColumn="0" w:lastRow="0" w:noHBand="0" w:noVBand="1" w:val="04A0"/>
        <w:tblInd w:type="dxa" w:w="120"/>
      </w:tblPr>
      <w:tblGrid>
        <w:gridCol w:w="2232"/>
        <w:gridCol w:w="6794"/>
      </w:tblGrid>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内部项目名称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 AI Office System</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拟专利名称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企业智能体权限约束式工具执行方法及系统</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备选名称一</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基于权限反射的智能体工具执行方法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备选名称二</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智能体写操作的并发确认与回放方法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专利类型</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发明专利；不建议以本主案申请实用新型或外观设计</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技术领域</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计算机软件、人工智能人机交互、访问控制、分布式并发控制、操作审计</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优先级</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P0／建议尽快申请，原因是关键方案已进入项目代码并可能随生产使用扩大披露风险</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建议申请地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中国；是否PCT或目标国家申请由业务覆盖、预算和公开日期核实结果决定</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是否要求优先权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【必须核定】当前未发现已提交的在先同主题申请；如有须补申请号、申请日和优先权文件</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是否提前公布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建议勾选，须申请人确认</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是否同时请求实审</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建议提交时请求实质审查，须申请人确认</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是否延迟审查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不建议；如有商业保密或产品节奏需求另行决定</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是否请求保密审查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【必须核定】拟向境外申请前，应按专利法要求评估保密审查；本项目当前建议先在中国提交</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同日双申</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不建议。本方案主要是软件和数据处理方法，不具备稳定的产品形状构造基础</w:t>
            </w:r>
          </w:p>
        </w:tc>
      </w:tr>
    </w:tbl>
    <w:p>
      <w:pPr>
        <w:spacing w:after="40"/>
        <w:widowControl w:val="true"/>
      </w:pPr>
    </w:p>
    <w:p>
      <w:pPr>
        <w:pStyle w:val="Heading1"/>
        <w:widowControl w:val="true"/>
      </w:pPr>
      <w:r>
        <w:t>2. 当前项目概况与技术事实</w:t>
      </w:r>
    </w:p>
    <w:p>
      <w:pPr>
        <w:spacing w:before="0" w:after="120" w:line="264" w:lineRule="auto"/>
        <w:jc w:val="both"/>
        <w:widowControl w:val="true"/>
      </w:pPr>
      <w:r>
        <w:rPr>
          <w:rFonts w:ascii="Calibri" w:hAnsi="Calibri" w:eastAsia="宋体"/>
          <w:color w:val="000000"/>
          <w:sz w:val="22"/>
        </w:rPr>
        <w:t>INOGI AI Office System 是一套前后端一体的企业级AI办公系统。前端采用 React、TypeScript 与 Vite；后端采用 NestJS、TypeScript、PostgreSQL 与 Prisma。系统覆盖研发任务、采购、知识库、问题定位、审批、费用、考勤、文档、运维、合同审查和AI创作等业务，并通过统一AI网关连接OpenAI兼容模型及其他模型服务。</w:t>
      </w:r>
    </w:p>
    <w:p>
      <w:pPr>
        <w:pStyle w:val="Heading2"/>
        <w:widowControl w:val="true"/>
      </w:pPr>
      <w:r>
        <w:t>2.1 与本专利主案直接相关的已落地能力</w:t>
      </w:r>
    </w:p>
    <w:p>
      <w:pPr>
        <w:spacing w:before="0" w:after="160" w:line="280" w:lineRule="auto"/>
        <w:numPr>
          <w:ilvl w:val="0"/>
          <w:numId w:val="10"/>
        </w:numPr>
        <w:widowControl w:val="true"/>
      </w:pPr>
      <w:r>
        <w:rPr>
          <w:rFonts w:ascii="Calibri" w:hAnsi="Calibri" w:eastAsia="宋体"/>
          <w:color w:val="000000"/>
          <w:sz w:val="22"/>
        </w:rPr>
        <w:t>大语言模型可在ReAct循环中调用查询、检索、立项、更新进度、审批、消息、图像／视频等工具；工具调用以结构化JSON参数承载。</w:t>
      </w:r>
    </w:p>
    <w:p>
      <w:pPr>
        <w:spacing w:before="0" w:after="160" w:line="280" w:lineRule="auto"/>
        <w:numPr>
          <w:ilvl w:val="0"/>
          <w:numId w:val="10"/>
        </w:numPr>
        <w:widowControl w:val="true"/>
      </w:pPr>
      <w:r>
        <w:rPr>
          <w:rFonts w:ascii="Calibri" w:hAnsi="Calibri" w:eastAsia="宋体"/>
          <w:color w:val="000000"/>
          <w:sz w:val="22"/>
        </w:rPr>
        <w:t>Agent工具注册表不手抄权限码，而是读取业务控制器类或处理函数上已有的权限元数据；方法级权限优先于类级权限。</w:t>
      </w:r>
    </w:p>
    <w:p>
      <w:pPr>
        <w:spacing w:before="0" w:after="160" w:line="280" w:lineRule="auto"/>
        <w:numPr>
          <w:ilvl w:val="0"/>
          <w:numId w:val="10"/>
        </w:numPr>
        <w:widowControl w:val="true"/>
      </w:pPr>
      <w:r>
        <w:rPr>
          <w:rFonts w:ascii="Calibri" w:hAnsi="Calibri" w:eastAsia="宋体"/>
          <w:color w:val="000000"/>
          <w:sz w:val="22"/>
        </w:rPr>
        <w:t>对无法读取有效权限声明、权限声明为空或用户不满足权限的写工具采用失败关闭；即使超级管理员也不因“无声明”而自动放行。</w:t>
      </w:r>
    </w:p>
    <w:p>
      <w:pPr>
        <w:spacing w:before="0" w:after="160" w:line="280" w:lineRule="auto"/>
        <w:numPr>
          <w:ilvl w:val="0"/>
          <w:numId w:val="10"/>
        </w:numPr>
        <w:widowControl w:val="true"/>
      </w:pPr>
      <w:r>
        <w:rPr>
          <w:rFonts w:ascii="Calibri" w:hAnsi="Calibri" w:eastAsia="宋体"/>
          <w:color w:val="000000"/>
          <w:sz w:val="22"/>
        </w:rPr>
        <w:t>工具挂载阶段先按权限裁剪，执行阶段再次校验；影响他人安排或对外交付的写操作生成限时确认卡，用户确认后才执行。</w:t>
      </w:r>
    </w:p>
    <w:p>
      <w:pPr>
        <w:spacing w:before="0" w:after="160" w:line="280" w:lineRule="auto"/>
        <w:numPr>
          <w:ilvl w:val="0"/>
          <w:numId w:val="10"/>
        </w:numPr>
        <w:widowControl w:val="true"/>
      </w:pPr>
      <w:r>
        <w:rPr>
          <w:rFonts w:ascii="Calibri" w:hAnsi="Calibri" w:eastAsia="宋体"/>
          <w:color w:val="000000"/>
          <w:sz w:val="22"/>
        </w:rPr>
        <w:t>待确认动作使用数据库独立记录，状态为pending／executing／executed／canceled；确认请求通过条件更新原子抢占，防止多标签页或多实例重复执行。</w:t>
      </w:r>
    </w:p>
    <w:p>
      <w:pPr>
        <w:spacing w:before="0" w:after="160" w:line="280" w:lineRule="auto"/>
        <w:numPr>
          <w:ilvl w:val="0"/>
          <w:numId w:val="10"/>
        </w:numPr>
        <w:widowControl w:val="true"/>
      </w:pPr>
      <w:r>
        <w:rPr>
          <w:rFonts w:ascii="Calibri" w:hAnsi="Calibri" w:eastAsia="宋体"/>
          <w:color w:val="000000"/>
          <w:sz w:val="22"/>
        </w:rPr>
        <w:t>确认后重新读取当前权限并进行任务归属或资源范围校验；下游失败时从executing回退pending，允许安全重试。</w:t>
      </w:r>
    </w:p>
    <w:p>
      <w:pPr>
        <w:spacing w:before="0" w:after="160" w:line="280" w:lineRule="auto"/>
        <w:numPr>
          <w:ilvl w:val="0"/>
          <w:numId w:val="10"/>
        </w:numPr>
        <w:widowControl w:val="true"/>
      </w:pPr>
      <w:r>
        <w:rPr>
          <w:rFonts w:ascii="Calibri" w:hAnsi="Calibri" w:eastAsia="宋体"/>
          <w:color w:val="000000"/>
          <w:sz w:val="22"/>
        </w:rPr>
        <w:t>工具步骤的调用理由、参数和观察结果经限长后随消息持久化，刷新后可回放；确认卡先绑定assistant消息再发送完成事件，避免竞态挂错消息。</w:t>
      </w:r>
    </w:p>
    <w:p>
      <w:pPr>
        <w:pStyle w:val="Heading2"/>
        <w:widowControl w:val="true"/>
      </w:pPr>
      <w:r>
        <w:t>2.2 技术形成时间线与证据</w:t>
      </w:r>
    </w:p>
    <w:tbl>
      <w:tblPr>
        <w:tblW w:type="dxa" w:w="9026"/>
        <w:jc w:val="left"/>
        <w:tblLayout w:type="fixed"/>
        <w:tblLook w:firstColumn="1" w:firstRow="1" w:lastColumn="0" w:lastRow="0" w:noHBand="0" w:noVBand="1" w:val="04A0"/>
        <w:tblInd w:type="dxa" w:w="120"/>
      </w:tblPr>
      <w:tblGrid>
        <w:gridCol w:w="1440"/>
        <w:gridCol w:w="3096"/>
        <w:gridCol w:w="1512"/>
        <w:gridCol w:w="2978"/>
      </w:tblGrid>
      <w:tr>
        <w:trPr>
          <w:tblHeader w:val="true"/>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日期</w:t>
            </w:r>
          </w:p>
        </w:tc>
        <w:tc>
          <w:tcPr>
            <w:tcW w:type="dxa" w:w="309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研发事件</w:t>
            </w:r>
          </w:p>
        </w:tc>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提交标识</w:t>
            </w:r>
          </w:p>
        </w:tc>
        <w:tc>
          <w:tcPr>
            <w:tcW w:type="dxa" w:w="297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对本主案的意义</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2026-04-16</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项目初始提交</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af0ce9b3…</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INOGI AI Office System 初始代码基线</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ReAct工具体系、确认卡写操作与跨轮记忆</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caa33be6…</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形成主案的工具调用与人工确认基础</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单轮多工具并行与确认卡刷新持久化</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474d5d0f…</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形成消息绑定、刷新恢复和并行执行能力</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ReAct模式可用性与可观测性加固</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601ccf57…</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形成流式分片归并、工具轨迹及终止边界</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Agent可操作研发任务，权限从控制器反射</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4334ea54…</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形成权限同源与失败关闭核心特征</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2026-08-12</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支持合并／移动／并入父任务／放弃申请</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b36b86a8…</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验证注册表和风险分级可扩展性</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2026-08-25</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当前评审基线</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fa80c506…</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本立项书所依据的仓库HEAD；当前未提交改动位于前端／样式文件，与本主案后端证据无直接冲突</w:t>
            </w:r>
          </w:p>
        </w:tc>
      </w:tr>
    </w:tbl>
    <w:p>
      <w:pPr>
        <w:spacing w:after="40"/>
        <w:widowControl w:val="true"/>
      </w:pPr>
    </w:p>
    <w:p>
      <w:pPr>
        <w:pStyle w:val="Heading1"/>
        <w:widowControl w:val="true"/>
      </w:pPr>
      <w:r>
        <w:t>3. 立项目的与保护目标</w:t>
      </w:r>
    </w:p>
    <w:p>
      <w:pPr>
        <w:spacing w:before="0" w:after="120" w:line="264" w:lineRule="auto"/>
        <w:jc w:val="both"/>
        <w:widowControl w:val="true"/>
      </w:pPr>
      <w:r>
        <w:rPr>
          <w:rFonts w:ascii="Calibri" w:hAnsi="Calibri" w:eastAsia="宋体"/>
          <w:color w:val="000000"/>
          <w:sz w:val="22"/>
        </w:rPr>
        <w:t>本主案的目标是保护一种可嵌入既有企业应用的智能体工具安全执行链，使模型只能看到与当前用户权限相匹配的工具，并使高风险写操作在跨进程、跨实例和断线重连条件下仍保持“仅执行一次、可撤销／可重试、可回放、可审计”。</w:t>
      </w:r>
    </w:p>
    <w:p>
      <w:pPr>
        <w:pStyle w:val="Heading2"/>
        <w:widowControl w:val="true"/>
      </w:pPr>
      <w:r>
        <w:t>3.1 建议的保护边界</w:t>
      </w:r>
    </w:p>
    <w:p>
      <w:pPr>
        <w:spacing w:before="0" w:after="160" w:line="280" w:lineRule="auto"/>
        <w:numPr>
          <w:ilvl w:val="0"/>
          <w:numId w:val="10"/>
        </w:numPr>
        <w:widowControl w:val="true"/>
      </w:pPr>
      <w:r>
        <w:rPr>
          <w:rFonts w:ascii="Calibri" w:hAnsi="Calibri" w:eastAsia="宋体"/>
          <w:color w:val="000000"/>
          <w:sz w:val="22"/>
        </w:rPr>
        <w:t>保护“从既有业务接口权限声明自动生成Agent权限边界”，而非单纯保护RBAC。</w:t>
      </w:r>
    </w:p>
    <w:p>
      <w:pPr>
        <w:spacing w:before="0" w:after="160" w:line="280" w:lineRule="auto"/>
        <w:numPr>
          <w:ilvl w:val="0"/>
          <w:numId w:val="10"/>
        </w:numPr>
        <w:widowControl w:val="true"/>
      </w:pPr>
      <w:r>
        <w:rPr>
          <w:rFonts w:ascii="Calibri" w:hAnsi="Calibri" w:eastAsia="宋体"/>
          <w:color w:val="000000"/>
          <w:sz w:val="22"/>
        </w:rPr>
        <w:t>保护“确认卡持久化 + 条件写入原子抢占 + 执行前复核 + 失败回退”的状态机组合，而非单纯保护弹窗确认。</w:t>
      </w:r>
    </w:p>
    <w:p>
      <w:pPr>
        <w:spacing w:before="0" w:after="160" w:line="280" w:lineRule="auto"/>
        <w:numPr>
          <w:ilvl w:val="0"/>
          <w:numId w:val="10"/>
        </w:numPr>
        <w:widowControl w:val="true"/>
      </w:pPr>
      <w:r>
        <w:rPr>
          <w:rFonts w:ascii="Calibri" w:hAnsi="Calibri" w:eastAsia="宋体"/>
          <w:color w:val="000000"/>
          <w:sz w:val="22"/>
        </w:rPr>
        <w:t>保护工具调用流式分片归并、稳定调用标识、并行执行后的确定性回填和终态持久化，以支撑可回放与审计。</w:t>
      </w:r>
    </w:p>
    <w:p>
      <w:pPr>
        <w:spacing w:before="0" w:after="160" w:line="280" w:lineRule="auto"/>
        <w:numPr>
          <w:ilvl w:val="0"/>
          <w:numId w:val="10"/>
        </w:numPr>
        <w:widowControl w:val="true"/>
      </w:pPr>
      <w:r>
        <w:rPr>
          <w:rFonts w:ascii="Calibri" w:hAnsi="Calibri" w:eastAsia="宋体"/>
          <w:color w:val="000000"/>
          <w:sz w:val="22"/>
        </w:rPr>
        <w:t>通过方法、系统、电子设备、存储介质和计算机程序产品多主题布局覆盖服务端与客户端协作实现。</w:t>
      </w:r>
    </w:p>
    <w:p>
      <w:pPr>
        <w:pStyle w:val="Heading2"/>
        <w:widowControl w:val="true"/>
      </w:pPr>
      <w:r>
        <w:t>3.2 明确不作为独立创新点主张的内容</w:t>
      </w:r>
    </w:p>
    <w:p>
      <w:pPr>
        <w:spacing w:before="0" w:after="160" w:line="280" w:lineRule="auto"/>
        <w:numPr>
          <w:ilvl w:val="0"/>
          <w:numId w:val="10"/>
        </w:numPr>
        <w:widowControl w:val="true"/>
      </w:pPr>
      <w:r>
        <w:rPr>
          <w:rFonts w:ascii="Calibri" w:hAnsi="Calibri" w:eastAsia="宋体"/>
          <w:color w:val="000000"/>
          <w:sz w:val="22"/>
        </w:rPr>
        <w:t>自然语言理解、通用ReAct思想、大语言模型本身或模型训练方法。</w:t>
      </w:r>
    </w:p>
    <w:p>
      <w:pPr>
        <w:spacing w:before="0" w:after="160" w:line="280" w:lineRule="auto"/>
        <w:numPr>
          <w:ilvl w:val="0"/>
          <w:numId w:val="10"/>
        </w:numPr>
        <w:widowControl w:val="true"/>
      </w:pPr>
      <w:r>
        <w:rPr>
          <w:rFonts w:ascii="Calibri" w:hAnsi="Calibri" w:eastAsia="宋体"/>
          <w:color w:val="000000"/>
          <w:sz w:val="22"/>
        </w:rPr>
        <w:t>通用的用户角色权限、HTTP鉴权、日志记录、按钮确认、任务审批等孤立功能。</w:t>
      </w:r>
    </w:p>
    <w:p>
      <w:pPr>
        <w:spacing w:before="0" w:after="160" w:line="280" w:lineRule="auto"/>
        <w:numPr>
          <w:ilvl w:val="0"/>
          <w:numId w:val="10"/>
        </w:numPr>
        <w:widowControl w:val="true"/>
      </w:pPr>
      <w:r>
        <w:rPr>
          <w:rFonts w:ascii="Calibri" w:hAnsi="Calibri" w:eastAsia="宋体"/>
          <w:color w:val="000000"/>
          <w:sz w:val="22"/>
        </w:rPr>
        <w:t>React／NestJS／Prisma／PostgreSQL等具体框架或产品名称；实施例可以记载，独立权利要求应保持技术抽象。</w:t>
      </w:r>
    </w:p>
    <w:p>
      <w:pPr>
        <w:spacing w:before="0" w:after="160" w:line="280" w:lineRule="auto"/>
        <w:numPr>
          <w:ilvl w:val="0"/>
          <w:numId w:val="10"/>
        </w:numPr>
        <w:widowControl w:val="true"/>
      </w:pPr>
      <w:r>
        <w:rPr>
          <w:rFonts w:ascii="Calibri" w:hAnsi="Calibri" w:eastAsia="宋体"/>
          <w:color w:val="000000"/>
          <w:sz w:val="22"/>
        </w:rPr>
        <w:t>纯业务规则，例如“改派负责人需要确认、优先级修改无需确认”；应写成可配置的风险分级技术机制。</w:t>
      </w:r>
    </w:p>
    <w:p>
      <w:pPr>
        <w:pStyle w:val="Heading1"/>
        <w:widowControl w:val="true"/>
      </w:pPr>
      <w:r>
        <w:t>4. 背景技术与现有问题</w:t>
      </w:r>
    </w:p>
    <w:p>
      <w:pPr>
        <w:spacing w:before="0" w:after="120" w:line="264" w:lineRule="auto"/>
        <w:jc w:val="both"/>
        <w:widowControl w:val="true"/>
      </w:pPr>
      <w:r>
        <w:rPr>
          <w:rFonts w:ascii="Calibri" w:hAnsi="Calibri" w:eastAsia="宋体"/>
          <w:color w:val="000000"/>
          <w:sz w:val="22"/>
        </w:rPr>
        <w:t>企业将大语言模型接入业务系统后，模型不再只生成文本，还可能调用具有读取或写入副作用的业务接口。传统做法通常将工具权限另建一份清单，或仅在前端隐藏按钮、在模型提示词中约束行为。这些做法在工具数量扩大、权限调整、多实例部署和流式会话恢复时会产生新的系统性风险。</w:t>
      </w:r>
    </w:p>
    <w:tbl>
      <w:tblPr>
        <w:tblW w:type="dxa" w:w="9026"/>
        <w:jc w:val="left"/>
        <w:tblLayout w:type="fixed"/>
        <w:tblLook w:firstColumn="1" w:firstRow="1" w:lastColumn="0" w:lastRow="0" w:noHBand="0" w:noVBand="1" w:val="04A0"/>
        <w:tblInd w:type="dxa" w:w="120"/>
      </w:tblPr>
      <w:tblGrid>
        <w:gridCol w:w="1584"/>
        <w:gridCol w:w="3672"/>
        <w:gridCol w:w="3770"/>
      </w:tblGrid>
      <w:tr>
        <w:trPr>
          <w:tblHeader w:val="true"/>
        </w:trPr>
        <w:tc>
          <w:tcPr>
            <w:tcW w:type="dxa" w:w="158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问题</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传统缺陷</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可能后果</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权限漂移</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Agent注册表手抄权限码，业务控制器权限变更后两处不同步</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越权调用或合法工具被错误隐藏</w:t>
            </w:r>
          </w:p>
        </w:tc>
      </w:tr>
      <w:t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缺省放行</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工具或接口没有有效权限声明仍被挂载或执行</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未审计写端点进入智能体能力面</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重复执行</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用户重复点击、多个标签页或多个服务实例同时确认</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同一写操作被执行两次或多次</w:t>
            </w:r>
          </w:p>
        </w:tc>
      </w:tr>
      <w:t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时序权限变化</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确认卡生成后用户角色或资源归属发生变化</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按旧权限执行，扩大访问范围</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断线与恢复</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工具步骤和确认卡只保存在进程内存或SSE瞬时事件中</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刷新后无法确认来源、轨迹丢失、卡片挂错消息</w:t>
            </w:r>
          </w:p>
        </w:tc>
      </w:tr>
      <w:t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重试不可控</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下游失败后状态直接终结或完全无状态</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无法安全重试或产生不确定副作用</w:t>
            </w:r>
          </w:p>
        </w:tc>
      </w:tr>
      <w:t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模型失控循环</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流式工具调用缺少分片归并、轮次上限与稳定调用ID</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参数损坏、消息配对失败、调用成本失控</w:t>
            </w:r>
          </w:p>
        </w:tc>
      </w:tr>
    </w:tbl>
    <w:p>
      <w:pPr>
        <w:spacing w:after="40"/>
        <w:widowControl w:val="true"/>
      </w:pPr>
    </w:p>
    <w:p>
      <w:pPr>
        <w:pStyle w:val="Heading1"/>
        <w:widowControl w:val="true"/>
      </w:pPr>
      <w:r>
        <w:t>5. 发明要解决的技术问题</w:t>
      </w:r>
    </w:p>
    <w:p>
      <w:pPr>
        <w:spacing w:before="0" w:after="160" w:line="280" w:lineRule="auto"/>
        <w:numPr>
          <w:ilvl w:val="0"/>
          <w:numId w:val="11"/>
        </w:numPr>
        <w:widowControl w:val="true"/>
      </w:pPr>
      <w:r>
        <w:rPr>
          <w:rFonts w:ascii="Calibri" w:hAnsi="Calibri" w:eastAsia="宋体"/>
          <w:color w:val="000000"/>
          <w:sz w:val="22"/>
        </w:rPr>
        <w:t>如何使智能体工具权限与既有业务接口权限声明同源，避免双份配置造成的权限漂移，并在声明缺失时保持失败关闭。</w:t>
      </w:r>
    </w:p>
    <w:p>
      <w:pPr>
        <w:spacing w:before="0" w:after="160" w:line="280" w:lineRule="auto"/>
        <w:numPr>
          <w:ilvl w:val="0"/>
          <w:numId w:val="11"/>
        </w:numPr>
        <w:widowControl w:val="true"/>
      </w:pPr>
      <w:r>
        <w:rPr>
          <w:rFonts w:ascii="Calibri" w:hAnsi="Calibri" w:eastAsia="宋体"/>
          <w:color w:val="000000"/>
          <w:sz w:val="22"/>
        </w:rPr>
        <w:t>如何在分布式或多实例部署下，把模型提出的高风险写操作转化为可持久化、可超时、仅能成功确认一次的执行单元。</w:t>
      </w:r>
    </w:p>
    <w:p>
      <w:pPr>
        <w:spacing w:before="0" w:after="160" w:line="280" w:lineRule="auto"/>
        <w:numPr>
          <w:ilvl w:val="0"/>
          <w:numId w:val="11"/>
        </w:numPr>
        <w:widowControl w:val="true"/>
      </w:pPr>
      <w:r>
        <w:rPr>
          <w:rFonts w:ascii="Calibri" w:hAnsi="Calibri" w:eastAsia="宋体"/>
          <w:color w:val="000000"/>
          <w:sz w:val="22"/>
        </w:rPr>
        <w:t>如何应对确认等待期间的权限和资源归属变化，在真正执行前再次应用当前安全策略。</w:t>
      </w:r>
    </w:p>
    <w:p>
      <w:pPr>
        <w:spacing w:before="0" w:after="160" w:line="280" w:lineRule="auto"/>
        <w:numPr>
          <w:ilvl w:val="0"/>
          <w:numId w:val="11"/>
        </w:numPr>
        <w:widowControl w:val="true"/>
      </w:pPr>
      <w:r>
        <w:rPr>
          <w:rFonts w:ascii="Calibri" w:hAnsi="Calibri" w:eastAsia="宋体"/>
          <w:color w:val="000000"/>
          <w:sz w:val="22"/>
        </w:rPr>
        <w:t>如何在流式、多轮、多工具调用过程中保存可复现的调用轨迹，并避免消息落库、确认卡绑定和完成事件之间的竞态。</w:t>
      </w:r>
    </w:p>
    <w:p>
      <w:pPr>
        <w:spacing w:before="0" w:after="160" w:line="280" w:lineRule="auto"/>
        <w:numPr>
          <w:ilvl w:val="0"/>
          <w:numId w:val="11"/>
        </w:numPr>
        <w:widowControl w:val="true"/>
      </w:pPr>
      <w:r>
        <w:rPr>
          <w:rFonts w:ascii="Calibri" w:hAnsi="Calibri" w:eastAsia="宋体"/>
          <w:color w:val="000000"/>
          <w:sz w:val="22"/>
        </w:rPr>
        <w:t>如何在下游执行失败时恢复到可重试状态，同时避免已投出的执行被取消或重复执行。</w:t>
      </w:r>
    </w:p>
    <w:p>
      <w:pPr>
        <w:pStyle w:val="Heading1"/>
        <w:widowControl w:val="true"/>
      </w:pPr>
      <w:r>
        <w:t>6. 总体技术方案</w:t>
      </w:r>
    </w:p>
    <w:p>
      <w:pPr>
        <w:spacing w:before="0" w:after="120" w:line="264" w:lineRule="auto"/>
        <w:jc w:val="both"/>
        <w:widowControl w:val="true"/>
      </w:pPr>
      <w:r>
        <w:rPr>
          <w:rFonts w:ascii="Calibri" w:hAnsi="Calibri" w:eastAsia="宋体"/>
          <w:color w:val="000000"/>
          <w:sz w:val="22"/>
        </w:rPr>
        <w:t>系统在业务应用与大语言模型之间设置会话编排模块、工具注册模块、权限反射模块、风险分级模块、待确认动作状态库、原子执行控制模块、业务服务适配模块和轨迹审计模块。工具定义携带目标业务接口的定位信息，而不复制权限码；系统运行时从业务接口处理函数及其所属控制器类读取权限元数据，并据此决定工具是否向模型暴露及是否允许执行。</w:t>
      </w:r>
    </w:p>
    <w:p>
      <w:pPr>
        <w:jc w:val="center"/>
        <w:widowControl w:val="true"/>
      </w:pPr>
      <w:r>
        <w:drawing>
          <wp:inline xmlns:a="http://schemas.openxmlformats.org/drawingml/2006/main" xmlns:pic="http://schemas.openxmlformats.org/drawingml/2006/picture">
            <wp:extent cx="5623560" cy="3061716"/>
            <wp:docPr id="1" name="Picture 1" descr="企业办公智能体权限约束式执行架构图" title="企业办公智能体权限约束式执行架构图"/>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623560" cy="3061716"/>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图1  权限约束式企业办公智能体系统架构（立项阶段示意）</w:t>
      </w:r>
    </w:p>
    <w:p>
      <w:pPr>
        <w:pStyle w:val="Heading2"/>
        <w:widowControl w:val="true"/>
      </w:pPr>
      <w:r>
        <w:t>6.1 关键输入、处理与输出</w:t>
      </w:r>
    </w:p>
    <w:tbl>
      <w:tblPr>
        <w:tblW w:type="dxa" w:w="9026"/>
        <w:jc w:val="left"/>
        <w:tblLayout w:type="fixed"/>
        <w:tblLook w:firstColumn="1" w:firstRow="1" w:lastColumn="0" w:lastRow="0" w:noHBand="0" w:noVBand="1" w:val="04A0"/>
        <w:tblInd w:type="dxa" w:w="120"/>
      </w:tblPr>
      <w:tblGrid>
        <w:gridCol w:w="1800"/>
        <w:gridCol w:w="7226"/>
      </w:tblGrid>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输入</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用户自然语言请求、用户身份、角色／权限集合、业务工作区、资源范围、候选工具注册信息、业务接口权限元数据、模型流式工具调用分片</w:t>
            </w:r>
          </w:p>
        </w:tc>
      </w:tr>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中间数据</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裁剪后的工具集合、稳定工具调用ID、归一化执行载荷、风险级别、确认卡、待确认动作状态、工具步骤终态</w:t>
            </w:r>
          </w:p>
        </w:tc>
      </w:tr>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输出</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只读结果或写操作结果、确认／取消反馈、业务数据变更、执行审计记录、可刷新回放的工具步骤和消息关联</w:t>
            </w:r>
          </w:p>
        </w:tc>
      </w:tr>
      <w:t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模型关系</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使用现成大语言模型产生结构化工具调用；本发明不依赖特定模型训练，创新重点是模型输出与业务接口权限、并发状态机及审计存储的技术耦合</w:t>
            </w:r>
          </w:p>
        </w:tc>
      </w:tr>
    </w:tbl>
    <w:p>
      <w:pPr>
        <w:spacing w:after="40"/>
        <w:widowControl w:val="true"/>
      </w:pPr>
    </w:p>
    <w:p>
      <w:pPr>
        <w:pStyle w:val="Heading2"/>
        <w:widowControl w:val="true"/>
      </w:pPr>
      <w:r>
        <w:t>6.2 核心数据对象</w:t>
      </w:r>
    </w:p>
    <w:tbl>
      <w:tblPr>
        <w:tblW w:type="dxa" w:w="9026"/>
        <w:jc w:val="left"/>
        <w:tblLayout w:type="fixed"/>
        <w:tblLook w:firstColumn="1" w:firstRow="1" w:lastColumn="0" w:lastRow="0" w:noHBand="0" w:noVBand="1" w:val="04A0"/>
        <w:tblInd w:type="dxa" w:w="120"/>
      </w:tblPr>
      <w:tblGrid>
        <w:gridCol w:w="2088"/>
        <w:gridCol w:w="6938"/>
      </w:tblGrid>
      <w:tr>
        <w:trPr>
          <w:tblHeader w:val="true"/>
        </w:trPr>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对象</w:t>
            </w:r>
          </w:p>
        </w:tc>
        <w:tc>
          <w:tcPr>
            <w:tcW w:type="dxa" w:w="693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主要字段／约束</w:t>
            </w:r>
          </w:p>
        </w:tc>
      </w:tr>
      <w:t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工具注册对象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tool、kind、risk、目标控制器／业务接口、处理函数、参数模式、归一化函数；权限码不在注册对象内重复存储</w:t>
            </w:r>
          </w:p>
        </w:tc>
      </w:tr>
      <w:t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权限判定对象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allowed、requiredPermissions、reason；reason至少区分未声明与权限拒绝</w:t>
            </w:r>
          </w:p>
        </w:tc>
      </w:tr>
      <w:t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待确认动作对象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id、userId、conversationId、messageId、tool、payload、card、status、resultMessage、expiresAt、createdAt、updatedAt</w:t>
            </w:r>
          </w:p>
        </w:tc>
      </w:tr>
      <w:t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确认卡对象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动作标识、工具标识、显示标签、摘要、影响字段、到期时间</w:t>
            </w:r>
          </w:p>
        </w:tc>
      </w:tr>
      <w:t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工具步骤对象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callId、tool、label、status、detail、thought、args、output；参数和输出按预设阈值限长</w:t>
            </w:r>
          </w:p>
        </w:tc>
      </w:tr>
      <w:t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审计对象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用户、动作标识、资源类型、资源ID、工具、阶段、结果、会话ID和时间戳</w:t>
            </w:r>
          </w:p>
        </w:tc>
      </w:tr>
    </w:tbl>
    <w:p>
      <w:pPr>
        <w:spacing w:after="40"/>
        <w:widowControl w:val="true"/>
      </w:pPr>
    </w:p>
    <w:p>
      <w:pPr>
        <w:pStyle w:val="Heading1"/>
        <w:widowControl w:val="true"/>
      </w:pPr>
      <w:r>
        <w:t>7. 方法流程与必要技术特征</w:t>
      </w:r>
    </w:p>
    <w:p>
      <w:pPr>
        <w:jc w:val="center"/>
        <w:widowControl w:val="true"/>
      </w:pPr>
      <w:r>
        <w:drawing>
          <wp:inline xmlns:a="http://schemas.openxmlformats.org/drawingml/2006/main" xmlns:pic="http://schemas.openxmlformats.org/drawingml/2006/picture">
            <wp:extent cx="5532120" cy="4881282"/>
            <wp:docPr id="2" name="Picture 2" descr="权限约束式工具执行方法流程图" title="权限约束式工具执行方法流程图"/>
            <wp:cNvGraphicFramePr>
              <a:graphicFrameLocks noChangeAspect="1"/>
            </wp:cNvGraphicFramePr>
            <a:graphic>
              <a:graphicData uri="http://schemas.openxmlformats.org/drawingml/2006/picture">
                <pic:pic>
                  <pic:nvPicPr>
                    <pic:cNvPr id="0" name="fig2_process.png"/>
                    <pic:cNvPicPr/>
                  </pic:nvPicPr>
                  <pic:blipFill>
                    <a:blip r:embed="rId12"/>
                    <a:stretch>
                      <a:fillRect/>
                    </a:stretch>
                  </pic:blipFill>
                  <pic:spPr>
                    <a:xfrm>
                      <a:off x="0" y="0"/>
                      <a:ext cx="5532120" cy="4881282"/>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图2  权限约束式工具执行方法流程（立项阶段示意）</w:t>
      </w:r>
    </w:p>
    <w:p>
      <w:pPr>
        <w:pStyle w:val="Heading2"/>
        <w:widowControl w:val="true"/>
      </w:pPr>
      <w:r>
        <w:t>S1 请求上下文构建</w:t>
      </w:r>
    </w:p>
    <w:p>
      <w:pPr>
        <w:spacing w:before="0" w:after="120" w:line="264" w:lineRule="auto"/>
        <w:jc w:val="both"/>
        <w:widowControl w:val="true"/>
      </w:pPr>
      <w:r>
        <w:rPr>
          <w:rFonts w:ascii="Calibri" w:hAnsi="Calibri" w:eastAsia="宋体"/>
          <w:color w:val="000000"/>
          <w:sz w:val="22"/>
        </w:rPr>
        <w:t>接收自然语言请求，取得当前用户标识、角色、权限集合、业务工作区、会话标识和资源访问范围。</w:t>
      </w:r>
    </w:p>
    <w:p>
      <w:pPr>
        <w:pStyle w:val="Heading2"/>
        <w:widowControl w:val="true"/>
      </w:pPr>
      <w:r>
        <w:t>S2 权限同源读取</w:t>
      </w:r>
    </w:p>
    <w:p>
      <w:pPr>
        <w:spacing w:before="0" w:after="120" w:line="264" w:lineRule="auto"/>
        <w:jc w:val="both"/>
        <w:widowControl w:val="true"/>
      </w:pPr>
      <w:r>
        <w:rPr>
          <w:rFonts w:ascii="Calibri" w:hAnsi="Calibri" w:eastAsia="宋体"/>
          <w:color w:val="000000"/>
          <w:sz w:val="22"/>
        </w:rPr>
        <w:t>遍历候选工具，根据工具注册对象定位目标业务接口；读取处理函数级权限元数据，未读取到时回退读取控制器类级权限元数据。处理函数级声明优先。读取结果不存在或为空时，将该工具标记为不可向智能体暴露。</w:t>
      </w:r>
    </w:p>
    <w:p>
      <w:pPr>
        <w:pStyle w:val="Heading2"/>
        <w:widowControl w:val="true"/>
      </w:pPr>
      <w:r>
        <w:t>S3 工具集合裁剪</w:t>
      </w:r>
    </w:p>
    <w:p>
      <w:pPr>
        <w:spacing w:before="0" w:after="120" w:line="264" w:lineRule="auto"/>
        <w:jc w:val="both"/>
        <w:widowControl w:val="true"/>
      </w:pPr>
      <w:r>
        <w:rPr>
          <w:rFonts w:ascii="Calibri" w:hAnsi="Calibri" w:eastAsia="宋体"/>
          <w:color w:val="000000"/>
          <w:sz w:val="22"/>
        </w:rPr>
        <w:t>对有效权限声明应用通配或任一命中规则，生成允许工具集合，并仅将允许工具的结构化定义发送给大语言模型。此裁剪用于减少无效模型调用，但真正执行前仍须复核。</w:t>
      </w:r>
    </w:p>
    <w:p>
      <w:pPr>
        <w:pStyle w:val="Heading2"/>
        <w:widowControl w:val="true"/>
      </w:pPr>
      <w:r>
        <w:t>S4 流式工具调用定型</w:t>
      </w:r>
    </w:p>
    <w:p>
      <w:pPr>
        <w:spacing w:before="0" w:after="120" w:line="264" w:lineRule="auto"/>
        <w:jc w:val="both"/>
        <w:widowControl w:val="true"/>
      </w:pPr>
      <w:r>
        <w:rPr>
          <w:rFonts w:ascii="Calibri" w:hAnsi="Calibri" w:eastAsia="宋体"/>
          <w:color w:val="000000"/>
          <w:sz w:val="22"/>
        </w:rPr>
        <w:t>按工具调用索引合并流式名称和参数分片，丢弃无名称空位，为缺失标识的调用生成轮内稳定标识，并限制单轮调用数和工具轮次；最终轮不挂载工具以强制收敛为文本答复。</w:t>
      </w:r>
    </w:p>
    <w:p>
      <w:pPr>
        <w:pStyle w:val="Heading2"/>
        <w:widowControl w:val="true"/>
      </w:pPr>
      <w:r>
        <w:t>S5 参数归一化与风险分级</w:t>
      </w:r>
    </w:p>
    <w:p>
      <w:pPr>
        <w:spacing w:before="0" w:after="120" w:line="264" w:lineRule="auto"/>
        <w:jc w:val="both"/>
        <w:widowControl w:val="true"/>
      </w:pPr>
      <w:r>
        <w:rPr>
          <w:rFonts w:ascii="Calibri" w:hAnsi="Calibri" w:eastAsia="宋体"/>
          <w:color w:val="000000"/>
          <w:sz w:val="22"/>
        </w:rPr>
        <w:t>解析结构化参数，按工具参数模式验证取值，并生成与业务写入格式一致的规范化载荷；根据可逆性、影响范围或对外承诺将动作分为直接级与确认级。批量动作设置最大影响数量。</w:t>
      </w:r>
    </w:p>
    <w:p>
      <w:pPr>
        <w:pStyle w:val="Heading2"/>
        <w:widowControl w:val="true"/>
      </w:pPr>
      <w:r>
        <w:t>S6 确认级动作持久化</w:t>
      </w:r>
    </w:p>
    <w:p>
      <w:pPr>
        <w:spacing w:before="0" w:after="120" w:line="264" w:lineRule="auto"/>
        <w:jc w:val="both"/>
        <w:widowControl w:val="true"/>
      </w:pPr>
      <w:r>
        <w:rPr>
          <w:rFonts w:ascii="Calibri" w:hAnsi="Calibri" w:eastAsia="宋体"/>
          <w:color w:val="000000"/>
          <w:sz w:val="22"/>
        </w:rPr>
        <w:t>对确认级动作不直接写入业务数据，而是生成面向用户的确认卡，并把确认卡、规范化载荷、发起人、会话、消息关联、到期时间和pending状态写入独立动作记录。</w:t>
      </w:r>
    </w:p>
    <w:p>
      <w:pPr>
        <w:pStyle w:val="Heading2"/>
        <w:widowControl w:val="true"/>
      </w:pPr>
      <w:r>
        <w:t>S7 原子确认抢占</w:t>
      </w:r>
    </w:p>
    <w:p>
      <w:pPr>
        <w:spacing w:before="0" w:after="120" w:line="264" w:lineRule="auto"/>
        <w:jc w:val="both"/>
        <w:widowControl w:val="true"/>
      </w:pPr>
      <w:r>
        <w:rPr>
          <w:rFonts w:ascii="Calibri" w:hAnsi="Calibri" w:eastAsia="宋体"/>
          <w:color w:val="000000"/>
          <w:sz w:val="22"/>
        </w:rPr>
        <w:t>收到确认请求后核验动作存在、发起人一致、状态为pending且未过期；随后执行条件更新，仅当动作标识匹配、状态仍为pending且到期时间晚于当前时间时将状态变更为executing。仅在命中记录数为1时继续。</w:t>
      </w:r>
    </w:p>
    <w:p>
      <w:pPr>
        <w:pStyle w:val="Heading2"/>
        <w:widowControl w:val="true"/>
      </w:pPr>
      <w:r>
        <w:t>S8 执行前安全复核</w:t>
      </w:r>
    </w:p>
    <w:p>
      <w:pPr>
        <w:spacing w:before="0" w:after="120" w:line="264" w:lineRule="auto"/>
        <w:jc w:val="both"/>
        <w:widowControl w:val="true"/>
      </w:pPr>
      <w:r>
        <w:rPr>
          <w:rFonts w:ascii="Calibri" w:hAnsi="Calibri" w:eastAsia="宋体"/>
          <w:color w:val="000000"/>
          <w:sz w:val="22"/>
        </w:rPr>
        <w:t>再次从同一目标业务接口读取当前权限元数据，并结合当前用户权限及业务服务层的资源归属规则复核。这样即使确认卡等待期间发生角色撤销或任务转移，旧卡也不能绕过当前权限。</w:t>
      </w:r>
    </w:p>
    <w:p>
      <w:pPr>
        <w:pStyle w:val="Heading2"/>
        <w:widowControl w:val="true"/>
      </w:pPr>
      <w:r>
        <w:t>S9 执行与状态收敛</w:t>
      </w:r>
    </w:p>
    <w:p>
      <w:pPr>
        <w:spacing w:before="0" w:after="120" w:line="264" w:lineRule="auto"/>
        <w:jc w:val="both"/>
        <w:widowControl w:val="true"/>
      </w:pPr>
      <w:r>
        <w:rPr>
          <w:rFonts w:ascii="Calibri" w:hAnsi="Calibri" w:eastAsia="宋体"/>
          <w:color w:val="000000"/>
          <w:sz w:val="22"/>
        </w:rPr>
        <w:t>业务写入成功后将状态变更为executed并记录结果；业务写入失败时仅对仍处于executing的动作回退到pending，保留用户重试能力；取消只允许从pending进入canceled，执行中的动作不能取消。</w:t>
      </w:r>
    </w:p>
    <w:p>
      <w:pPr>
        <w:pStyle w:val="Heading2"/>
        <w:widowControl w:val="true"/>
      </w:pPr>
      <w:r>
        <w:t>S10 轨迹持久化与消息绑定</w:t>
      </w:r>
    </w:p>
    <w:p>
      <w:pPr>
        <w:spacing w:before="0" w:after="120" w:line="264" w:lineRule="auto"/>
        <w:jc w:val="both"/>
        <w:widowControl w:val="true"/>
      </w:pPr>
      <w:r>
        <w:rPr>
          <w:rFonts w:ascii="Calibri" w:hAnsi="Calibri" w:eastAsia="宋体"/>
          <w:color w:val="000000"/>
          <w:sz w:val="22"/>
        </w:rPr>
        <w:t>将每一工具调用的理由、规范化前参数、观察结果和终态限长后随assistant消息持久化；将待确认动作绑定到该消息，绑定完成后再发送完成事件；刷新时按用户、会话、pending状态和未过期条件恢复卡片。</w:t>
      </w:r>
    </w:p>
    <w:p>
      <w:pPr>
        <w:pStyle w:val="Heading1"/>
        <w:widowControl w:val="true"/>
      </w:pPr>
      <w:r>
        <w:t>8. 待确认动作状态机</w:t>
      </w:r>
    </w:p>
    <w:p>
      <w:pPr>
        <w:jc w:val="center"/>
        <w:widowControl w:val="true"/>
      </w:pPr>
      <w:r>
        <w:drawing>
          <wp:inline xmlns:a="http://schemas.openxmlformats.org/drawingml/2006/main" xmlns:pic="http://schemas.openxmlformats.org/drawingml/2006/picture">
            <wp:extent cx="5532120" cy="2766060"/>
            <wp:docPr id="3" name="Picture 3" descr="待确认动作状态机与并发控制图" title="待确认动作状态机与并发控制图"/>
            <wp:cNvGraphicFramePr>
              <a:graphicFrameLocks noChangeAspect="1"/>
            </wp:cNvGraphicFramePr>
            <a:graphic>
              <a:graphicData uri="http://schemas.openxmlformats.org/drawingml/2006/picture">
                <pic:pic>
                  <pic:nvPicPr>
                    <pic:cNvPr id="0" name="fig3_state.png"/>
                    <pic:cNvPicPr/>
                  </pic:nvPicPr>
                  <pic:blipFill>
                    <a:blip r:embed="rId13"/>
                    <a:stretch>
                      <a:fillRect/>
                    </a:stretch>
                  </pic:blipFill>
                  <pic:spPr>
                    <a:xfrm>
                      <a:off x="0" y="0"/>
                      <a:ext cx="5532120" cy="2766060"/>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图3  待确认动作状态机与原子抢占（立项阶段示意）</w:t>
      </w:r>
    </w:p>
    <w:tbl>
      <w:tblPr>
        <w:tblW w:type="dxa" w:w="9026"/>
        <w:jc w:val="left"/>
        <w:tblLayout w:type="fixed"/>
        <w:tblLook w:firstColumn="1" w:firstRow="1" w:lastColumn="0" w:lastRow="0" w:noHBand="0" w:noVBand="1" w:val="04A0"/>
        <w:tblInd w:type="dxa" w:w="120"/>
      </w:tblPr>
      <w:tblGrid>
        <w:gridCol w:w="1656"/>
        <w:gridCol w:w="3024"/>
        <w:gridCol w:w="4346"/>
      </w:tblGrid>
      <w:tr>
        <w:trPr>
          <w:tblHeader w:val="true"/>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状态</w:t>
            </w:r>
          </w:p>
        </w:tc>
        <w:tc>
          <w:tcPr>
            <w:tcW w:type="dxa" w:w="30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含义</w:t>
            </w:r>
          </w:p>
        </w:tc>
        <w:tc>
          <w:tcPr>
            <w:tcW w:type="dxa" w:w="43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允许迁移</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pending</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动作已生成，尚未确认</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确认且条件更新成功 → executing；取消／过期 → canceled</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executing</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某一确认请求已取得执行权</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成功 → executed；执行异常 → pending；不允许取消</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executed</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业务副作用已完成</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终态；重复确认／取消均拒绝</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canceled</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用户取消或TTL过期</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终态；不得再执行</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并发不变量：</w:t>
            </w:r>
            <w:r>
              <w:rPr>
                <w:rFonts w:ascii="Calibri" w:hAnsi="Calibri" w:eastAsia="宋体"/>
                <w:color w:val="000000"/>
                <w:sz w:val="21"/>
              </w:rPr>
              <w:t>对于同一动作标识，任意时刻最多一个请求能够把pending条件更新为executing；只有该请求可触发业务副作用。</w:t>
            </w:r>
          </w:p>
        </w:tc>
      </w:tr>
    </w:tbl>
    <w:p>
      <w:pPr>
        <w:spacing w:after="40"/>
        <w:widowControl w:val="true"/>
      </w:pPr>
    </w:p>
    <w:p>
      <w:pPr>
        <w:pStyle w:val="Heading1"/>
        <w:widowControl w:val="true"/>
      </w:pPr>
      <w:r>
        <w:t>9. 具体实施方式</w:t>
      </w:r>
    </w:p>
    <w:p>
      <w:pPr>
        <w:pStyle w:val="Heading2"/>
        <w:widowControl w:val="true"/>
      </w:pPr>
      <w:r>
        <w:t>实施例一：任务负责人改派</w:t>
      </w:r>
    </w:p>
    <w:p>
      <w:pPr>
        <w:spacing w:before="0" w:after="120" w:line="264" w:lineRule="auto"/>
        <w:jc w:val="both"/>
        <w:widowControl w:val="true"/>
      </w:pPr>
      <w:r>
        <w:rPr>
          <w:rFonts w:ascii="Calibri" w:hAnsi="Calibri" w:eastAsia="宋体"/>
          <w:color w:val="000000"/>
          <w:sz w:val="22"/>
        </w:rPr>
        <w:t>模型提出reassign_task调用。系统从目标任务更新接口读取权限元数据，确认用户具备所需权限后校验负责人名称，生成“改派任务负责人”确认卡并持久化。用户确认时完成原子抢占和二次权限校验，再调用业务服务修改负责人并写入审计。</w:t>
      </w:r>
    </w:p>
    <w:p>
      <w:pPr>
        <w:pStyle w:val="Heading2"/>
        <w:widowControl w:val="true"/>
      </w:pPr>
      <w:r>
        <w:t>实施例二：低风险字段直接执行</w:t>
      </w:r>
    </w:p>
    <w:p>
      <w:pPr>
        <w:spacing w:before="0" w:after="120" w:line="264" w:lineRule="auto"/>
        <w:jc w:val="both"/>
        <w:widowControl w:val="true"/>
      </w:pPr>
      <w:r>
        <w:rPr>
          <w:rFonts w:ascii="Calibri" w:hAnsi="Calibri" w:eastAsia="宋体"/>
          <w:color w:val="000000"/>
          <w:sz w:val="22"/>
        </w:rPr>
        <w:t>模型提出调整任务优先级。风险配置将该动作定义为可逆且不改变对外承诺，系统仍执行权限同源校验和参数归一化，但可不生成确认卡；执行结果进入工具步骤记录。独立权利要求应允许此分支作为可选实现。</w:t>
      </w:r>
    </w:p>
    <w:p>
      <w:pPr>
        <w:pStyle w:val="Heading2"/>
        <w:widowControl w:val="true"/>
      </w:pPr>
      <w:r>
        <w:t>实施例三：无权限声明失败关闭</w:t>
      </w:r>
    </w:p>
    <w:p>
      <w:pPr>
        <w:spacing w:before="0" w:after="120" w:line="264" w:lineRule="auto"/>
        <w:jc w:val="both"/>
        <w:widowControl w:val="true"/>
      </w:pPr>
      <w:r>
        <w:rPr>
          <w:rFonts w:ascii="Calibri" w:hAnsi="Calibri" w:eastAsia="宋体"/>
          <w:color w:val="000000"/>
          <w:sz w:val="22"/>
        </w:rPr>
        <w:t>新增业务写接口但开发者未声明权限，或声明为空。权限桥读取不到有效权限集合，即使用户拥有通配权限也不向模型挂载该工具且拒绝执行，从结构上阻断未审计写端点。</w:t>
      </w:r>
    </w:p>
    <w:p>
      <w:pPr>
        <w:pStyle w:val="Heading2"/>
        <w:widowControl w:val="true"/>
      </w:pPr>
      <w:r>
        <w:t>实施例四：并发重复确认</w:t>
      </w:r>
    </w:p>
    <w:p>
      <w:pPr>
        <w:spacing w:before="0" w:after="120" w:line="264" w:lineRule="auto"/>
        <w:jc w:val="both"/>
        <w:widowControl w:val="true"/>
      </w:pPr>
      <w:r>
        <w:rPr>
          <w:rFonts w:ascii="Calibri" w:hAnsi="Calibri" w:eastAsia="宋体"/>
          <w:color w:val="000000"/>
          <w:sz w:val="22"/>
        </w:rPr>
        <w:t>同一用户在两个标签页同时确认同一动作。两个请求均先读取pending，但只有一个条件更新命中并进入executing；另一个请求命中0行并返回“正在执行或已处理”，副作用只发生一次。</w:t>
      </w:r>
    </w:p>
    <w:p>
      <w:pPr>
        <w:pStyle w:val="Heading2"/>
        <w:widowControl w:val="true"/>
      </w:pPr>
      <w:r>
        <w:t>实施例五：权限撤销</w:t>
      </w:r>
    </w:p>
    <w:p>
      <w:pPr>
        <w:spacing w:before="0" w:after="120" w:line="264" w:lineRule="auto"/>
        <w:jc w:val="both"/>
        <w:widowControl w:val="true"/>
      </w:pPr>
      <w:r>
        <w:rPr>
          <w:rFonts w:ascii="Calibri" w:hAnsi="Calibri" w:eastAsia="宋体"/>
          <w:color w:val="000000"/>
          <w:sz w:val="22"/>
        </w:rPr>
        <w:t>确认卡生成后管理员撤销用户的任务改派权限。用户随后点击确认，动作虽可被原子抢占，但执行前的权限同源复核失败；系统将动作从executing回退pending并返回无权限，不执行写操作。</w:t>
      </w:r>
    </w:p>
    <w:p>
      <w:pPr>
        <w:pStyle w:val="Heading2"/>
        <w:widowControl w:val="true"/>
      </w:pPr>
      <w:r>
        <w:t>实施例六：下游失败重试</w:t>
      </w:r>
    </w:p>
    <w:p>
      <w:pPr>
        <w:spacing w:before="0" w:after="120" w:line="264" w:lineRule="auto"/>
        <w:jc w:val="both"/>
        <w:widowControl w:val="true"/>
      </w:pPr>
      <w:r>
        <w:rPr>
          <w:rFonts w:ascii="Calibri" w:hAnsi="Calibri" w:eastAsia="宋体"/>
          <w:color w:val="000000"/>
          <w:sz w:val="22"/>
        </w:rPr>
        <w:t>动作取得executing后业务服务暂时不可用。系统仅在记录仍为executing时回退pending；服务恢复后用户可再次确认，且仍通过原子抢占保证每次只有一个执行者。</w:t>
      </w:r>
    </w:p>
    <w:p>
      <w:pPr>
        <w:pStyle w:val="Heading2"/>
        <w:widowControl w:val="true"/>
      </w:pPr>
      <w:r>
        <w:t>实施例七：超时与取消</w:t>
      </w:r>
    </w:p>
    <w:p>
      <w:pPr>
        <w:spacing w:before="0" w:after="120" w:line="264" w:lineRule="auto"/>
        <w:jc w:val="both"/>
        <w:widowControl w:val="true"/>
      </w:pPr>
      <w:r>
        <w:rPr>
          <w:rFonts w:ascii="Calibri" w:hAnsi="Calibri" w:eastAsia="宋体"/>
          <w:color w:val="000000"/>
          <w:sz w:val="22"/>
        </w:rPr>
        <w:t>确认卡超过预设30分钟仍未确认，系统将pending更新为canceled并拒绝执行；用户主动取消同样使用pending条件更新，避免与正在执行的请求竞争。TTL可配置，不应在独立权利要求中限定为固定数值。</w:t>
      </w:r>
    </w:p>
    <w:p>
      <w:pPr>
        <w:pStyle w:val="Heading2"/>
        <w:widowControl w:val="true"/>
      </w:pPr>
      <w:r>
        <w:t>实施例八：多工具并行与确定性回填</w:t>
      </w:r>
    </w:p>
    <w:p>
      <w:pPr>
        <w:spacing w:before="0" w:after="120" w:line="264" w:lineRule="auto"/>
        <w:jc w:val="both"/>
        <w:widowControl w:val="true"/>
      </w:pPr>
      <w:r>
        <w:rPr>
          <w:rFonts w:ascii="Calibri" w:hAnsi="Calibri" w:eastAsia="宋体"/>
          <w:color w:val="000000"/>
          <w:sz w:val="22"/>
        </w:rPr>
        <w:t>模型同轮产生多个无顺序依赖的调用。系统先生成稳定步骤标识并并行执行，再按原调用顺序写回模型工具消息和轨迹记录；单个失败作为结构化观察返回，不导致整批Promise链路丢失。</w:t>
      </w:r>
    </w:p>
    <w:p>
      <w:pPr>
        <w:pStyle w:val="Heading1"/>
        <w:widowControl w:val="true"/>
      </w:pPr>
      <w:r>
        <w:t>10. 技术效果与验证证据</w:t>
      </w:r>
    </w:p>
    <w:tbl>
      <w:tblPr>
        <w:tblW w:type="dxa" w:w="9026"/>
        <w:jc w:val="left"/>
        <w:tblLayout w:type="fixed"/>
        <w:tblLook w:firstColumn="1" w:firstRow="1" w:lastColumn="0" w:lastRow="0" w:noHBand="0" w:noVBand="1" w:val="04A0"/>
        <w:tblInd w:type="dxa" w:w="120"/>
      </w:tblPr>
      <w:tblGrid>
        <w:gridCol w:w="1512"/>
        <w:gridCol w:w="3960"/>
        <w:gridCol w:w="3554"/>
      </w:tblGrid>
      <w:tr>
        <w:trPr>
          <w:tblHeader w:val="true"/>
        </w:trPr>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效果</w:t>
            </w:r>
          </w:p>
        </w:tc>
        <w:tc>
          <w:tcPr>
            <w:tcW w:type="dxa" w:w="39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对应技术手段</w:t>
            </w:r>
          </w:p>
        </w:tc>
        <w:tc>
          <w:tcPr>
            <w:tcW w:type="dxa" w:w="355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可观察结果</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权限一致性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权限直接来自业务接口元数据，不维护第二份权限码</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降低控制器权限变更后Agent权限漂移</w:t>
            </w:r>
          </w:p>
        </w:tc>
      </w:tr>
      <w:t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失败关闭</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无声明／空声明时拒绝，且不因超管通配而放行</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缩小未审计写接口的攻击面</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跨实例幂等</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以数据库条件更新实现pending→executing原子抢占</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多标签页、多进程和多实例下同一动作最多执行一次</w:t>
            </w:r>
          </w:p>
        </w:tc>
      </w:tr>
      <w:t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时序安全</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确认时重新读取当前权限和资源范围</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阻断使用过期权限执行写操作</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故障恢复</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执行失败回退pending，终态不可重复确认／取消</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兼顾可重试与副作用唯一性</w:t>
            </w:r>
          </w:p>
        </w:tc>
      </w:tr>
      <w:t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轨迹可复现</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工具步骤随消息持久化并绑定确认卡</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刷新／断线后仍可回放调用理由、参数、结果和卡片归属</w:t>
            </w:r>
          </w:p>
        </w:tc>
      </w:tr>
      <w:t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调用可控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流式分片归并、稳定ID、单轮上限和末轮强制收敛</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减少参数损坏、消息错配和无限工具循环</w:t>
            </w:r>
          </w:p>
        </w:tc>
      </w:tr>
    </w:tbl>
    <w:p>
      <w:pPr>
        <w:spacing w:after="40"/>
        <w:widowControl w:val="true"/>
      </w:pPr>
    </w:p>
    <w:p>
      <w:pPr>
        <w:pStyle w:val="Heading2"/>
        <w:widowControl w:val="true"/>
      </w:pPr>
      <w:r>
        <w:t>10.1 专项测试结果</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8F5E9"/>
          </w:tcPr>
          <w:p>
            <w:pPr>
              <w:spacing w:before="40" w:after="40" w:line="276" w:lineRule="auto"/>
            </w:pPr>
            <w:r>
              <w:rPr>
                <w:rFonts w:ascii="Calibri" w:hAnsi="Calibri" w:eastAsia="微软雅黑"/>
                <w:b/>
                <w:color w:val="2E7D32"/>
                <w:sz w:val="21"/>
              </w:rPr>
              <w:t>验证结果：</w:t>
            </w:r>
            <w:r>
              <w:rPr>
                <w:rFonts w:ascii="Calibri" w:hAnsi="Calibri" w:eastAsia="宋体"/>
                <w:color w:val="000000"/>
                <w:sz w:val="21"/>
              </w:rPr>
              <w:t>2026-08-25在当前工作区执行5组核心专项测试，共70项全部通过，失败0项。</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2952"/>
        <w:gridCol w:w="6074"/>
      </w:tblGrid>
      <w:tr>
        <w:trPr>
          <w:tblHeader w:val="true"/>
        </w:trPr>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测试文件</w:t>
            </w:r>
          </w:p>
        </w:tc>
        <w:tc>
          <w:tcPr>
            <w:tcW w:type="dxa" w:w="60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覆盖重点</w:t>
            </w:r>
          </w:p>
        </w:tc>
      </w:tr>
      <w:t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chat-agent-permission.spec.ts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权限元数据读取、方法级优先、空声明拒绝、超管失败关闭</w:t>
            </w:r>
          </w:p>
        </w:tc>
      </w:tr>
      <w:t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chat-pending-action.spec.ts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重复确认、并发确认、他人动作、过期、失败回退、取消与消息绑定</w:t>
            </w:r>
          </w:p>
        </w:tc>
      </w:tr>
      <w:t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chat-tool-permissions.spec.ts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挂载裁剪、执行权限闸门、工具定义唯一、配额降级和thought参数注入</w:t>
            </w:r>
          </w:p>
        </w:tc>
      </w:tr>
      <w:t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chat-agent-actions.spec.ts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工具注册与接口权限一一对应、风险分级、参数归一化</w:t>
            </w:r>
          </w:p>
        </w:tc>
      </w:tr>
      <w:t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chat-agent-custom-actions.spec.ts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批量影响上限、跨库拒绝、资源结构约束和确认卡影响范围</w:t>
            </w:r>
          </w:p>
        </w:tc>
      </w:tr>
    </w:tbl>
    <w:p>
      <w:pPr>
        <w:spacing w:after="40"/>
        <w:widowControl w:val="true"/>
      </w:pPr>
    </w:p>
    <w:p>
      <w:pPr>
        <w:spacing w:before="0" w:after="120" w:line="264" w:lineRule="auto"/>
        <w:jc w:val="both"/>
        <w:widowControl w:val="true"/>
      </w:pPr>
      <w:r>
        <w:rPr>
          <w:rFonts w:ascii="Calibri" w:hAnsi="Calibri" w:eastAsia="宋体"/>
          <w:color w:val="666666"/>
          <w:sz w:val="22"/>
        </w:rPr>
        <w:t>验证边界：上述结果证明当前代码的逻辑单元满足测试断言，但不等同于生产环境的负载测试、渗透测试或第三方安全认证。申请前建议补充数据库真实并发压测、权限撤销竞态测试及审计完整性统计，以便在说明书中提供更强的技术效果数据。</w:t>
      </w:r>
    </w:p>
    <w:p>
      <w:pPr>
        <w:pStyle w:val="Heading1"/>
        <w:widowControl w:val="true"/>
      </w:pPr>
      <w:r>
        <w:t>11. 可专利性分析</w:t>
      </w:r>
    </w:p>
    <w:tbl>
      <w:tblPr>
        <w:tblW w:type="dxa" w:w="9026"/>
        <w:jc w:val="left"/>
        <w:tblLayout w:type="fixed"/>
        <w:tblLook w:firstColumn="1" w:firstRow="1" w:lastColumn="0" w:lastRow="0" w:noHBand="0" w:noVBand="1" w:val="04A0"/>
        <w:tblInd w:type="dxa" w:w="120"/>
      </w:tblPr>
      <w:tblGrid>
        <w:gridCol w:w="1440"/>
        <w:gridCol w:w="1440"/>
        <w:gridCol w:w="6146"/>
      </w:tblGrid>
      <w:tr>
        <w:trPr>
          <w:tblHeader w:val="true"/>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维度</w:t>
            </w:r>
          </w:p>
        </w:tc>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初步判断</w:t>
            </w:r>
          </w:p>
        </w:tc>
        <w:tc>
          <w:tcPr>
            <w:tcW w:type="dxa" w:w="61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保护客体</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方案处理计算机内部的权限元数据、工具定义、状态记录和并发写入，解决越权、重复执行、竞态和恢复问题，并产生系统安全性与一致性效果。撰写时必须避免退化为审批规则或管理方法。</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新颖性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工具调用、用户确认、RBAC和审计分别已有大量公开。主张其组合仍可能具备新颖性，但必须以正式检索为准。</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创造性</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最有价值的差异是权限声明同源反射并失败关闭，与持久化确认状态机、条件更新原子抢占、执行前复核和回放绑定的协同。不可把独立权利要求写成简单并列。</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实用性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强</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项目已有代码、数据库模型、界面和70项专项测试，可重复实施。</w:t>
            </w:r>
          </w:p>
        </w:tc>
      </w:tr>
      <w:t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充分公开</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已有字段、状态、流程、异常分支和实施例；仍建议补充真实部署拓扑、并发压测数据及接口时序图。</w:t>
            </w:r>
          </w:p>
        </w:tc>
      </w:tr>
      <w:t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单一性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可控</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主案围绕一个总发明构思：企业智能体工具安全执行链。AI网关路由、RAG权限检索和作品库检索应拆为其他申请。</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保护客体撰写要求：</w:t>
            </w:r>
            <w:r>
              <w:rPr>
                <w:rFonts w:ascii="Calibri" w:hAnsi="Calibri" w:eastAsia="宋体"/>
                <w:color w:val="000000"/>
                <w:sz w:val="21"/>
              </w:rPr>
              <w:t>按照2026年起施行的审查规则，应把技术特征与算法／规则特征作为整体描述，并清楚记载模型或算法与具体场景的结合、输入输出和内在关联。主案应持续强调访问控制、条件写入、数据一致性、调用配对和故障恢复等技术效果。</w:t>
            </w:r>
          </w:p>
        </w:tc>
      </w:tr>
    </w:tbl>
    <w:p>
      <w:pPr>
        <w:spacing w:after="40"/>
        <w:widowControl w:val="true"/>
      </w:pPr>
    </w:p>
    <w:p>
      <w:pPr>
        <w:pStyle w:val="Heading1"/>
        <w:widowControl w:val="true"/>
      </w:pPr>
      <w:r>
        <w:t>12. 初步现有技术检索与差异</w:t>
      </w:r>
    </w:p>
    <w:p>
      <w:pPr>
        <w:spacing w:before="0" w:after="120" w:line="264" w:lineRule="auto"/>
        <w:jc w:val="both"/>
        <w:widowControl w:val="true"/>
      </w:pPr>
      <w:r>
        <w:rPr>
          <w:rFonts w:ascii="Calibri" w:hAnsi="Calibri" w:eastAsia="宋体"/>
          <w:color w:val="000000"/>
          <w:sz w:val="22"/>
        </w:rPr>
        <w:t>本节是立项阶段快速检索，不构成专业查新或自由实施（FTO）意见。检索时间为2026-08-25，检索词覆盖large language model／AI agent／tool call／function invocation／confirmation／permission／authorization／audit／atomic execution／idempotent等。</w:t>
      </w:r>
    </w:p>
    <w:tbl>
      <w:tblPr>
        <w:tblW w:type="dxa" w:w="9026"/>
        <w:jc w:val="left"/>
        <w:tblLayout w:type="fixed"/>
        <w:tblLook w:firstColumn="1" w:firstRow="1" w:lastColumn="0" w:lastRow="0" w:noHBand="0" w:noVBand="1" w:val="04A0"/>
        <w:tblInd w:type="dxa" w:w="120"/>
      </w:tblPr>
      <w:tblGrid>
        <w:gridCol w:w="1800"/>
        <w:gridCol w:w="1368"/>
        <w:gridCol w:w="2232"/>
        <w:gridCol w:w="2474"/>
        <w:gridCol w:w="1152"/>
      </w:tblGrid>
      <w:tr>
        <w:trPr>
          <w:tblHeader w:val="true"/>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文献</w:t>
            </w:r>
          </w:p>
        </w:tc>
        <w:tc>
          <w:tcPr>
            <w:tcW w:type="dxa" w:w="13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优先权日</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主要公开</w:t>
            </w:r>
          </w:p>
        </w:tc>
        <w:tc>
          <w:tcPr>
            <w:tcW w:type="dxa" w:w="24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与本主案的初步差异</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相关度</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US20250321768A1</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2024-04-11</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数字助理调用函数前进行参数校验与用户确认</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未见以既有业务接口权限元数据同源生成Agent权限边界，以及条件写入原子抢占和执行前权限复核的完整组合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US20260093503A1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2024-10-01</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语言模型工具调用平台，通过外部服务授权／令牌允许工具执行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重点是服务提供方授权，不同于内部业务接口权限反射、风险卡状态机与跨实例幂等</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US12524499B2</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2023-08-14</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AI能力实施、凭证审计、低风险外动作确认与日志</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总体治理概念广，但未见本主案的权限声明同源、无声明失败关闭、pending条件抢占及消息绑定组合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US20250094549A1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2023-09-20</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权限不足动作的审批、时限与审计，由其他租户代理执行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具有批准、时限和审计，但执行主体与场景不同；未见LLM工具挂载裁剪、同源反射和确认后当前权限复核</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bl>
    <w:p>
      <w:pPr>
        <w:spacing w:after="40"/>
        <w:widowControl w:val="true"/>
      </w:pPr>
    </w:p>
    <w:p>
      <w:pPr>
        <w:pStyle w:val="Heading2"/>
        <w:widowControl w:val="true"/>
      </w:pPr>
      <w:r>
        <w:t>12.1 创造性论证主线</w:t>
      </w:r>
    </w:p>
    <w:p>
      <w:pPr>
        <w:spacing w:before="0" w:after="160" w:line="280" w:lineRule="auto"/>
        <w:numPr>
          <w:ilvl w:val="0"/>
          <w:numId w:val="11"/>
        </w:numPr>
        <w:widowControl w:val="true"/>
      </w:pPr>
      <w:r>
        <w:rPr>
          <w:rFonts w:ascii="Calibri" w:hAnsi="Calibri" w:eastAsia="宋体"/>
          <w:color w:val="000000"/>
          <w:sz w:val="22"/>
        </w:rPr>
        <w:t>最接近现有技术可能公开“模型调用函数 + 参数验证 + 用户确认”。</w:t>
      </w:r>
    </w:p>
    <w:p>
      <w:pPr>
        <w:spacing w:before="0" w:after="160" w:line="280" w:lineRule="auto"/>
        <w:numPr>
          <w:ilvl w:val="0"/>
          <w:numId w:val="11"/>
        </w:numPr>
        <w:widowControl w:val="true"/>
      </w:pPr>
      <w:r>
        <w:rPr>
          <w:rFonts w:ascii="Calibri" w:hAnsi="Calibri" w:eastAsia="宋体"/>
          <w:color w:val="000000"/>
          <w:sz w:val="22"/>
        </w:rPr>
        <w:t>区别特征不是增加一个权限判断，而是使Agent权限来源与业务接口安全声明同源，并在声明缺失时失败关闭，从而消除双份配置漂移。</w:t>
      </w:r>
    </w:p>
    <w:p>
      <w:pPr>
        <w:spacing w:before="0" w:after="160" w:line="280" w:lineRule="auto"/>
        <w:numPr>
          <w:ilvl w:val="0"/>
          <w:numId w:val="11"/>
        </w:numPr>
        <w:widowControl w:val="true"/>
      </w:pPr>
      <w:r>
        <w:rPr>
          <w:rFonts w:ascii="Calibri" w:hAnsi="Calibri" w:eastAsia="宋体"/>
          <w:color w:val="000000"/>
          <w:sz w:val="22"/>
        </w:rPr>
        <w:t>区别特征进一步把确认意图转为具有用户、会话、消息、载荷、到期时间和状态的持久记录，并通过条件更新在数据库层取得唯一执行权。</w:t>
      </w:r>
    </w:p>
    <w:p>
      <w:pPr>
        <w:spacing w:before="0" w:after="160" w:line="280" w:lineRule="auto"/>
        <w:numPr>
          <w:ilvl w:val="0"/>
          <w:numId w:val="11"/>
        </w:numPr>
        <w:widowControl w:val="true"/>
      </w:pPr>
      <w:r>
        <w:rPr>
          <w:rFonts w:ascii="Calibri" w:hAnsi="Calibri" w:eastAsia="宋体"/>
          <w:color w:val="000000"/>
          <w:sz w:val="22"/>
        </w:rPr>
        <w:t>执行前再次读取当前权限和资源范围，失败时有条件回退pending；轨迹与消息绑定后再完成SSE，解决确认等待、分布式并发和断线恢复共同造成的技术问题。</w:t>
      </w:r>
    </w:p>
    <w:p>
      <w:pPr>
        <w:spacing w:before="0" w:after="160" w:line="280" w:lineRule="auto"/>
        <w:numPr>
          <w:ilvl w:val="0"/>
          <w:numId w:val="11"/>
        </w:numPr>
        <w:widowControl w:val="true"/>
      </w:pPr>
      <w:r>
        <w:rPr>
          <w:rFonts w:ascii="Calibri" w:hAnsi="Calibri" w:eastAsia="宋体"/>
          <w:color w:val="000000"/>
          <w:sz w:val="22"/>
        </w:rPr>
        <w:t>上述特征在功能上彼此支持：同源权限确定可见能力，持久化状态保存意图，原子抢占保证唯一执行，二次复核保证时序安全，轨迹绑定保证可恢复和可审计。应作为一个整体主张。</w:t>
      </w:r>
    </w:p>
    <w:p>
      <w:pPr>
        <w:pStyle w:val="Heading2"/>
        <w:widowControl w:val="true"/>
      </w:pPr>
      <w:r>
        <w:t>12.2 正式检索必须补做的范围</w:t>
      </w:r>
    </w:p>
    <w:p>
      <w:pPr>
        <w:spacing w:before="0" w:after="160" w:line="280" w:lineRule="auto"/>
        <w:numPr>
          <w:ilvl w:val="0"/>
          <w:numId w:val="10"/>
        </w:numPr>
        <w:widowControl w:val="true"/>
      </w:pPr>
      <w:r>
        <w:rPr>
          <w:rFonts w:ascii="Calibri" w:hAnsi="Calibri" w:eastAsia="宋体"/>
          <w:color w:val="000000"/>
          <w:sz w:val="22"/>
        </w:rPr>
        <w:t>CNIPA中文专利全文：智能体／大模型／工具调用／函数调用／权限反射／审批确认／幂等／条件更新／状态机／审计回放。</w:t>
      </w:r>
    </w:p>
    <w:p>
      <w:pPr>
        <w:spacing w:before="0" w:after="160" w:line="280" w:lineRule="auto"/>
        <w:numPr>
          <w:ilvl w:val="0"/>
          <w:numId w:val="10"/>
        </w:numPr>
        <w:widowControl w:val="true"/>
      </w:pPr>
      <w:r>
        <w:rPr>
          <w:rFonts w:ascii="Calibri" w:hAnsi="Calibri" w:eastAsia="宋体"/>
          <w:color w:val="000000"/>
          <w:sz w:val="22"/>
        </w:rPr>
        <w:t>WIPO、USPTO、EPO及Google Patents：同义词、同族、被引文献和申请人组合检索。</w:t>
      </w:r>
    </w:p>
    <w:p>
      <w:pPr>
        <w:spacing w:before="0" w:after="160" w:line="280" w:lineRule="auto"/>
        <w:numPr>
          <w:ilvl w:val="0"/>
          <w:numId w:val="10"/>
        </w:numPr>
        <w:widowControl w:val="true"/>
      </w:pPr>
      <w:r>
        <w:rPr>
          <w:rFonts w:ascii="Calibri" w:hAnsi="Calibri" w:eastAsia="宋体"/>
          <w:color w:val="000000"/>
          <w:sz w:val="22"/>
        </w:rPr>
        <w:t>非专利文献：OpenAI／Anthropic／Microsoft／Google工具调用与人工审批文档，LangGraph／Semantic Kernel／Copilot Studio等技术资料和开源提交记录。</w:t>
      </w:r>
    </w:p>
    <w:p>
      <w:pPr>
        <w:spacing w:before="0" w:after="160" w:line="280" w:lineRule="auto"/>
        <w:numPr>
          <w:ilvl w:val="0"/>
          <w:numId w:val="10"/>
        </w:numPr>
        <w:widowControl w:val="true"/>
      </w:pPr>
      <w:r>
        <w:rPr>
          <w:rFonts w:ascii="Calibri" w:hAnsi="Calibri" w:eastAsia="宋体"/>
          <w:color w:val="000000"/>
          <w:sz w:val="22"/>
        </w:rPr>
        <w:t>分类检索建议由代理师校准：访问控制、身份授权、进程／事务协调、AI推理及人机交互相关IPC／CPC。</w:t>
      </w:r>
    </w:p>
    <w:p>
      <w:pPr>
        <w:spacing w:before="0" w:after="160" w:line="280" w:lineRule="auto"/>
        <w:numPr>
          <w:ilvl w:val="0"/>
          <w:numId w:val="10"/>
        </w:numPr>
        <w:widowControl w:val="true"/>
      </w:pPr>
      <w:r>
        <w:rPr>
          <w:rFonts w:ascii="Calibri" w:hAnsi="Calibri" w:eastAsia="宋体"/>
          <w:color w:val="000000"/>
          <w:sz w:val="22"/>
        </w:rPr>
        <w:t>查新截止日应覆盖实际申请日前全部可构成现有技术的公开，并单独评估本项目自身公开。</w:t>
      </w:r>
    </w:p>
    <w:p>
      <w:pPr>
        <w:pStyle w:val="Heading1"/>
        <w:widowControl w:val="true"/>
      </w:pPr>
      <w:r>
        <w:t>13. 权利要求布局建议</w:t>
      </w:r>
    </w:p>
    <w:p>
      <w:pPr>
        <w:pStyle w:val="Heading2"/>
        <w:widowControl w:val="true"/>
      </w:pPr>
      <w:r>
        <w:t>13.1 独立权利要求1：方法（建议骨架）</w:t>
      </w:r>
    </w:p>
    <w:p>
      <w:pPr>
        <w:spacing w:before="0" w:after="160" w:line="280" w:lineRule="auto"/>
        <w:numPr>
          <w:ilvl w:val="0"/>
          <w:numId w:val="11"/>
        </w:numPr>
        <w:widowControl w:val="true"/>
      </w:pPr>
      <w:r>
        <w:rPr>
          <w:rFonts w:ascii="Calibri" w:hAnsi="Calibri" w:eastAsia="宋体"/>
          <w:color w:val="000000"/>
          <w:sz w:val="22"/>
        </w:rPr>
        <w:t>获取用户请求、用户权限集合和业务上下文；</w:t>
      </w:r>
    </w:p>
    <w:p>
      <w:pPr>
        <w:spacing w:before="0" w:after="160" w:line="280" w:lineRule="auto"/>
        <w:numPr>
          <w:ilvl w:val="0"/>
          <w:numId w:val="11"/>
        </w:numPr>
        <w:widowControl w:val="true"/>
      </w:pPr>
      <w:r>
        <w:rPr>
          <w:rFonts w:ascii="Calibri" w:hAnsi="Calibri" w:eastAsia="宋体"/>
          <w:color w:val="000000"/>
          <w:sz w:val="22"/>
        </w:rPr>
        <w:t>基于候选工具关联的业务接口处理函数和／或所属控制器类，读取权限元数据，并在权限元数据缺失或为空时禁止该候选工具进入允许工具集合；</w:t>
      </w:r>
    </w:p>
    <w:p>
      <w:pPr>
        <w:spacing w:before="0" w:after="160" w:line="280" w:lineRule="auto"/>
        <w:numPr>
          <w:ilvl w:val="0"/>
          <w:numId w:val="11"/>
        </w:numPr>
        <w:widowControl w:val="true"/>
      </w:pPr>
      <w:r>
        <w:rPr>
          <w:rFonts w:ascii="Calibri" w:hAnsi="Calibri" w:eastAsia="宋体"/>
          <w:color w:val="000000"/>
          <w:sz w:val="22"/>
        </w:rPr>
        <w:t>把允许工具集合的结构化定义提供给语言模型，并接收语言模型输出的结构化工具调用；</w:t>
      </w:r>
    </w:p>
    <w:p>
      <w:pPr>
        <w:spacing w:before="0" w:after="160" w:line="280" w:lineRule="auto"/>
        <w:numPr>
          <w:ilvl w:val="0"/>
          <w:numId w:val="11"/>
        </w:numPr>
        <w:widowControl w:val="true"/>
      </w:pPr>
      <w:r>
        <w:rPr>
          <w:rFonts w:ascii="Calibri" w:hAnsi="Calibri" w:eastAsia="宋体"/>
          <w:color w:val="000000"/>
          <w:sz w:val="22"/>
        </w:rPr>
        <w:t>对工具调用参数进行校验和归一化，并在风险级别满足确认条件时，将规范化执行载荷和确认信息持久化为具有到期时间及pending状态的动作记录；</w:t>
      </w:r>
    </w:p>
    <w:p>
      <w:pPr>
        <w:spacing w:before="0" w:after="160" w:line="280" w:lineRule="auto"/>
        <w:numPr>
          <w:ilvl w:val="0"/>
          <w:numId w:val="11"/>
        </w:numPr>
        <w:widowControl w:val="true"/>
      </w:pPr>
      <w:r>
        <w:rPr>
          <w:rFonts w:ascii="Calibri" w:hAnsi="Calibri" w:eastAsia="宋体"/>
          <w:color w:val="000000"/>
          <w:sz w:val="22"/>
        </w:rPr>
        <w:t>响应确认请求，以动作标识、pending状态和未到期条件执行原子条件更新，将动作记录变更为executing，并仅在更新命中预定数量记录时取得执行权；</w:t>
      </w:r>
    </w:p>
    <w:p>
      <w:pPr>
        <w:spacing w:before="0" w:after="160" w:line="280" w:lineRule="auto"/>
        <w:numPr>
          <w:ilvl w:val="0"/>
          <w:numId w:val="11"/>
        </w:numPr>
        <w:widowControl w:val="true"/>
      </w:pPr>
      <w:r>
        <w:rPr>
          <w:rFonts w:ascii="Calibri" w:hAnsi="Calibri" w:eastAsia="宋体"/>
          <w:color w:val="000000"/>
          <w:sz w:val="22"/>
        </w:rPr>
        <w:t>在取得执行权后，基于当前权限元数据和资源范围再次校验用户权限，调用业务服务执行所述载荷；</w:t>
      </w:r>
    </w:p>
    <w:p>
      <w:pPr>
        <w:spacing w:before="0" w:after="160" w:line="280" w:lineRule="auto"/>
        <w:numPr>
          <w:ilvl w:val="0"/>
          <w:numId w:val="11"/>
        </w:numPr>
        <w:widowControl w:val="true"/>
      </w:pPr>
      <w:r>
        <w:rPr>
          <w:rFonts w:ascii="Calibri" w:hAnsi="Calibri" w:eastAsia="宋体"/>
          <w:color w:val="000000"/>
          <w:sz w:val="22"/>
        </w:rPr>
        <w:t>根据执行结果将动作记录变更为executed，或在执行失败时从executing回退pending；以及</w:t>
      </w:r>
    </w:p>
    <w:p>
      <w:pPr>
        <w:spacing w:before="0" w:after="160" w:line="280" w:lineRule="auto"/>
        <w:numPr>
          <w:ilvl w:val="0"/>
          <w:numId w:val="11"/>
        </w:numPr>
        <w:widowControl w:val="true"/>
      </w:pPr>
      <w:r>
        <w:rPr>
          <w:rFonts w:ascii="Calibri" w:hAnsi="Calibri" w:eastAsia="宋体"/>
          <w:color w:val="000000"/>
          <w:sz w:val="22"/>
        </w:rPr>
        <w:t>持久化工具调用步骤并建立动作记录与会话消息的关联。</w:t>
      </w:r>
    </w:p>
    <w:p>
      <w:pPr>
        <w:pStyle w:val="Heading2"/>
        <w:widowControl w:val="true"/>
      </w:pPr>
      <w:r>
        <w:t>13.2 从属权利要求建议</w:t>
      </w:r>
    </w:p>
    <w:tbl>
      <w:tblPr>
        <w:tblW w:type="dxa" w:w="9026"/>
        <w:jc w:val="left"/>
        <w:tblLayout w:type="fixed"/>
        <w:tblLook w:firstColumn="1" w:firstRow="1" w:lastColumn="0" w:lastRow="0" w:noHBand="0" w:noVBand="1" w:val="04A0"/>
        <w:tblInd w:type="dxa" w:w="120"/>
      </w:tblPr>
      <w:tblGrid>
        <w:gridCol w:w="792"/>
        <w:gridCol w:w="8234"/>
      </w:tblGrid>
      <w:tr>
        <w:trPr>
          <w:tblHeader w:val="true"/>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项</w:t>
            </w:r>
          </w:p>
        </w:tc>
        <w:tc>
          <w:tcPr>
            <w:tcW w:type="dxa" w:w="82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建议限定特征</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处理函数级权限声明优先于控制器类级声明；无声明、空声明或处理函数不存在均失败关闭。</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3</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权限判定支持通配权限或多个所需权限中的任一命中，并将实际所需权限用于审计。</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4</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按动作可逆性、影响范围和外部承诺将工具分为直接级与确认级，批量动作设置最大资源数量。</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5</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确认卡至少包含动作摘要、影响字段和到期时间；载荷采用可序列化的规范化结构。</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6</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确认请求还校验动作发起人和会话归属，且只允许发起人确认或取消。</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7</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取消使用pending条件更新；执行中的动作不得取消；过期动作转为canceled。</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8</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执行失败仅在状态仍为executing时回退pending，以允许重试。</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9</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流式工具调用分片按索引归并，为缺失调用标识生成稳定标识，并限制轮次和单轮数量。</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10</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多个无顺序依赖的工具并行执行，执行结果按原始调用顺序写回模型消息和轨迹。</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11</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工具步骤记录包括调用理由、参数、结果和终态，并按长度阈值截断后随assistant消息持久化。</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动作记录绑定assistant消息后再发送会话完成事件，刷新时按用户、会话、状态和到期条件恢复确认卡。</w:t>
            </w:r>
          </w:p>
        </w:tc>
      </w:tr>
    </w:tbl>
    <w:p>
      <w:pPr>
        <w:spacing w:after="40"/>
        <w:widowControl w:val="true"/>
      </w:pPr>
    </w:p>
    <w:p>
      <w:pPr>
        <w:pStyle w:val="Heading2"/>
        <w:widowControl w:val="true"/>
      </w:pPr>
      <w:r>
        <w:t>13.3 其他独立主题</w:t>
      </w:r>
    </w:p>
    <w:p>
      <w:pPr>
        <w:spacing w:before="0" w:after="160" w:line="280" w:lineRule="auto"/>
        <w:numPr>
          <w:ilvl w:val="0"/>
          <w:numId w:val="10"/>
        </w:numPr>
        <w:widowControl w:val="true"/>
      </w:pPr>
      <w:r>
        <w:rPr>
          <w:rFonts w:ascii="Calibri" w:hAnsi="Calibri" w:eastAsia="宋体"/>
          <w:color w:val="000000"/>
          <w:sz w:val="22"/>
        </w:rPr>
        <w:t>系统权利要求：包括上下文获取模块、权限元数据读取模块、工具裁剪模块、调用定型模块、风险分级模块、待确认动作存储模块、原子执行控制模块、业务服务适配模块和轨迹审计模块。</w:t>
      </w:r>
    </w:p>
    <w:p>
      <w:pPr>
        <w:spacing w:before="0" w:after="160" w:line="280" w:lineRule="auto"/>
        <w:numPr>
          <w:ilvl w:val="0"/>
          <w:numId w:val="10"/>
        </w:numPr>
        <w:widowControl w:val="true"/>
      </w:pPr>
      <w:r>
        <w:rPr>
          <w:rFonts w:ascii="Calibri" w:hAnsi="Calibri" w:eastAsia="宋体"/>
          <w:color w:val="000000"/>
          <w:sz w:val="22"/>
        </w:rPr>
        <w:t>电子设备权利要求：处理器和存储器，存储指令以执行方法权利要求。</w:t>
      </w:r>
    </w:p>
    <w:p>
      <w:pPr>
        <w:spacing w:before="0" w:after="160" w:line="280" w:lineRule="auto"/>
        <w:numPr>
          <w:ilvl w:val="0"/>
          <w:numId w:val="10"/>
        </w:numPr>
        <w:widowControl w:val="true"/>
      </w:pPr>
      <w:r>
        <w:rPr>
          <w:rFonts w:ascii="Calibri" w:hAnsi="Calibri" w:eastAsia="宋体"/>
          <w:color w:val="000000"/>
          <w:sz w:val="22"/>
        </w:rPr>
        <w:t>计算机可读存储介质权利要求：存储指令，处理器执行时实现方法。</w:t>
      </w:r>
    </w:p>
    <w:p>
      <w:pPr>
        <w:spacing w:before="0" w:after="160" w:line="280" w:lineRule="auto"/>
        <w:numPr>
          <w:ilvl w:val="0"/>
          <w:numId w:val="10"/>
        </w:numPr>
        <w:widowControl w:val="true"/>
      </w:pPr>
      <w:r>
        <w:rPr>
          <w:rFonts w:ascii="Calibri" w:hAnsi="Calibri" w:eastAsia="宋体"/>
          <w:color w:val="000000"/>
          <w:sz w:val="22"/>
        </w:rPr>
        <w:t>计算机程序产品权利要求：包括计算机程序／指令，执行时实现方法。</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撰写禁区：</w:t>
            </w:r>
            <w:r>
              <w:rPr>
                <w:rFonts w:ascii="Calibri" w:hAnsi="Calibri" w:eastAsia="宋体"/>
                <w:color w:val="000000"/>
                <w:sz w:val="21"/>
              </w:rPr>
              <w:t>不要把“用户确认后执行”“基于角色权限控制工具”“记录操作日志”单独写成独立权利要求；这些概念已接近现有技术。独立权利要求应保留同源权限、失败关闭、持久化动作、原子抢占、当前权限复核及轨迹绑定之间的技术关系。</w:t>
            </w:r>
          </w:p>
        </w:tc>
      </w:tr>
    </w:tbl>
    <w:p>
      <w:pPr>
        <w:spacing w:after="40"/>
        <w:widowControl w:val="true"/>
      </w:pPr>
    </w:p>
    <w:p>
      <w:pPr>
        <w:pStyle w:val="Heading1"/>
        <w:widowControl w:val="true"/>
      </w:pPr>
      <w:r>
        <w:t>14. 说明书公开方案</w:t>
      </w:r>
    </w:p>
    <w:tbl>
      <w:tblPr>
        <w:tblW w:type="dxa" w:w="9026"/>
        <w:jc w:val="left"/>
        <w:tblLayout w:type="fixed"/>
        <w:tblLook w:firstColumn="1" w:firstRow="1" w:lastColumn="0" w:lastRow="0" w:noHBand="0" w:noVBand="1" w:val="04A0"/>
        <w:tblInd w:type="dxa" w:w="120"/>
      </w:tblPr>
      <w:tblGrid>
        <w:gridCol w:w="1944"/>
        <w:gridCol w:w="7082"/>
      </w:tblGrid>
      <w:tr>
        <w:trPr>
          <w:tblHeader w:val="true"/>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说明书部分</w:t>
            </w:r>
          </w:p>
        </w:tc>
        <w:tc>
          <w:tcPr>
            <w:tcW w:type="dxa" w:w="708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必须公开的内容</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技术领域</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说明计算机软件、AI工具调用、访问控制、分布式一致性和审计。</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背景技术</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描述双份权限配置漂移、前端／提示词约束不足、重复确认、多实例锁失效、断线丢轨迹等问题。</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发明目的</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在不改变既有业务接口权限体系的前提下，为企业智能体提供权限同源、唯一执行、时序安全和可回放的写操作链。</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发明内容</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完整公开模块、方法步骤、数据对象、状态迁移、异常分支及技术效果。</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附图说明</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至少包括系统架构图、方法流程图、确认状态机；可再加入时序图和权限元数据读取图。</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具体实施方式</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覆盖直接执行、确认执行、无声明拒绝、并发确认、权限撤销、下游失败、取消／过期和多工具并行。</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可实施参数</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说明风险配置、TTL、批量上限、工具轮次、参数／输出限长均可配置；给出一个当前实现值作为非限制示例。</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算法／模型关系</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说明采用预训练语言模型接收工具定义并输出函数名及JSON参数；公开输入、输出、分片归并和业务接口耦合，不声称模型训练创新。</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技术效果数据</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引入70项测试结果；申请前争取补充并发压测、权限撤销竞态和恢复成功率。</w:t>
            </w:r>
          </w:p>
        </w:tc>
      </w:tr>
    </w:tbl>
    <w:p>
      <w:pPr>
        <w:spacing w:after="40"/>
        <w:widowControl w:val="true"/>
      </w:pPr>
    </w:p>
    <w:p>
      <w:pPr>
        <w:pStyle w:val="Heading2"/>
        <w:widowControl w:val="true"/>
      </w:pPr>
      <w:r>
        <w:t>14.1 说明书摘要初稿</w:t>
      </w: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2F4F7"/>
          </w:tcPr>
          <w:p>
            <w:pPr>
              <w:spacing w:before="40" w:after="40" w:line="276" w:lineRule="auto"/>
            </w:pPr>
            <w:r>
              <w:rPr>
                <w:rFonts w:ascii="Calibri" w:hAnsi="Calibri" w:eastAsia="微软雅黑"/>
                <w:b/>
                <w:color w:val="1F4D78"/>
                <w:sz w:val="21"/>
              </w:rPr>
              <w:t>摘要：</w:t>
            </w:r>
            <w:r>
              <w:rPr>
                <w:rFonts w:ascii="Calibri" w:hAnsi="Calibri" w:eastAsia="宋体"/>
                <w:color w:val="000000"/>
                <w:sz w:val="21"/>
              </w:rPr>
              <w:t>本发明公开一种企业智能体权限约束式工具执行方法及系统。获取用户请求及权限集合，根据候选工具关联的业务接口处理函数和控制器类读取权限元数据，在权限声明缺失或为空时禁止该工具，并仅向语言模型提供允许工具。对模型输出的结构化工具调用进行参数归一化和风险分级；对需确认的写操作，将执行载荷、确认信息、发起人、会话、到期时间及pending状态持久化。确认时通过条件更新原子取得executing状态，并基于当前权限及资源范围再次校验后执行；成功转为executed，失败回退pending。工具步骤与消息关联持久化。由此减少权限配置漂移，防止并发重复写入，并提高智能体操作的可恢复性和可审计性。</w:t>
            </w:r>
          </w:p>
        </w:tc>
      </w:tr>
    </w:tbl>
    <w:p>
      <w:pPr>
        <w:spacing w:after="40"/>
        <w:widowControl w:val="true"/>
      </w:pPr>
    </w:p>
    <w:p>
      <w:pPr>
        <w:pStyle w:val="Heading1"/>
        <w:widowControl w:val="true"/>
      </w:pPr>
      <w:r>
        <w:t>15. 发明人、申请人及权属核定</w:t>
      </w:r>
    </w:p>
    <w:p>
      <w:pPr>
        <w:pStyle w:val="Heading2"/>
        <w:widowControl w:val="true"/>
      </w:pPr>
      <w:r>
        <w:t>15.1 发明人候选识别记录（非最终署名）</w:t>
      </w:r>
    </w:p>
    <w:tbl>
      <w:tblPr>
        <w:tblW w:type="dxa" w:w="9026"/>
        <w:jc w:val="left"/>
        <w:tblLayout w:type="fixed"/>
        <w:tblLook w:firstColumn="1" w:firstRow="1" w:lastColumn="0" w:lastRow="0" w:noHBand="0" w:noVBand="1" w:val="04A0"/>
        <w:tblInd w:type="dxa" w:w="120"/>
      </w:tblPr>
      <w:tblGrid>
        <w:gridCol w:w="1944"/>
        <w:gridCol w:w="5256"/>
        <w:gridCol w:w="1826"/>
      </w:tblGrid>
      <w:tr>
        <w:trPr>
          <w:tblHeader w:val="true"/>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候选标识</w:t>
            </w:r>
          </w:p>
        </w:tc>
        <w:tc>
          <w:tcPr>
            <w:tcW w:type="dxa" w:w="52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现有贡献线索</w:t>
            </w:r>
          </w:p>
        </w:tc>
        <w:tc>
          <w:tcPr>
            <w:tcW w:type="dxa" w:w="18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处理要求</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zhangjiawei（仓库别名）</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ReAct工具体系、确认卡写操作、并行执行与持久化相关提交；须映射到法定姓名并访谈确认创造性贡献</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Alex（仓库别名）</w:t>
            </w:r>
          </w:p>
        </w:tc>
        <w:tc>
          <w:tcPr>
            <w:tcW w:type="dxa" w:w="52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ReAct加固、控制器权限反射、注册表扩展及相关测试；须映射到法定姓名并访谈确认创造性贡献</w:t>
            </w:r>
          </w:p>
        </w:tc>
        <w:tc>
          <w:tcPr>
            <w:tcW w:type="dxa" w:w="18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其他人员</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产品需求、架构决策、权限模型、并发状态机或关键实施细节的实质性贡献者</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由项目负责人补充</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发明人规则：</w:t>
            </w:r>
            <w:r>
              <w:rPr>
                <w:rFonts w:ascii="Calibri" w:hAnsi="Calibri" w:eastAsia="宋体"/>
                <w:color w:val="000000"/>
                <w:sz w:val="21"/>
              </w:rPr>
              <w:t>发明人必须是自然人，且应对发明创造的实质性特点作出创造性贡献。仅提供资金、管理、测试执行、普通编码或提出一般需求，不当然构成发明人资格；人工智能不能作为发明人。</w:t>
            </w:r>
          </w:p>
        </w:tc>
      </w:tr>
    </w:tbl>
    <w:p>
      <w:pPr>
        <w:spacing w:after="40"/>
        <w:widowControl w:val="true"/>
      </w:pPr>
    </w:p>
    <w:p>
      <w:pPr>
        <w:pStyle w:val="Heading2"/>
        <w:widowControl w:val="true"/>
      </w:pPr>
      <w:r>
        <w:t>15.2 必须补录的主体与权属信息</w:t>
      </w:r>
    </w:p>
    <w:tbl>
      <w:tblPr>
        <w:tblW w:type="dxa" w:w="9026"/>
        <w:jc w:val="left"/>
        <w:tblLayout w:type="fixed"/>
        <w:tblLook w:firstColumn="1" w:firstRow="1" w:lastColumn="0" w:lastRow="0" w:noHBand="0" w:noVBand="1" w:val="04A0"/>
        <w:tblInd w:type="dxa" w:w="120"/>
      </w:tblPr>
      <w:tblGrid>
        <w:gridCol w:w="2232"/>
        <w:gridCol w:w="6794"/>
      </w:tblGrid>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申请人正式名称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统一社会信用代码</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注册地址／邮编</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【必须补录】须可准确投递</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单位联系人／电话／邮箱</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【必须补录】联系人须为本单位工作人员；委托代理机构时按请求书规则填写</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发明人法定姓名／国籍／证件信息</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【必须核定】第一发明人为中国内地居民时请求书需相应身份信息</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职务发明依据</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【必须补录】劳动合同、岗位职责、研发任务书、职务发明制度或权利转让文件</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合作开发／委托开发</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【必须核定】是否存在外包、顾问、实习生、联合研发、模型供应商或客户定制开发</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开源与第三方权利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【必须核定】开源组件不等于本发明权属；确认发明点来自项目组并遵守相关许可证</w:t>
            </w:r>
          </w:p>
        </w:tc>
      </w:tr>
      <w:t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政府项目／资助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【必须核定】是否有财政资金、科研项目或合同对成果权属、备案、披露设有限制</w:t>
            </w:r>
          </w:p>
        </w:tc>
      </w:tr>
    </w:tbl>
    <w:p>
      <w:pPr>
        <w:spacing w:after="40"/>
        <w:widowControl w:val="true"/>
      </w:pPr>
    </w:p>
    <w:p>
      <w:pPr>
        <w:pStyle w:val="Heading1"/>
        <w:widowControl w:val="true"/>
      </w:pPr>
      <w:r>
        <w:t>16. 公开披露、保密与新颖性风险</w:t>
      </w:r>
    </w:p>
    <w:p>
      <w:pPr>
        <w:spacing w:before="0" w:after="120" w:line="264" w:lineRule="auto"/>
        <w:jc w:val="both"/>
        <w:widowControl w:val="true"/>
      </w:pPr>
      <w:r>
        <w:rPr>
          <w:rFonts w:ascii="Calibri" w:hAnsi="Calibri" w:eastAsia="宋体"/>
          <w:color w:val="000000"/>
          <w:sz w:val="22"/>
        </w:rPr>
        <w:t>当前仓库显示项目自2026-04-16开始提交，关键ReAct确认卡能力至少于2026-07-20进入代码，权限反射核心于2026-08-11进入代码。代码进入生产、对外演示或在不受保密义务约束的平台公开，可能影响新颖性判断。以下事项必须形成书面核查结论。</w:t>
      </w:r>
    </w:p>
    <w:tbl>
      <w:tblPr>
        <w:tblW w:type="dxa" w:w="9026"/>
        <w:jc w:val="left"/>
        <w:tblLayout w:type="fixed"/>
        <w:tblLook w:firstColumn="1" w:firstRow="1" w:lastColumn="0" w:lastRow="0" w:noHBand="0" w:noVBand="1" w:val="04A0"/>
        <w:tblInd w:type="dxa" w:w="120"/>
      </w:tblPr>
      <w:tblGrid>
        <w:gridCol w:w="1800"/>
        <w:gridCol w:w="4968"/>
        <w:gridCol w:w="1224"/>
        <w:gridCol w:w="1034"/>
      </w:tblGrid>
      <w:tr>
        <w:trPr>
          <w:tblHeader w:val="true"/>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渠道</w:t>
            </w:r>
          </w:p>
        </w:tc>
        <w:tc>
          <w:tcPr>
            <w:tcW w:type="dxa" w:w="49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核查事项</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结论</w:t>
            </w:r>
          </w:p>
        </w:tc>
        <w:tc>
          <w:tcPr>
            <w:tcW w:type="dxa" w:w="10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风险</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Figma设计链接</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README中存在项目设计链接；核查其访问权限、页面内容及首次公开时间</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生产部署／客户使用</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核查关键功能上线时间、用户范围、是否登录可见及用户保密义务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代码仓库</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核查全部远程仓库是否公开、历史镜像、fork、制品与CI日志可见性</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操作手册与截图</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项目含manual-shots、QA截图和工作汇报；核查是否对外发送</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演示／路演／销售材料</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核查是否向客户、合作方、展会或社交媒体披露执行链细节</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论文／公众号／群聊／邮件</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核查包含权限反射、确认状态机或并发控制的材料及发送对象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第三方开发参与</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核查外包／顾问的保密协议和成果归属</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bl>
    <w:p>
      <w:pPr>
        <w:spacing w:after="40"/>
        <w:widowControl w:val="true"/>
      </w:pPr>
    </w:p>
    <w:tbl>
      <w:tblPr>
        <w:tblW w:type="dxa" w:w="9026"/>
        <w:jc w:val="left"/>
        <w:tblLayout w:type="fixed"/>
        <w:tblLook w:firstColumn="1" w:firstRow="1" w:lastColumn="0" w:lastRow="0" w:noHBand="0" w:noVBand="1" w:val="04A0"/>
        <w:tblInd w:type="dxa" w:w="120"/>
      </w:tblPr>
      <w:tblGrid>
        <w:gridCol w:w="9026"/>
      </w:tblGrid>
      <w:t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行动建议：</w:t>
            </w:r>
            <w:r>
              <w:rPr>
                <w:rFonts w:ascii="Calibri" w:hAnsi="Calibri" w:eastAsia="宋体"/>
                <w:color w:val="000000"/>
                <w:sz w:val="21"/>
              </w:rPr>
              <w:t>在公开日期核查完成前暂停进一步对外披露本发明的权限同源、原子确认和回放细节；如发现已经公开，应立即交由专利代理师评估公开内容、公开对象、保密关系及可能适用的新颖性宽限期证明要求。</w:t>
            </w:r>
          </w:p>
        </w:tc>
      </w:tr>
    </w:tbl>
    <w:p>
      <w:pPr>
        <w:spacing w:after="40"/>
        <w:widowControl w:val="true"/>
      </w:pPr>
    </w:p>
    <w:p>
      <w:pPr>
        <w:pStyle w:val="Heading1"/>
        <w:widowControl w:val="true"/>
      </w:pPr>
      <w:r>
        <w:t>17. 申报策略、进度与预算</w:t>
      </w:r>
    </w:p>
    <w:p>
      <w:pPr>
        <w:pStyle w:val="Heading2"/>
        <w:widowControl w:val="true"/>
      </w:pPr>
      <w:r>
        <w:t>17.1 推荐申报路径</w:t>
      </w:r>
    </w:p>
    <w:tbl>
      <w:tblPr>
        <w:tblW w:type="dxa" w:w="9025"/>
        <w:jc w:val="left"/>
        <w:tblLayout w:type="fixed"/>
        <w:tblLook w:firstColumn="1" w:firstRow="1" w:lastColumn="0" w:lastRow="0" w:noHBand="0" w:noVBand="1" w:val="04A0"/>
        <w:tblInd w:type="dxa" w:w="120"/>
      </w:tblPr>
      <w:tblGrid>
        <w:gridCol w:w="547"/>
        <w:gridCol w:w="1224"/>
        <w:gridCol w:w="3816"/>
        <w:gridCol w:w="2088"/>
        <w:gridCol w:w="1350"/>
      </w:tblGrid>
      <w:tr>
        <w:trPr>
          <w:tblHeader w:val="true"/>
        </w:trPr>
        <w:tc>
          <w:tcPr>
            <w:tcW w:type="dxa" w:w="547"/>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序</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阶段</w:t>
            </w:r>
          </w:p>
        </w:tc>
        <w:tc>
          <w:tcPr>
            <w:tcW w:type="dxa" w:w="381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交付物</w:t>
            </w:r>
          </w:p>
        </w:tc>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责任人</w:t>
            </w:r>
          </w:p>
        </w:tc>
        <w:tc>
          <w:tcPr>
            <w:tcW w:type="dxa" w:w="135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建议时限</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1</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内部立项</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本文件评审；锁定发明点、申请人、发明人和权属</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申请人／项目负责人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T+2个工作日</w:t>
            </w:r>
          </w:p>
        </w:tc>
      </w:tr>
      <w:t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披露与检索</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完成公开日期核查、正式查新和分类检索</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T+5个工作日</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3</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技术交底</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确认架构、流程、实施例、参数、测试和附图</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T+7个工作日</w:t>
            </w:r>
          </w:p>
        </w:tc>
      </w:tr>
      <w:t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4</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撰写与一审</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形成请求书信息、说明书、权利要求、摘要和附图</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T+12个工作日</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5</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发明人复核</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逐项核对权利要求支持、替代方案和术语</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发明人／申请人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T+15个工作日</w:t>
            </w:r>
          </w:p>
        </w:tc>
      </w:tr>
      <w:t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6</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提交</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电子申请、缴费、保存受理通知及申请号</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代理机构／申请人</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T+16个工作日</w:t>
            </w:r>
          </w:p>
        </w:tc>
      </w:tr>
      <w:t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7</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审查管理</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期限监控、补正、实审、审查意见答复和年费</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持续</w:t>
            </w:r>
          </w:p>
        </w:tc>
      </w:tr>
    </w:tbl>
    <w:p>
      <w:pPr>
        <w:spacing w:after="40"/>
        <w:widowControl w:val="true"/>
      </w:pPr>
    </w:p>
    <w:p>
      <w:pPr>
        <w:pStyle w:val="Heading2"/>
        <w:widowControl w:val="true"/>
      </w:pPr>
      <w:r>
        <w:t>17.2 预算科目（金额待报价）</w:t>
      </w:r>
    </w:p>
    <w:tbl>
      <w:tblPr>
        <w:tblW w:type="dxa" w:w="9026"/>
        <w:jc w:val="left"/>
        <w:tblLayout w:type="fixed"/>
        <w:tblLook w:firstColumn="1" w:firstRow="1" w:lastColumn="0" w:lastRow="0" w:noHBand="0" w:noVBand="1" w:val="04A0"/>
        <w:tblInd w:type="dxa" w:w="120"/>
      </w:tblPr>
      <w:tblGrid>
        <w:gridCol w:w="2376"/>
        <w:gridCol w:w="2232"/>
        <w:gridCol w:w="4418"/>
      </w:tblGrid>
      <w:tr>
        <w:trPr>
          <w:tblHeader w:val="true"/>
        </w:trPr>
        <w:tc>
          <w:tcPr>
            <w:tcW w:type="dxa" w:w="237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科目</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金额</w:t>
            </w:r>
          </w:p>
        </w:tc>
        <w:tc>
          <w:tcPr>
            <w:tcW w:type="dxa" w:w="441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正式检索／查新</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【待代理机构报价】</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含中文、英文、同族和非专利文献</w:t>
            </w:r>
          </w:p>
        </w:tc>
      </w:tr>
      <w:t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国内发明撰写及代理</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【待报价】</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确认是否含多轮修改、附图和审查意见答复</w:t>
            </w:r>
          </w:p>
        </w:tc>
      </w:tr>
      <w:t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官方费用</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【按提交时有效标准核定】</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申请费、公布印刷费、实审费等；是否符合费减须另行备案核实</w:t>
            </w:r>
          </w:p>
        </w:tc>
      </w:tr>
      <w:t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审查意见答复／复审</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【预留】</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按实际轮次和复杂度</w:t>
            </w:r>
          </w:p>
        </w:tc>
      </w:tr>
      <w:t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PCT／国外阶段</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【如启动则另行预算】</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翻译、国际阶段及国家阶段费用</w:t>
            </w:r>
          </w:p>
        </w:tc>
      </w:tr>
      <w:t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授权后年费</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【建立年度预算】</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由知识产权负责人设置到期提醒与缴费责任</w:t>
            </w:r>
          </w:p>
        </w:tc>
      </w:tr>
    </w:tbl>
    <w:p>
      <w:pPr>
        <w:spacing w:after="40"/>
        <w:widowControl w:val="true"/>
      </w:pPr>
    </w:p>
    <w:p>
      <w:pPr>
        <w:pStyle w:val="Heading1"/>
        <w:widowControl w:val="true"/>
      </w:pPr>
      <w:r>
        <w:t>18. 风险清单与应对</w:t>
      </w:r>
    </w:p>
    <w:tbl>
      <w:tblPr>
        <w:tblW w:type="dxa" w:w="9026"/>
        <w:jc w:val="left"/>
        <w:tblLayout w:type="fixed"/>
        <w:tblLook w:firstColumn="1" w:firstRow="1" w:lastColumn="0" w:lastRow="0" w:noHBand="0" w:noVBand="1" w:val="04A0"/>
        <w:tblInd w:type="dxa" w:w="120"/>
      </w:tblPr>
      <w:tblGrid>
        <w:gridCol w:w="1656"/>
        <w:gridCol w:w="936"/>
        <w:gridCol w:w="2664"/>
        <w:gridCol w:w="3770"/>
      </w:tblGrid>
      <w:tr>
        <w:trPr>
          <w:tblHeader w:val="true"/>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风险</w:t>
            </w:r>
          </w:p>
        </w:tc>
        <w:tc>
          <w:tcPr>
            <w:tcW w:type="dxa" w:w="9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等级</w:t>
            </w:r>
          </w:p>
        </w:tc>
        <w:tc>
          <w:tcPr>
            <w:tcW w:type="dxa" w:w="266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表现</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应对</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现有技术覆盖较广</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确认、授权、审计均已有公开</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把独立权利要求锁定为同源权限+失败关闭+原子状态机+当前权限复核+回放绑定的协同；正式查新后再定稿</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公开披露不明</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已部署、设计链接、截图和汇报可能外发</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48小时内完成公开日期核查并保存证据；必要时评估宽限期或调整方案</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发明人不准确</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仓库仅显示别名，不能直接作为法定署名</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进行贡献访谈、形成发明人确认表和贡献说明</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权属链不完整</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可能涉及员工、外包、顾问或合作方</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核对合同、职务发明制度和转让文件</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保护客体被视为规则</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确认、审批和权限可能被认为管理规则</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强调计算机内部数据处理、接口元数据、条件写入、并发一致性、故障恢复及测试效果</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充分公开不足</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暂无生产并发量化数据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补充时序图、部署拓扑、并发压测和权限撤销竞态数据</w:t>
            </w:r>
          </w:p>
        </w:tc>
      </w:tr>
      <w:t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侵权取证偏难</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部分关键步骤位于服务端</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加入客户端可观察确认序列、API状态迁移及日志字段；系统与方法双重布局</w:t>
            </w:r>
          </w:p>
        </w:tc>
      </w:tr>
      <w:t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易规避</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竞争者可用外部策略引擎或幂等键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权利要求使用“权限元数据同源读取”和“条件式唯一执行权获取”的功能性上位概念，说明书列举反射、策略读取、CAS、事务和唯一约束等替代实现</w:t>
            </w:r>
          </w:p>
        </w:tc>
      </w:tr>
    </w:tbl>
    <w:p>
      <w:pPr>
        <w:spacing w:after="40"/>
        <w:widowControl w:val="true"/>
      </w:pPr>
    </w:p>
    <w:p>
      <w:pPr>
        <w:pStyle w:val="Heading1"/>
        <w:widowControl w:val="true"/>
      </w:pPr>
      <w:r>
        <w:t>19. 专利组合建议</w:t>
      </w:r>
    </w:p>
    <w:tbl>
      <w:tblPr>
        <w:tblW w:type="dxa" w:w="9025"/>
        <w:jc w:val="left"/>
        <w:tblLayout w:type="fixed"/>
        <w:tblLook w:firstColumn="1" w:firstRow="1" w:lastColumn="0" w:lastRow="0" w:noHBand="0" w:noVBand="1" w:val="04A0"/>
        <w:tblInd w:type="dxa" w:w="120"/>
      </w:tblPr>
      <w:tblGrid>
        <w:gridCol w:w="1123"/>
        <w:gridCol w:w="2736"/>
        <w:gridCol w:w="3672"/>
        <w:gridCol w:w="1494"/>
      </w:tblGrid>
      <w:tr>
        <w:trPr>
          <w:tblHeader w:val="true"/>
        </w:trPr>
        <w:tc>
          <w:tcPr>
            <w:tcW w:type="dxa" w:w="112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级别</w:t>
            </w:r>
          </w:p>
        </w:tc>
        <w:tc>
          <w:tcPr>
            <w:tcW w:type="dxa" w:w="27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候选名称</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核心点</w:t>
            </w:r>
          </w:p>
        </w:tc>
        <w:tc>
          <w:tcPr>
            <w:tcW w:type="dxa" w:w="14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建议</w:t>
            </w:r>
          </w:p>
        </w:tc>
      </w:tr>
      <w:t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主案P0</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企业智能体权限约束式工具执行方法及系统</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权限同源、风险确认、原子抢占、二次校验和轨迹回放</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立即立项</w:t>
            </w:r>
          </w:p>
        </w:tc>
      </w:tr>
      <w:t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分案／后续P1</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基于业务场景隔离的多模型弹性路由方法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场景级目标排序、低时延选择、熔断隔离、回退尝试与用量观测</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单独查新，不与主案混写</w:t>
            </w:r>
          </w:p>
        </w:tc>
      </w:tr>
      <w:t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后续P1</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带权限级别和任务来源的企业知识检索方法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知识条目权限分值、用户级别过滤、任务附件自动入库和RAG引用</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单独评估公开日期</w:t>
            </w:r>
          </w:p>
        </w:tc>
      </w:tr>
      <w:t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研发任务证据链驱动的AI评价方法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进度证据、审计日志、完成评分与抗刷量饱和函数</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业务规则风险较高，需强化技术效果</w:t>
            </w:r>
          </w:p>
        </w:tc>
      </w:tr>
      <w:t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跨工作区隔离的任务讨论与临时参与方法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线程锚点、按线程已读游标、临时参与权和撤销</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可与协同安全方向组合检索</w:t>
            </w:r>
          </w:p>
        </w:tc>
      </w:tr>
    </w:tbl>
    <w:p>
      <w:pPr>
        <w:spacing w:after="40"/>
        <w:widowControl w:val="true"/>
      </w:pPr>
    </w:p>
    <w:p>
      <w:pPr>
        <w:pStyle w:val="Heading1"/>
        <w:widowControl w:val="true"/>
      </w:pPr>
      <w:r>
        <w:t>20. 立项验收标准</w:t>
      </w:r>
    </w:p>
    <w:tbl>
      <w:tblPr>
        <w:tblW w:type="dxa" w:w="9026"/>
        <w:jc w:val="left"/>
        <w:tblLayout w:type="fixed"/>
        <w:tblLook w:firstColumn="1" w:firstRow="1" w:lastColumn="0" w:lastRow="0" w:noHBand="0" w:noVBand="1" w:val="04A0"/>
        <w:tblInd w:type="dxa" w:w="120"/>
      </w:tblPr>
      <w:tblGrid>
        <w:gridCol w:w="1944"/>
        <w:gridCol w:w="5688"/>
        <w:gridCol w:w="1394"/>
      </w:tblGrid>
      <w:tr>
        <w:trPr>
          <w:tblHeader w:val="true"/>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验收项</w:t>
            </w:r>
          </w:p>
        </w:tc>
        <w:tc>
          <w:tcPr>
            <w:tcW w:type="dxa" w:w="56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通过标准</w:t>
            </w:r>
          </w:p>
        </w:tc>
        <w:tc>
          <w:tcPr>
            <w:tcW w:type="dxa" w:w="13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当前状态</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申请人信息完整</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正式名称、证件号、地址、邮编、联系人、电话、邮箱与公章一致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发明人准确</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自然人法定姓名、创造性贡献、署名顺序和职务发明关系已签字确认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披露核查完成</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每一渠道有公开／未公开结论、日期、对象和证据</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查新完成</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中文／英文／同族／非专利文献检索及最接近现有技术已确认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技术交底充分</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模块、流程、状态、字段、异常、替代实现、实施例和技术效果均可实施</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本稿已形成，待发明人复核</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权利要求有支持</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每个独立／从属特征均在说明书中有文字和附图依据</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待代理师完成</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正式文件齐套</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请求书、说明书、权利要求书、摘要、必要附图及证明文件页数／项数一致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待提交前核对</w:t>
            </w:r>
          </w:p>
        </w:tc>
      </w:tr>
      <w:t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电子提交成功</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取得申请号、申请日、受理通知书和缴费凭证</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期限管理建立</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实审、补正、答复、年费和PCT期限已进入台账</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bl>
    <w:p>
      <w:pPr>
        <w:spacing w:after="40"/>
        <w:widowControl w:val="true"/>
      </w:pPr>
    </w:p>
    <w:p>
      <w:pPr>
        <w:pStyle w:val="Heading1"/>
        <w:widowControl w:val="true"/>
      </w:pPr>
      <w:r>
        <w:t>21. 立项审批意见</w:t>
      </w:r>
    </w:p>
    <w:tbl>
      <w:tblPr>
        <w:tblW w:type="dxa" w:w="9026"/>
        <w:jc w:val="left"/>
        <w:tblLayout w:type="fixed"/>
        <w:tblLook w:firstColumn="1" w:firstRow="1" w:lastColumn="0" w:lastRow="0" w:noHBand="0" w:noVBand="1" w:val="04A0"/>
        <w:tblInd w:type="dxa" w:w="120"/>
      </w:tblPr>
      <w:tblGrid>
        <w:gridCol w:w="2520"/>
        <w:gridCol w:w="6506"/>
      </w:tblGrid>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技术负责人意见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同意立项  □ 修改后立项  □ 暂缓  □ 不立项</w:t>
              <w:br/>
              <w:t>意见：</w:t>
              <w:br/>
              <w:br/>
              <w:t>签字：________________  日期：____年__月__日</w:t>
            </w:r>
          </w:p>
        </w:tc>
      </w:tr>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知识产权负责人意见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  □ 补充检索  □ 补充权属文件  □ 补充披露核查</w:t>
              <w:br/>
              <w:t>意见：</w:t>
              <w:br/>
              <w:br/>
              <w:t>签字：________________  日期：____年__月__日</w:t>
            </w:r>
          </w:p>
        </w:tc>
      </w:tr>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法务／人力意见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职务发明及权属无异议  □ 需补充协议</w:t>
              <w:br/>
              <w:t>意见：</w:t>
              <w:br/>
              <w:br/>
              <w:t>签字：________________  日期：____年__月__日</w:t>
            </w:r>
          </w:p>
        </w:tc>
      </w:tr>
      <w:t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申请人最终批准</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批准中国发明专利  □ 同意提前公布  □ 同时请求实审  □ 启动PCT评估</w:t>
              <w:br/>
              <w:t>意见：</w:t>
              <w:br/>
              <w:br/>
              <w:t>盖章／签字：____________  日期：____年__月__日</w:t>
            </w:r>
          </w:p>
        </w:tc>
      </w:tr>
    </w:tbl>
    <w:p>
      <w:pPr>
        <w:spacing w:after="40"/>
        <w:widowControl w:val="true"/>
      </w:pPr>
    </w:p>
    <w:p>
      <w:pPr>
        <w:widowControl w:val="true"/>
      </w:pPr>
      <w:r>
        <w:br w:type="page"/>
      </w:r>
    </w:p>
    <w:p>
      <w:pPr>
        <w:pStyle w:val="Heading1"/>
        <w:widowControl w:val="true"/>
      </w:pPr>
      <w:r>
        <w:t>附件A：正式申报文件与请求书字段核对表</w:t>
      </w:r>
    </w:p>
    <w:p>
      <w:pPr>
        <w:pStyle w:val="Heading2"/>
        <w:widowControl w:val="true"/>
      </w:pPr>
      <w:r>
        <w:t>A.1 发明专利提交文件</w:t>
      </w:r>
    </w:p>
    <w:tbl>
      <w:tblPr>
        <w:tblW w:type="dxa" w:w="9026"/>
        <w:jc w:val="left"/>
        <w:tblLayout w:type="fixed"/>
        <w:tblLook w:firstColumn="1" w:firstRow="1" w:lastColumn="0" w:lastRow="0" w:noHBand="0" w:noVBand="1" w:val="04A0"/>
        <w:tblInd w:type="dxa" w:w="120"/>
      </w:tblPr>
      <w:tblGrid>
        <w:gridCol w:w="792"/>
        <w:gridCol w:w="1800"/>
        <w:gridCol w:w="1152"/>
        <w:gridCol w:w="3626"/>
        <w:gridCol w:w="1656"/>
      </w:tblGrid>
      <w:tr>
        <w:trPr>
          <w:tblHeader w:val="true"/>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文件</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必要性</w:t>
            </w:r>
          </w:p>
        </w:tc>
        <w:tc>
          <w:tcPr>
            <w:tcW w:type="dxa" w:w="36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核对要求</w:t>
            </w:r>
          </w:p>
        </w:tc>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状态</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发明专利请求书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发明名称、发明人、申请人、地址、联系人／代理、优先权、提前公布、实审、文件清单、签章等</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待编制</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权利要求书</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方法、系统、设备、介质、计算机程序产品；项数与请求书一致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待代理师撰写</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技术领域、背景、发明内容、附图说明、具体实施方式；清楚完整、可实现</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本稿提供底稿</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说明书摘要</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简要说明技术问题、方案要点和主要用途，不用于确定保护范围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已有初稿</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说明书附图</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本案必要</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系统架构、方法流程、状态机及必要时序图；图号与说明书一致</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已有3幅立项示意，待专利制图</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摘要附图</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有附图时指定</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选择最能说明主要技术特征的一幅并在请求书填写图号</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建议图2，待代理师确认</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委托代理时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申请人签章、代理机构信息</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待确定</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优先权文件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要求优先权时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在先申请信息及证明／副本；期限按适用规则</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当前无，待核定</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不丧失新颖性宽限期证明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主张时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必须符合适用情形并在法定期限内办理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待披露核查</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权利转让／权属证明</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非当然归属时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合作、委托、外包、离职人员或多主体权利安排</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待核定</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费用减缴备案／证明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如申请费减</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以提交时有效规则和已备案资格为准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待财务核定</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其他专项文件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按发明内容</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生物材料、序列表、遗传资源等；本案预判不适用，仍须请求书勾选确认</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预判不适用</w:t>
            </w:r>
          </w:p>
        </w:tc>
      </w:tr>
    </w:tbl>
    <w:p>
      <w:pPr>
        <w:spacing w:after="40"/>
        <w:widowControl w:val="true"/>
      </w:pPr>
    </w:p>
    <w:p>
      <w:pPr>
        <w:pStyle w:val="Heading2"/>
        <w:widowControl w:val="true"/>
      </w:pPr>
      <w:r>
        <w:t>A.2 请求书必须核对的关键字段</w:t>
      </w:r>
    </w:p>
    <w:tbl>
      <w:tblPr>
        <w:tblW w:type="dxa" w:w="9026"/>
        <w:jc w:val="left"/>
        <w:tblLayout w:type="fixed"/>
        <w:tblLook w:firstColumn="1" w:firstRow="1" w:lastColumn="0" w:lastRow="0" w:noHBand="0" w:noVBand="1" w:val="04A0"/>
        <w:tblInd w:type="dxa" w:w="120"/>
      </w:tblPr>
      <w:tblGrid>
        <w:gridCol w:w="2160"/>
        <w:gridCol w:w="5760"/>
        <w:gridCol w:w="1106"/>
      </w:tblGrid>
      <w:tr>
        <w:trPr>
          <w:tblHeader w:val="true"/>
        </w:trPr>
        <w:tc>
          <w:tcPr>
            <w:tcW w:type="dxa" w:w="21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字段</w:t>
            </w:r>
          </w:p>
        </w:tc>
        <w:tc>
          <w:tcPr>
            <w:tcW w:type="dxa" w:w="57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要求</w:t>
            </w:r>
          </w:p>
        </w:tc>
        <w:tc>
          <w:tcPr>
            <w:tcW w:type="dxa" w:w="110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状态</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发明名称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简短、准确，一般不超过25个字；当前拟名需代理师最终计数与校准</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待确认</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仅自然人；法定姓名、国籍及请求书要求的身份信息</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真实姓名／单位正式全称、地址、邮编、统一社会信用代码／证件号码、申请人类型</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联系人／代理机构</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未委托时联系人须为本单位工作人员；委托时填写机构、代理师和代码</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分案／生物材料／序列表／遗传资源</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逐项明确适用性，不留模糊</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预判均不适用，待签字确认</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优先权／宽限期／保密／同日双申</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逐项作出书面选择并准备证明文件</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必须核定</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提前公布／实审／延迟审查</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按申报策略勾选；当前建议提前公布并同时实审，不延迟</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申请人确认</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摘要附图</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从说明书附图中指定最能说明主要技术特征的一幅并填写图号</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建议图2</w:t>
            </w:r>
          </w:p>
        </w:tc>
      </w:tr>
      <w:t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文件份数／页数／权利要求项数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以最终上传文件为准逐项一致</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签字／盖章</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申请人或代理机构按规则签章，多申请人时全部处理</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bl>
    <w:p>
      <w:pPr>
        <w:spacing w:after="40"/>
        <w:widowControl w:val="true"/>
      </w:pPr>
    </w:p>
    <w:p>
      <w:pPr>
        <w:pStyle w:val="Heading1"/>
        <w:widowControl w:val="true"/>
      </w:pPr>
      <w:r>
        <w:t>附件B：技术交底补充资料清单</w:t>
      </w:r>
    </w:p>
    <w:tbl>
      <w:tblPr>
        <w:tblW w:type="dxa" w:w="9026"/>
        <w:jc w:val="left"/>
        <w:tblLayout w:type="fixed"/>
        <w:tblLook w:firstColumn="1" w:firstRow="1" w:lastColumn="0" w:lastRow="0" w:noHBand="0" w:noVBand="1" w:val="04A0"/>
        <w:tblInd w:type="dxa" w:w="120"/>
      </w:tblPr>
      <w:tblGrid>
        <w:gridCol w:w="792"/>
        <w:gridCol w:w="1800"/>
        <w:gridCol w:w="5112"/>
        <w:gridCol w:w="1322"/>
      </w:tblGrid>
      <w:tr>
        <w:trPr>
          <w:tblHeader w:val="true"/>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资料</w:t>
            </w:r>
          </w:p>
        </w:tc>
        <w:tc>
          <w:tcPr>
            <w:tcW w:type="dxa" w:w="51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内容要求</w:t>
            </w:r>
          </w:p>
        </w:tc>
        <w:tc>
          <w:tcPr>
            <w:tcW w:type="dxa" w:w="132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责任人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生产部署拓扑</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服务实例数、数据库、消息通道、负载均衡及故障恢复路径</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权限元数据示例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至少一个方法级、一个类级、一个空声明、一个无声明案例</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后端负责人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确认动作时序</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模型、会话服务、动作库、业务服务、审计库、前端之间的时序</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架构负责人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并发压测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2／10／100个并发确认下的命中数、执行次数、延迟及错误</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权限撤销竞态</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卡生成后撤权、资源转移、用户禁用等场景的结果</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安全负责人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故障恢复数据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下游超时／异常时回退pending及重试成功情况</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可替代实现</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权限策略服务、装饰器／注解、配置中心、CAS／事务／唯一键／幂等令牌</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发明人／代理师</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公开披露证据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设计链接权限、上线日志、客户协议、仓库可见性、演示材料与日期</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法务／产品</w:t>
            </w:r>
          </w:p>
        </w:tc>
      </w:tr>
      <w:t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发明人贡献说明</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每人提出的实质性技术特征及形成时间</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项目负责人</w:t>
            </w:r>
          </w:p>
        </w:tc>
      </w:tr>
      <w:t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权属文件</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劳动合同、岗位职责、外包／顾问／合作协议及知识产权条款</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法务／人力</w:t>
            </w:r>
          </w:p>
        </w:tc>
      </w:tr>
    </w:tbl>
    <w:p>
      <w:pPr>
        <w:spacing w:after="40"/>
        <w:widowControl w:val="true"/>
      </w:pPr>
    </w:p>
    <w:p>
      <w:pPr>
        <w:pStyle w:val="Heading1"/>
        <w:widowControl w:val="true"/>
      </w:pPr>
      <w:r>
        <w:t>附件C：项目代码证据矩阵</w:t>
      </w:r>
    </w:p>
    <w:tbl>
      <w:tblPr>
        <w:tblW w:type="dxa" w:w="9026"/>
        <w:jc w:val="left"/>
        <w:tblLayout w:type="fixed"/>
        <w:tblLook w:firstColumn="1" w:firstRow="1" w:lastColumn="0" w:lastRow="0" w:noHBand="0" w:noVBand="1" w:val="04A0"/>
        <w:tblInd w:type="dxa" w:w="120"/>
      </w:tblPr>
      <w:tblGrid>
        <w:gridCol w:w="1872"/>
        <w:gridCol w:w="3312"/>
        <w:gridCol w:w="2952"/>
        <w:gridCol w:w="890"/>
      </w:tblGrid>
      <w:tr>
        <w:trPr>
          <w:tblHeader w:val="true"/>
        </w:trPr>
        <w:tc>
          <w:tcPr>
            <w:tcW w:type="dxa" w:w="18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技术特征</w:t>
            </w:r>
          </w:p>
        </w:tc>
        <w:tc>
          <w:tcPr>
            <w:tcW w:type="dxa" w:w="33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代码位置</w:t>
            </w:r>
          </w:p>
        </w:tc>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关键对象／函数</w:t>
            </w:r>
          </w:p>
        </w:tc>
        <w:tc>
          <w:tcPr>
            <w:tcW w:type="dxa" w:w="89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验证</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权限同源反射与失败关闭</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apps/api/src/modules/chat/agent-permission.ts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requiredPermissionsFor、checkAgentPermission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chat-agent-permission.spec.ts</w:t>
            </w:r>
          </w:p>
        </w:tc>
      </w:tr>
      <w:t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工具注册／风险／目标接口映射</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apps/api/src/modules/chat/agent-actions.ts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AGENT_ACTIONS、risk、controller、handler、normalize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chat-agent-actions.spec.ts</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待确认动作状态机</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apps/api/src/modules/chat/chat-tools.service.ts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savePendingAction、confirmPendingAction、cancelPendingAction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数据库动作记录</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apps/api/prisma/schema.prisma</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ChatPendingAction模型与状态说明</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流式调用定型</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apps/api/src/modules/chat/react-loop.ts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mergeToolCallDeltas、finalizeToolCalls、shouldMountTools</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相关ReAct单测</w:t>
            </w:r>
          </w:p>
        </w:tc>
      </w:tr>
      <w:t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工具轨迹与消息绑定</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apps/api/src/modules/chat/chat.service.ts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toolStepRecords、事务落库、bindActionsToMessage后done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刷新／工具相关测试</w:t>
            </w:r>
          </w:p>
        </w:tc>
      </w:tr>
      <w:t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前端确认卡与回放</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src/app/components/MateChatBubble.tsx</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pending-actions恢复、toolSteps水合、确认／取消界面</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前端行为验证</w:t>
            </w:r>
          </w:p>
        </w:tc>
      </w:tr>
    </w:tbl>
    <w:p>
      <w:pPr>
        <w:spacing w:after="40"/>
        <w:widowControl w:val="true"/>
      </w:pPr>
    </w:p>
    <w:p>
      <w:pPr>
        <w:pStyle w:val="Heading1"/>
        <w:widowControl w:val="true"/>
      </w:pPr>
      <w:r>
        <w:t>附件D：依据与初步检索记录</w:t>
      </w:r>
    </w:p>
    <w:p>
      <w:pPr>
        <w:spacing w:before="0" w:after="120" w:line="276" w:lineRule="auto"/>
        <w:widowControl w:val="true"/>
      </w:pPr>
      <w:r>
        <w:rPr>
          <w:rFonts w:ascii="Calibri" w:hAnsi="Calibri" w:eastAsia="宋体"/>
          <w:b/>
          <w:color w:val="000000"/>
          <w:sz w:val="19"/>
        </w:rPr>
        <w:t>国家知识产权局：如何申请发明专利／发明专利请求书填表说明：</w:t>
      </w:r>
      <w:hyperlink r:id="rId14">
        <w:r>
          <w:rPr>
            <w:rFonts w:ascii="Calibri" w:hAnsi="Calibri" w:eastAsia="宋体"/>
            <w:color w:val="2E74B5"/>
            <w:u w:val="single"/>
          </w:rPr>
          <w:t>https://www.cnipa.gov.cn/jact/front/mailpubdetail.do?sysid=6&amp;transactId=442860</w:t>
        </w:r>
      </w:hyperlink>
    </w:p>
    <w:p>
      <w:pPr>
        <w:spacing w:before="0" w:after="120" w:line="276" w:lineRule="auto"/>
        <w:widowControl w:val="true"/>
      </w:pPr>
      <w:r>
        <w:rPr>
          <w:rFonts w:ascii="Calibri" w:hAnsi="Calibri" w:eastAsia="宋体"/>
          <w:b/>
          <w:color w:val="000000"/>
          <w:sz w:val="19"/>
        </w:rPr>
        <w:t>国家知识产权局：《专利审查指南》（2023）修改解读（四）—涉及计算机程序的发明专利申请审查：</w:t>
      </w:r>
      <w:hyperlink r:id="rId15">
        <w:r>
          <w:rPr>
            <w:rFonts w:ascii="Calibri" w:hAnsi="Calibri" w:eastAsia="宋体"/>
            <w:color w:val="2E74B5"/>
            <w:u w:val="single"/>
          </w:rPr>
          <w:t>https://www.cnipa.gov.cn/art/2024/1/18/art_2199_189877.html</w:t>
        </w:r>
      </w:hyperlink>
    </w:p>
    <w:p>
      <w:pPr>
        <w:spacing w:before="0" w:after="120" w:line="276" w:lineRule="auto"/>
        <w:widowControl w:val="true"/>
      </w:pPr>
      <w:r>
        <w:rPr>
          <w:rFonts w:ascii="Calibri" w:hAnsi="Calibri" w:eastAsia="宋体"/>
          <w:b/>
          <w:color w:val="000000"/>
          <w:sz w:val="19"/>
        </w:rPr>
        <w:t>国家知识产权局：人工智能相关发明专利申请指引（试行）：</w:t>
      </w:r>
      <w:hyperlink r:id="rId16">
        <w:r>
          <w:rPr>
            <w:rFonts w:ascii="Calibri" w:hAnsi="Calibri" w:eastAsia="宋体"/>
            <w:color w:val="2E74B5"/>
            <w:u w:val="single"/>
          </w:rPr>
          <w:t>https://www.cnipa.gov.cn/art/2024/12/31/art_66_196988.html</w:t>
        </w:r>
      </w:hyperlink>
    </w:p>
    <w:p>
      <w:pPr>
        <w:spacing w:before="0" w:after="120" w:line="276" w:lineRule="auto"/>
        <w:widowControl w:val="true"/>
      </w:pPr>
      <w:r>
        <w:rPr>
          <w:rFonts w:ascii="Calibri" w:hAnsi="Calibri" w:eastAsia="宋体"/>
          <w:b/>
          <w:color w:val="000000"/>
          <w:sz w:val="19"/>
        </w:rPr>
        <w:t>国家知识产权局：关于修改《专利审查指南》的决定（局令第84号，自2026-01-01施行）：</w:t>
      </w:r>
      <w:hyperlink r:id="rId17">
        <w:r>
          <w:rPr>
            <w:rFonts w:ascii="Calibri" w:hAnsi="Calibri" w:eastAsia="宋体"/>
            <w:color w:val="2E74B5"/>
            <w:u w:val="single"/>
          </w:rPr>
          <w:t>https://www.cnipa.gov.cn/art/2025/11/13/art_74_202560.html</w:t>
        </w:r>
      </w:hyperlink>
    </w:p>
    <w:p>
      <w:pPr>
        <w:spacing w:before="0" w:after="120" w:line="276" w:lineRule="auto"/>
        <w:widowControl w:val="true"/>
      </w:pPr>
      <w:r>
        <w:rPr>
          <w:rFonts w:ascii="Calibri" w:hAnsi="Calibri" w:eastAsia="宋体"/>
          <w:b/>
          <w:color w:val="000000"/>
          <w:sz w:val="19"/>
        </w:rPr>
        <w:t>US20250321768A1 — Digital assistant service using generative artificial intelligence：</w:t>
      </w:r>
      <w:hyperlink r:id="rId18">
        <w:r>
          <w:rPr>
            <w:rFonts w:ascii="Calibri" w:hAnsi="Calibri" w:eastAsia="宋体"/>
            <w:color w:val="2E74B5"/>
            <w:u w:val="single"/>
          </w:rPr>
          <w:t>https://patents.google.com/patent/US20250321768A1/en</w:t>
        </w:r>
      </w:hyperlink>
    </w:p>
    <w:p>
      <w:pPr>
        <w:spacing w:before="0" w:after="120" w:line="276" w:lineRule="auto"/>
        <w:widowControl w:val="true"/>
      </w:pPr>
      <w:r>
        <w:rPr>
          <w:rFonts w:ascii="Calibri" w:hAnsi="Calibri" w:eastAsia="宋体"/>
          <w:b/>
          <w:color w:val="000000"/>
          <w:sz w:val="19"/>
        </w:rPr>
        <w:t>US20260093503A1 — Language model tool calling and execution platform：</w:t>
      </w:r>
      <w:hyperlink r:id="rId19">
        <w:r>
          <w:rPr>
            <w:rFonts w:ascii="Calibri" w:hAnsi="Calibri" w:eastAsia="宋体"/>
            <w:color w:val="2E74B5"/>
            <w:u w:val="single"/>
          </w:rPr>
          <w:t>https://patents.google.com/patent/US20260093503A1/en</w:t>
        </w:r>
      </w:hyperlink>
    </w:p>
    <w:p>
      <w:pPr>
        <w:spacing w:before="0" w:after="120" w:line="276" w:lineRule="auto"/>
        <w:widowControl w:val="true"/>
      </w:pPr>
      <w:r>
        <w:rPr>
          <w:rFonts w:ascii="Calibri" w:hAnsi="Calibri" w:eastAsia="宋体"/>
          <w:b/>
          <w:color w:val="000000"/>
          <w:sz w:val="19"/>
        </w:rPr>
        <w:t>US12524499B2 — Methods for implementing artificial intelligence capabilities in software applications：</w:t>
      </w:r>
      <w:hyperlink r:id="rId20">
        <w:r>
          <w:rPr>
            <w:rFonts w:ascii="Calibri" w:hAnsi="Calibri" w:eastAsia="宋体"/>
            <w:color w:val="2E74B5"/>
            <w:u w:val="single"/>
          </w:rPr>
          <w:t>https://patents.google.com/patent/US12524499B2/en</w:t>
        </w:r>
      </w:hyperlink>
    </w:p>
    <w:p>
      <w:pPr>
        <w:spacing w:before="0" w:after="120" w:line="276" w:lineRule="auto"/>
        <w:widowControl w:val="true"/>
      </w:pPr>
      <w:r>
        <w:rPr>
          <w:rFonts w:ascii="Calibri" w:hAnsi="Calibri" w:eastAsia="宋体"/>
          <w:b/>
          <w:color w:val="000000"/>
          <w:sz w:val="19"/>
        </w:rPr>
        <w:t>US20250094549A1 — Compliant and auditable way for a user to perform an action without sufficient privileges：</w:t>
      </w:r>
      <w:hyperlink r:id="rId21">
        <w:r>
          <w:rPr>
            <w:rFonts w:ascii="Calibri" w:hAnsi="Calibri" w:eastAsia="宋体"/>
            <w:color w:val="2E74B5"/>
            <w:u w:val="single"/>
          </w:rPr>
          <w:t>https://patents.google.com/patent/US20250094549A1/en</w:t>
        </w:r>
      </w:hyperlink>
    </w:p>
    <w:p>
      <w:pPr>
        <w:spacing w:before="0" w:after="120" w:line="264" w:lineRule="auto"/>
        <w:jc w:val="both"/>
        <w:widowControl w:val="true"/>
      </w:pPr>
      <w:r>
        <w:rPr>
          <w:rFonts w:ascii="Calibri" w:hAnsi="Calibri" w:eastAsia="宋体"/>
          <w:color w:val="666666"/>
          <w:sz w:val="22"/>
        </w:rPr>
        <w:t>检索限制：以上仅为立项阶段可识别的高相关公开，未覆盖全部中文专利、同族、审查档案、非专利文献及申请日前新公开资料。任何“具有新颖性／创造性”的最终结论应以代理师完成的正式检索和权利要求文本为准。</w:t>
      </w:r>
    </w:p>
    <w:p>
      <w:pPr>
        <w:pStyle w:val="Heading1"/>
        <w:widowControl w:val="true"/>
      </w:pPr>
      <w:r>
        <w:t>附件E：提交前最终签核清单</w:t>
      </w:r>
    </w:p>
    <w:tbl>
      <w:tblPr>
        <w:tblW w:type="dxa" w:w="9026"/>
        <w:jc w:val="left"/>
        <w:tblLayout w:type="fixed"/>
        <w:tblLook w:firstColumn="1" w:firstRow="1" w:lastColumn="0" w:lastRow="0" w:noHBand="0" w:noVBand="1" w:val="04A0"/>
        <w:tblInd w:type="dxa" w:w="120"/>
      </w:tblPr>
      <w:tblGrid>
        <w:gridCol w:w="605"/>
        <w:gridCol w:w="7658"/>
        <w:gridCol w:w="763"/>
      </w:tblGrid>
      <w:tr>
        <w:trPr>
          <w:tblHeader w:val="true"/>
        </w:trPr>
        <w:tc>
          <w:tcPr>
            <w:tcW w:type="dxa" w:w="605"/>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序</w:t>
            </w:r>
          </w:p>
        </w:tc>
        <w:tc>
          <w:tcPr>
            <w:tcW w:type="dxa" w:w="765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最终核对事项</w:t>
            </w:r>
          </w:p>
        </w:tc>
        <w:tc>
          <w:tcPr>
            <w:tcW w:type="dxa" w:w="76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完成</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申请人、发明人、地址、证件和联系人信息已经两人复核</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发明人均为自然人，贡献说明和署名顺序已经本人确认</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3</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权属、外包、合作、职务发明和开源许可没有未处理争议</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公开披露时间线及证据已经法务／代理师审阅</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5</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正式查新已覆盖中文、英文、同族、非专利文献及项目自身公开</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独立权利要求保留同源权限、失败关闭、原子抢占、当前权限复核和轨迹绑定的协同</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7</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说明书逐项支持全部权利要求，术语、图号、附图标记前后一致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8</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摘要、摘要附图、说明书附图及请求书图号一致</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9</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请求书文件页数、份数及权利要求项数与最终上传文件一致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10</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提前公布、实审、延迟审查、优先权、宽限期、保密和同日双申选项均有书面决定</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电子提交后已保存申请号、申请日、受理通知和缴费凭证</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审查、答复、年费、PCT／国外申请期限已登记到责任人台账</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bl>
    <w:p>
      <w:pPr>
        <w:spacing w:after="40"/>
        <w:widowControl w:val="true"/>
      </w:pPr>
    </w:p>
    <w:p>
      <w:pPr>
        <w:spacing w:before="320" w:after="0" w:line="264" w:lineRule="auto"/>
        <w:jc w:val="center"/>
        <w:widowControl w:val="true"/>
      </w:pPr>
      <w:r/>
    </w:p>
    <w:p>
      <w:r>
        <w:br w:type="page"/>
      </w:r>
    </w:p>
    <w:p>
      <w:pPr>
        <w:pStyle w:val="Heading1"/>
        <w:keepNext/>
      </w:pPr>
      <w:r>
        <w:t>附件F：权利要求书讨论草案（V2完善版新增）</w:t>
      </w:r>
    </w:p>
    <w:p>
      <w:pPr>
        <w:pStyle w:val="Heading2"/>
        <w:keepNext/>
      </w:pPr>
      <w:r>
        <w:t>F.1 使用说明与定稿边界</w:t>
      </w:r>
    </w:p>
    <w:tbl>
      <w:tblPr>
        <w:tblW w:type="dxa" w:w="9026"/>
        <w:tblLayout w:type="fixed"/>
        <w:tblLook w:firstColumn="1" w:firstRow="1" w:lastColumn="0" w:lastRow="0" w:noHBand="0" w:noVBand="1" w:val="04A0"/>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Ind w:w="120" w:type="dxa"/>
      </w:tblPr>
      <w:tblGrid>
        <w:gridCol w:w="9026"/>
      </w:tblGrid>
      <w:tr>
        <w:tc>
          <w:tcPr>
            <w:tcW w:type="dxa" w:w="9026"/>
            <w:shd w:fill="FFF2CC"/>
            <w:vAlign w:val="center"/>
          </w:tcPr>
          <w:p>
            <w:pPr>
              <w:spacing w:before="30" w:after="30" w:line="252" w:lineRule="auto"/>
              <w:jc w:val="left"/>
            </w:pPr>
            <w:r>
              <w:rPr>
                <w:rFonts w:ascii="Arial" w:hAnsi="Arial" w:eastAsia="微软雅黑"/>
                <w:b/>
                <w:color w:val="222222"/>
                <w:sz w:val="19"/>
              </w:rPr>
              <w:t>内部讨论稿，不可直接提交。以下15项用于锁定保护层级和核对说明书支持关系；正式文本必须在完整查新后，由专利代理师结合最接近现有技术、单一性、清楚性、支持性及审查意见风险进行删改。</w:t>
            </w:r>
          </w:p>
        </w:tc>
      </w:tr>
    </w:tbl>
    <w:p>
      <w:pPr>
        <w:spacing w:after="20"/>
      </w:pPr>
    </w:p>
    <w:p>
      <w:pPr>
        <w:spacing w:after="100" w:line="324" w:lineRule="auto"/>
        <w:ind w:firstLine="420"/>
      </w:pPr>
      <w:r>
        <w:rPr>
          <w:rFonts w:ascii="Arial" w:hAnsi="Arial" w:eastAsia="微软雅黑"/>
          <w:b w:val="0"/>
          <w:color w:val="222222"/>
          <w:sz w:val="21"/>
        </w:rPr>
        <w:t>撰写原则：独立权利要求不把创新点拆成松散并列步骤，而以“权限同源读取与失败关闭—受限工具暴露—风险确认记录—条件式唯一执行权获取—执行前当前权限复核—状态回退与轨迹绑定”的因果链形成整体技术方案。</w:t>
      </w:r>
    </w:p>
    <w:p>
      <w:pPr>
        <w:spacing w:after="100" w:line="324" w:lineRule="auto"/>
        <w:ind w:firstLine="420"/>
      </w:pPr>
      <w:r>
        <w:rPr>
          <w:rFonts w:ascii="Arial" w:hAnsi="Arial" w:eastAsia="微软雅黑"/>
          <w:b w:val="0"/>
          <w:color w:val="222222"/>
          <w:sz w:val="21"/>
        </w:rPr>
        <w:t>保护层级：权利要求1为方法独立项；权利要求2—11从权限解析、风险分级、状态机、并发一致性和回放机制逐层收窄；权利要求12为系统独立项；权利要求13—15分别覆盖电子设备、计算机可读存储介质和计算机程序产品。</w:t>
      </w:r>
    </w:p>
    <w:p>
      <w:pPr>
        <w:pStyle w:val="Heading2"/>
        <w:keepNext/>
      </w:pPr>
      <w:r>
        <w:t>F.2 权利要求草案</w:t>
      </w:r>
    </w:p>
    <w:p>
      <w:pPr>
        <w:spacing w:after="140" w:line="324" w:lineRule="auto"/>
        <w:ind w:left="113" w:hanging="113"/>
      </w:pPr>
      <w:r>
        <w:rPr>
          <w:rFonts w:ascii="Arial" w:hAnsi="Arial" w:eastAsia="微软雅黑"/>
          <w:b/>
          <w:color w:val="1F4E78"/>
          <w:sz w:val="21"/>
        </w:rPr>
        <w:t xml:space="preserve">1. </w:t>
      </w:r>
      <w:r>
        <w:rPr>
          <w:rFonts w:ascii="Arial" w:hAnsi="Arial" w:eastAsia="微软雅黑"/>
          <w:b/>
          <w:color w:val="7F6000"/>
          <w:sz w:val="19"/>
        </w:rPr>
        <w:t>〔方法独立项〕</w:t>
      </w:r>
      <w:r>
        <w:rPr>
          <w:rFonts w:ascii="Arial" w:hAnsi="Arial" w:eastAsia="微软雅黑"/>
          <w:b w:val="0"/>
          <w:color w:val="222222"/>
          <w:sz w:val="21"/>
        </w:rPr>
        <w:t>一种企业智能体的权限约束式工具执行方法，其特征在于，由电子设备执行，所述方法包括：获取当前用户的身份信息、用户权限集合、业务上下文和资源访问范围；针对候选工具所关联的目标业务接口，从所述目标业务接口的权限声明源读取权限元数据，在未读取到有效权限声明或者读取到的权限声明为空时，将对应候选工具标记为不可用，并基于有效权限声明与所述用户权限集合的匹配结果生成允许工具集合；仅将所述允许工具集合的结构化工具定义提供给大语言模型，并接收所述大语言模型生成的结构化工具调用，对所述结构化工具调用的参数进行校验和归一化，获得执行载荷；基于所述工具调用的工具类型、操作方式和影响范围确定风险级别，当所述风险级别满足预设确认条件时，在不执行业务写操作的情况下，将所述执行载荷、用户标识、会话标识、消息关联信息、失效时间和待确认状态持久化为动作记录，并输出与所述动作记录对应的确认信息；响应于针对所述动作记录的确认请求，在动作标识和用户标识匹配、所述动作记录处于待确认状态且未超过所述失效时间的条件下，通过条件式原子更新将所述动作记录从待确认状态更新为执行中状态，并在所述条件式原子更新影响预定数量记录时取得唯一执行权；取得所述唯一执行权后，从所述权限声明源重新读取当前权限元数据，并根据所述当前权限元数据、当前用户权限集合和当前资源访问范围进行执行前复核，在复核通过时调用所述目标业务接口执行所述执行载荷；在执行成功时将所述动作记录更新为已执行状态，在执行异常时将处于执行中状态的所述动作记录回退为待确认状态；以及持久化所述工具调用的步骤记录，并在会话完成事件发出前建立所述动作记录、所述步骤记录和对应助手消息之间的关联。</w:t>
      </w:r>
    </w:p>
    <w:p>
      <w:pPr>
        <w:spacing w:after="140" w:line="324" w:lineRule="auto"/>
        <w:ind w:left="113" w:hanging="113"/>
      </w:pPr>
      <w:r>
        <w:rPr>
          <w:rFonts w:ascii="Arial" w:hAnsi="Arial" w:eastAsia="微软雅黑"/>
          <w:b/>
          <w:color w:val="1F4E78"/>
          <w:sz w:val="21"/>
        </w:rPr>
        <w:t xml:space="preserve">2. </w:t>
      </w:r>
      <w:r>
        <w:rPr>
          <w:rFonts w:ascii="Arial" w:hAnsi="Arial" w:eastAsia="微软雅黑"/>
          <w:b/>
          <w:color w:val="7F6000"/>
          <w:sz w:val="19"/>
        </w:rPr>
        <w:t>〔权限解析〕</w:t>
      </w:r>
      <w:r>
        <w:rPr>
          <w:rFonts w:ascii="Arial" w:hAnsi="Arial" w:eastAsia="微软雅黑"/>
          <w:b w:val="0"/>
          <w:color w:val="222222"/>
          <w:sz w:val="21"/>
        </w:rPr>
        <w:t>根据权利要求1所述的方法，其特征在于，所述从目标业务接口的权限声明源读取权限元数据包括：优先读取所述目标业务接口的方法级权限元数据；在未读取到方法级权限元数据时读取所述目标业务接口所属业务控制器的类级权限元数据；在方法级权限元数据和类级权限元数据均存在时，以所述方法级权限元数据覆盖所述类级权限元数据。</w:t>
      </w:r>
    </w:p>
    <w:p>
      <w:pPr>
        <w:spacing w:after="140" w:line="324" w:lineRule="auto"/>
        <w:ind w:left="113" w:hanging="113"/>
      </w:pPr>
      <w:r>
        <w:rPr>
          <w:rFonts w:ascii="Arial" w:hAnsi="Arial" w:eastAsia="微软雅黑"/>
          <w:b/>
          <w:color w:val="1F4E78"/>
          <w:sz w:val="21"/>
        </w:rPr>
        <w:t xml:space="preserve">3. </w:t>
      </w:r>
      <w:r>
        <w:rPr>
          <w:rFonts w:ascii="Arial" w:hAnsi="Arial" w:eastAsia="微软雅黑"/>
          <w:b/>
          <w:color w:val="7F6000"/>
          <w:sz w:val="19"/>
        </w:rPr>
        <w:t>〔失败关闭〕</w:t>
      </w:r>
      <w:r>
        <w:rPr>
          <w:rFonts w:ascii="Arial" w:hAnsi="Arial" w:eastAsia="微软雅黑"/>
          <w:b w:val="0"/>
          <w:color w:val="222222"/>
          <w:sz w:val="21"/>
        </w:rPr>
        <w:t>根据权利要求1或2所述的方法，其特征在于，对于未读取到权限声明、权限声明解析失败或者权限声明为空的候选工具，不向所述大语言模型提供对应结构化工具定义，并拒绝执行对应工具调用；所述拒绝不因当前用户具有管理员通配权限而被旁路。</w:t>
      </w:r>
    </w:p>
    <w:p>
      <w:pPr>
        <w:spacing w:after="140" w:line="324" w:lineRule="auto"/>
        <w:ind w:left="113" w:hanging="113"/>
      </w:pPr>
      <w:r>
        <w:rPr>
          <w:rFonts w:ascii="Arial" w:hAnsi="Arial" w:eastAsia="微软雅黑"/>
          <w:b/>
          <w:color w:val="1F4E78"/>
          <w:sz w:val="21"/>
        </w:rPr>
        <w:t xml:space="preserve">4. </w:t>
      </w:r>
      <w:r>
        <w:rPr>
          <w:rFonts w:ascii="Arial" w:hAnsi="Arial" w:eastAsia="微软雅黑"/>
          <w:b/>
          <w:color w:val="7F6000"/>
          <w:sz w:val="19"/>
        </w:rPr>
        <w:t>〔分级执行〕</w:t>
      </w:r>
      <w:r>
        <w:rPr>
          <w:rFonts w:ascii="Arial" w:hAnsi="Arial" w:eastAsia="微软雅黑"/>
          <w:b w:val="0"/>
          <w:color w:val="222222"/>
          <w:sz w:val="21"/>
        </w:rPr>
        <w:t>根据权利要求1所述的方法，其特征在于，所述风险级别至少包括直接执行级和确认执行级；对直接执行级工具在权限校验和载荷归一化通过后执行，对确认执行级工具生成所述动作记录和确认信息；所述风险级别由工具注册对象中的风险属性、操作方式和归一化载荷的影响范围中的至少一项确定。</w:t>
      </w:r>
    </w:p>
    <w:p>
      <w:pPr>
        <w:spacing w:after="140" w:line="324" w:lineRule="auto"/>
        <w:ind w:left="113" w:hanging="113"/>
      </w:pPr>
      <w:r>
        <w:rPr>
          <w:rFonts w:ascii="Arial" w:hAnsi="Arial" w:eastAsia="微软雅黑"/>
          <w:b/>
          <w:color w:val="1F4E78"/>
          <w:sz w:val="21"/>
        </w:rPr>
        <w:t xml:space="preserve">5. </w:t>
      </w:r>
      <w:r>
        <w:rPr>
          <w:rFonts w:ascii="Arial" w:hAnsi="Arial" w:eastAsia="微软雅黑"/>
          <w:b/>
          <w:color w:val="7F6000"/>
          <w:sz w:val="19"/>
        </w:rPr>
        <w:t>〔确认载荷〕</w:t>
      </w:r>
      <w:r>
        <w:rPr>
          <w:rFonts w:ascii="Arial" w:hAnsi="Arial" w:eastAsia="微软雅黑"/>
          <w:b w:val="0"/>
          <w:color w:val="222222"/>
          <w:sz w:val="21"/>
        </w:rPr>
        <w:t>根据权利要求1或4所述的方法，其特征在于，所述动作记录还包括工具标识、规范化执行载荷和确认卡数据；所述确认卡数据包括动作标识、工具显示标签、操作摘要、影响字段和到期时间中的至少一项，并且实际业务写操作使用所述持久化的规范化执行载荷而非来自确认请求的可变载荷。</w:t>
      </w:r>
    </w:p>
    <w:p>
      <w:pPr>
        <w:spacing w:after="140" w:line="324" w:lineRule="auto"/>
        <w:ind w:left="113" w:hanging="113"/>
      </w:pPr>
      <w:r>
        <w:rPr>
          <w:rFonts w:ascii="Arial" w:hAnsi="Arial" w:eastAsia="微软雅黑"/>
          <w:b/>
          <w:color w:val="1F4E78"/>
          <w:sz w:val="21"/>
        </w:rPr>
        <w:t xml:space="preserve">6. </w:t>
      </w:r>
      <w:r>
        <w:rPr>
          <w:rFonts w:ascii="Arial" w:hAnsi="Arial" w:eastAsia="微软雅黑"/>
          <w:b/>
          <w:color w:val="7F6000"/>
          <w:sz w:val="19"/>
        </w:rPr>
        <w:t>〔状态机〕</w:t>
      </w:r>
      <w:r>
        <w:rPr>
          <w:rFonts w:ascii="Arial" w:hAnsi="Arial" w:eastAsia="微软雅黑"/>
          <w:b w:val="0"/>
          <w:color w:val="222222"/>
          <w:sz w:val="21"/>
        </w:rPr>
        <w:t>根据权利要求1所述的方法，其特征在于，所述动作记录的状态至少包括待确认状态、执行中状态、已执行状态和已取消状态；待确认状态允许迁移至执行中状态或者已取消状态，执行中状态允许在执行成功时迁移至已执行状态并在执行异常时回退至待确认状态，已执行状态和已取消状态为禁止再次执行的终止状态。</w:t>
      </w:r>
    </w:p>
    <w:p>
      <w:pPr>
        <w:spacing w:after="140" w:line="324" w:lineRule="auto"/>
        <w:ind w:left="113" w:hanging="113"/>
      </w:pPr>
      <w:r>
        <w:rPr>
          <w:rFonts w:ascii="Arial" w:hAnsi="Arial" w:eastAsia="微软雅黑"/>
          <w:b/>
          <w:color w:val="1F4E78"/>
          <w:sz w:val="21"/>
        </w:rPr>
        <w:t xml:space="preserve">7. </w:t>
      </w:r>
      <w:r>
        <w:rPr>
          <w:rFonts w:ascii="Arial" w:hAnsi="Arial" w:eastAsia="微软雅黑"/>
          <w:b/>
          <w:color w:val="7F6000"/>
          <w:sz w:val="19"/>
        </w:rPr>
        <w:t>〔唯一执行权〕</w:t>
      </w:r>
      <w:r>
        <w:rPr>
          <w:rFonts w:ascii="Arial" w:hAnsi="Arial" w:eastAsia="微软雅黑"/>
          <w:b w:val="0"/>
          <w:color w:val="222222"/>
          <w:sz w:val="21"/>
        </w:rPr>
        <w:t>根据权利要求1或6所述的方法，其特征在于，所述条件式原子更新由数据库更新语句、比较并交换操作、带锁事务、唯一幂等键写入或分布式一致性存储中的至少一种实现，并以所述动作标识、所述用户标识、原状态和失效时间作为更新条件，使针对同一动作记录的多个并发确认请求中至多一个确认请求取得所述唯一执行权。</w:t>
      </w:r>
    </w:p>
    <w:p>
      <w:pPr>
        <w:spacing w:after="140" w:line="324" w:lineRule="auto"/>
        <w:ind w:left="113" w:hanging="113"/>
      </w:pPr>
      <w:r>
        <w:rPr>
          <w:rFonts w:ascii="Arial" w:hAnsi="Arial" w:eastAsia="微软雅黑"/>
          <w:b/>
          <w:color w:val="1F4E78"/>
          <w:sz w:val="21"/>
        </w:rPr>
        <w:t xml:space="preserve">8. </w:t>
      </w:r>
      <w:r>
        <w:rPr>
          <w:rFonts w:ascii="Arial" w:hAnsi="Arial" w:eastAsia="微软雅黑"/>
          <w:b/>
          <w:color w:val="7F6000"/>
          <w:sz w:val="19"/>
        </w:rPr>
        <w:t>〔时序安全〕</w:t>
      </w:r>
      <w:r>
        <w:rPr>
          <w:rFonts w:ascii="Arial" w:hAnsi="Arial" w:eastAsia="微软雅黑"/>
          <w:b w:val="0"/>
          <w:color w:val="222222"/>
          <w:sz w:val="21"/>
        </w:rPr>
        <w:t>根据权利要求1所述的方法，其特征在于，所述执行前复核包括：在确认信息生成后且目标业务接口执行前，重新确定当前用户状态、当前用户权限集合、目标资源归属和业务上下文；当任一复核条件不满足时阻止业务写操作，并将已进入执行中状态的动作记录回退至待确认状态或者更新为表征拒绝的终止状态，同时记录拒绝原因。</w:t>
      </w:r>
    </w:p>
    <w:p>
      <w:pPr>
        <w:spacing w:after="140" w:line="324" w:lineRule="auto"/>
        <w:ind w:left="113" w:hanging="113"/>
      </w:pPr>
      <w:r>
        <w:rPr>
          <w:rFonts w:ascii="Arial" w:hAnsi="Arial" w:eastAsia="微软雅黑"/>
          <w:b/>
          <w:color w:val="1F4E78"/>
          <w:sz w:val="21"/>
        </w:rPr>
        <w:t xml:space="preserve">9. </w:t>
      </w:r>
      <w:r>
        <w:rPr>
          <w:rFonts w:ascii="Arial" w:hAnsi="Arial" w:eastAsia="微软雅黑"/>
          <w:b/>
          <w:color w:val="7F6000"/>
          <w:sz w:val="19"/>
        </w:rPr>
        <w:t>〔取消与过期〕</w:t>
      </w:r>
      <w:r>
        <w:rPr>
          <w:rFonts w:ascii="Arial" w:hAnsi="Arial" w:eastAsia="微软雅黑"/>
          <w:b w:val="0"/>
          <w:color w:val="222222"/>
          <w:sz w:val="21"/>
        </w:rPr>
        <w:t>根据权利要求6所述的方法，其特征在于，响应于取消请求，仅将归属于当前用户且处于待确认状态的动作记录更新为已取消状态；当当前时间达到或超过失效时间时，将处于待确认状态的动作记录更新为已取消状态或者在后续确认请求中拒绝执行；处于执行中状态的动作记录不响应取消请求。</w:t>
      </w:r>
    </w:p>
    <w:p>
      <w:pPr>
        <w:spacing w:after="140" w:line="324" w:lineRule="auto"/>
        <w:ind w:left="113" w:hanging="113"/>
      </w:pPr>
      <w:r>
        <w:rPr>
          <w:rFonts w:ascii="Arial" w:hAnsi="Arial" w:eastAsia="微软雅黑"/>
          <w:b/>
          <w:color w:val="1F4E78"/>
          <w:sz w:val="21"/>
        </w:rPr>
        <w:t xml:space="preserve">10. </w:t>
      </w:r>
      <w:r>
        <w:rPr>
          <w:rFonts w:ascii="Arial" w:hAnsi="Arial" w:eastAsia="微软雅黑"/>
          <w:b/>
          <w:color w:val="7F6000"/>
          <w:sz w:val="19"/>
        </w:rPr>
        <w:t>〔流式调用〕</w:t>
      </w:r>
      <w:r>
        <w:rPr>
          <w:rFonts w:ascii="Arial" w:hAnsi="Arial" w:eastAsia="微软雅黑"/>
          <w:b w:val="0"/>
          <w:color w:val="222222"/>
          <w:sz w:val="21"/>
        </w:rPr>
        <w:t>根据权利要求1所述的方法，其特征在于，接收所述结构化工具调用包括：按照调用序号或者模型返回的调用标识合并流式返回的多个工具调用分片，生成稳定调用标识并解析完整参数；为单轮会话设置工具调用数量上限和工具循环轮次上限，并在达到末轮时阻止新增工具调用或者强制生成最终回复。</w:t>
      </w:r>
    </w:p>
    <w:p>
      <w:pPr>
        <w:spacing w:after="140" w:line="324" w:lineRule="auto"/>
        <w:ind w:left="113" w:hanging="113"/>
      </w:pPr>
      <w:r>
        <w:rPr>
          <w:rFonts w:ascii="Arial" w:hAnsi="Arial" w:eastAsia="微软雅黑"/>
          <w:b/>
          <w:color w:val="1F4E78"/>
          <w:sz w:val="21"/>
        </w:rPr>
        <w:t xml:space="preserve">11. </w:t>
      </w:r>
      <w:r>
        <w:rPr>
          <w:rFonts w:ascii="Arial" w:hAnsi="Arial" w:eastAsia="微软雅黑"/>
          <w:b/>
          <w:color w:val="7F6000"/>
          <w:sz w:val="19"/>
        </w:rPr>
        <w:t>〔轨迹回放〕</w:t>
      </w:r>
      <w:r>
        <w:rPr>
          <w:rFonts w:ascii="Arial" w:hAnsi="Arial" w:eastAsia="微软雅黑"/>
          <w:b w:val="0"/>
          <w:color w:val="222222"/>
          <w:sz w:val="21"/>
        </w:rPr>
        <w:t>根据权利要求1所述的方法，其特征在于，所述步骤记录包括调用标识、工具标识、显示标签、状态、调用理由、参数和输出中的至少一项，对参数和输出按照预设阈值进行截断或摘要化后与助手消息共同持久化；当客户端刷新、断线重连或会话恢复时，根据所述关联重建工具步骤序列和未终止的确认信息。</w:t>
      </w:r>
    </w:p>
    <w:p>
      <w:pPr>
        <w:spacing w:after="140" w:line="324" w:lineRule="auto"/>
        <w:ind w:left="113" w:hanging="113"/>
      </w:pPr>
      <w:r>
        <w:rPr>
          <w:rFonts w:ascii="Arial" w:hAnsi="Arial" w:eastAsia="微软雅黑"/>
          <w:b/>
          <w:color w:val="1F4E78"/>
          <w:sz w:val="21"/>
        </w:rPr>
        <w:t xml:space="preserve">12. </w:t>
      </w:r>
      <w:r>
        <w:rPr>
          <w:rFonts w:ascii="Arial" w:hAnsi="Arial" w:eastAsia="微软雅黑"/>
          <w:b/>
          <w:color w:val="7F6000"/>
          <w:sz w:val="19"/>
        </w:rPr>
        <w:t>〔系统独立项〕</w:t>
      </w:r>
      <w:r>
        <w:rPr>
          <w:rFonts w:ascii="Arial" w:hAnsi="Arial" w:eastAsia="微软雅黑"/>
          <w:b w:val="0"/>
          <w:color w:val="222222"/>
          <w:sz w:val="21"/>
        </w:rPr>
        <w:t>一种企业智能体的权限约束式工具执行系统，其特征在于，包括：上下文获取模块，被配置为获取当前用户的身份信息、用户权限集合、业务上下文和资源访问范围；权限元数据读取模块，被配置为从候选工具关联的目标业务接口的权限声明源读取权限元数据，并在无有效权限声明或权限声明为空时作出失败关闭判定；工具裁剪模块，被配置为根据所述权限元数据与用户权限集合的匹配结果生成允许工具集合并仅向大语言模型提供所述允许工具集合；调用处理模块，被配置为接收结构化工具调用并获得规范化执行载荷；风险分级与确认模块，被配置为针对满足预设确认条件的工具调用持久化具有待确认状态和失效时间的动作记录；原子执行控制模块，被配置为通过将所述动作记录从待确认状态条件式原子更新至执行中状态而取得唯一执行权；执行前复核模块，被配置为取得所述唯一执行权后基于从所述权限声明源重新读取的当前权限元数据、当前用户权限集合和当前资源访问范围进行复核；业务执行与状态回退模块，被配置为在复核通过后执行目标业务接口，并根据执行结果将动作记录更新为已执行状态或者回退为待确认状态；以及轨迹持久化模块，被配置为持久化工具调用步骤并建立动作记录、步骤记录和助手消息的关联。</w:t>
      </w:r>
    </w:p>
    <w:p>
      <w:pPr>
        <w:spacing w:after="140" w:line="324" w:lineRule="auto"/>
        <w:ind w:left="113" w:hanging="113"/>
      </w:pPr>
      <w:r>
        <w:rPr>
          <w:rFonts w:ascii="Arial" w:hAnsi="Arial" w:eastAsia="微软雅黑"/>
          <w:b/>
          <w:color w:val="1F4E78"/>
          <w:sz w:val="21"/>
        </w:rPr>
        <w:t xml:space="preserve">13. </w:t>
      </w:r>
      <w:r>
        <w:rPr>
          <w:rFonts w:ascii="Arial" w:hAnsi="Arial" w:eastAsia="微软雅黑"/>
          <w:b/>
          <w:color w:val="7F6000"/>
          <w:sz w:val="19"/>
        </w:rPr>
        <w:t>〔电子设备〕</w:t>
      </w:r>
      <w:r>
        <w:rPr>
          <w:rFonts w:ascii="Arial" w:hAnsi="Arial" w:eastAsia="微软雅黑"/>
          <w:b w:val="0"/>
          <w:color w:val="222222"/>
          <w:sz w:val="21"/>
        </w:rPr>
        <w:t>一种电子设备，包括处理器和存储器，所述存储器中存储有计算机程序，其特征在于，所述计算机程序被所述处理器执行时，使所述处理器实施权利要求1至11中任一项所述的方法。</w:t>
      </w:r>
    </w:p>
    <w:p>
      <w:pPr>
        <w:spacing w:after="140" w:line="324" w:lineRule="auto"/>
        <w:ind w:left="113" w:hanging="113"/>
      </w:pPr>
      <w:r>
        <w:rPr>
          <w:rFonts w:ascii="Arial" w:hAnsi="Arial" w:eastAsia="微软雅黑"/>
          <w:b/>
          <w:color w:val="1F4E78"/>
          <w:sz w:val="21"/>
        </w:rPr>
        <w:t xml:space="preserve">14. </w:t>
      </w:r>
      <w:r>
        <w:rPr>
          <w:rFonts w:ascii="Arial" w:hAnsi="Arial" w:eastAsia="微软雅黑"/>
          <w:b/>
          <w:color w:val="7F6000"/>
          <w:sz w:val="19"/>
        </w:rPr>
        <w:t>〔存储介质〕</w:t>
      </w:r>
      <w:r>
        <w:rPr>
          <w:rFonts w:ascii="Arial" w:hAnsi="Arial" w:eastAsia="微软雅黑"/>
          <w:b w:val="0"/>
          <w:color w:val="222222"/>
          <w:sz w:val="21"/>
        </w:rPr>
        <w:t>一种非暂时性计算机可读存储介质，其上存储有计算机程序，其特征在于，所述计算机程序被处理器执行时实现权利要求1至11中任一项所述的方法。</w:t>
      </w:r>
    </w:p>
    <w:p>
      <w:pPr>
        <w:spacing w:after="140" w:line="324" w:lineRule="auto"/>
        <w:ind w:left="113" w:hanging="113"/>
      </w:pPr>
      <w:r>
        <w:rPr>
          <w:rFonts w:ascii="Arial" w:hAnsi="Arial" w:eastAsia="微软雅黑"/>
          <w:b/>
          <w:color w:val="1F4E78"/>
          <w:sz w:val="21"/>
        </w:rPr>
        <w:t xml:space="preserve">15. </w:t>
      </w:r>
      <w:r>
        <w:rPr>
          <w:rFonts w:ascii="Arial" w:hAnsi="Arial" w:eastAsia="微软雅黑"/>
          <w:b/>
          <w:color w:val="7F6000"/>
          <w:sz w:val="19"/>
        </w:rPr>
        <w:t>〔程序产品〕</w:t>
      </w:r>
      <w:r>
        <w:rPr>
          <w:rFonts w:ascii="Arial" w:hAnsi="Arial" w:eastAsia="微软雅黑"/>
          <w:b w:val="0"/>
          <w:color w:val="222222"/>
          <w:sz w:val="21"/>
        </w:rPr>
        <w:t>一种计算机程序产品，包括计算机程序，其特征在于，所述计算机程序被处理器执行时实现权利要求1至11中任一项所述的方法。</w:t>
      </w:r>
    </w:p>
    <w:p>
      <w:pPr>
        <w:pStyle w:val="Heading2"/>
        <w:keepNext/>
      </w:pPr>
      <w:r>
        <w:t>F.3 权利要求定稿时的优先删改顺序</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08"/>
        <w:gridCol w:w="5110"/>
        <w:gridCol w:w="2908"/>
      </w:tblGrid>
      <w:tr>
        <w:trPr>
          <w:tblHeader w:val="true"/>
        </w:trPr>
        <w:tc>
          <w:tcPr>
            <w:tcW w:type="dxa" w:w="1008"/>
            <w:shd w:fill="1F4E78"/>
            <w:vAlign w:val="center"/>
          </w:tcPr>
          <w:p>
            <w:pPr>
              <w:spacing w:before="30" w:after="30" w:line="252" w:lineRule="auto"/>
              <w:jc w:val="center"/>
            </w:pPr>
            <w:r>
              <w:rPr>
                <w:rFonts w:ascii="Arial" w:hAnsi="Arial" w:eastAsia="微软雅黑"/>
                <w:b/>
                <w:color w:val="FFFFFF"/>
                <w:sz w:val="17"/>
              </w:rPr>
              <w:t>优先级</w:t>
            </w:r>
          </w:p>
        </w:tc>
        <w:tc>
          <w:tcPr>
            <w:tcW w:type="dxa" w:w="5110"/>
            <w:shd w:fill="1F4E78"/>
            <w:vAlign w:val="center"/>
          </w:tcPr>
          <w:p>
            <w:pPr>
              <w:spacing w:before="30" w:after="30" w:line="252" w:lineRule="auto"/>
              <w:jc w:val="center"/>
            </w:pPr>
            <w:r>
              <w:rPr>
                <w:rFonts w:ascii="Arial" w:hAnsi="Arial" w:eastAsia="微软雅黑"/>
                <w:b/>
                <w:color w:val="FFFFFF"/>
                <w:sz w:val="17"/>
              </w:rPr>
              <w:t>定稿动作</w:t>
            </w:r>
          </w:p>
        </w:tc>
        <w:tc>
          <w:tcPr>
            <w:tcW w:type="dxa" w:w="2908"/>
            <w:shd w:fill="1F4E78"/>
            <w:vAlign w:val="center"/>
          </w:tcPr>
          <w:p>
            <w:pPr>
              <w:spacing w:before="30" w:after="30" w:line="252" w:lineRule="auto"/>
              <w:jc w:val="center"/>
            </w:pPr>
            <w:r>
              <w:rPr>
                <w:rFonts w:ascii="Arial" w:hAnsi="Arial" w:eastAsia="微软雅黑"/>
                <w:b/>
                <w:color w:val="FFFFFF"/>
                <w:sz w:val="17"/>
              </w:rPr>
              <w:t>目的</w:t>
            </w:r>
          </w:p>
        </w:tc>
      </w:tr>
      <w:tr>
        <w:tc>
          <w:tcPr>
            <w:tcW w:type="dxa" w:w="1008"/>
            <w:vAlign w:val="center"/>
          </w:tcPr>
          <w:p>
            <w:pPr>
              <w:spacing w:before="30" w:after="30" w:line="252" w:lineRule="auto"/>
              <w:jc w:val="left"/>
            </w:pPr>
            <w:r>
              <w:rPr>
                <w:rFonts w:ascii="Arial" w:hAnsi="Arial" w:eastAsia="微软雅黑"/>
                <w:b w:val="0"/>
                <w:color w:val="222222"/>
                <w:sz w:val="17"/>
              </w:rPr>
              <w:t>1</w:t>
            </w:r>
          </w:p>
        </w:tc>
        <w:tc>
          <w:tcPr>
            <w:tcW w:type="dxa" w:w="5110"/>
            <w:vAlign w:val="center"/>
          </w:tcPr>
          <w:p>
            <w:pPr>
              <w:spacing w:before="30" w:after="30" w:line="252" w:lineRule="auto"/>
              <w:jc w:val="left"/>
            </w:pPr>
            <w:r>
              <w:rPr>
                <w:rFonts w:ascii="Arial" w:hAnsi="Arial" w:eastAsia="微软雅黑"/>
                <w:b w:val="0"/>
                <w:color w:val="222222"/>
                <w:sz w:val="17"/>
              </w:rPr>
              <w:t>先以最接近现有技术检验权利要求1的组合链，必要时把“失败关闭”“当前权限复核”或“轨迹消息绑定”上提为必需特征。</w:t>
            </w:r>
          </w:p>
        </w:tc>
        <w:tc>
          <w:tcPr>
            <w:tcW w:type="dxa" w:w="2908"/>
            <w:vAlign w:val="center"/>
          </w:tcPr>
          <w:p>
            <w:pPr>
              <w:spacing w:before="30" w:after="30" w:line="252" w:lineRule="auto"/>
              <w:jc w:val="left"/>
            </w:pPr>
            <w:r>
              <w:rPr>
                <w:rFonts w:ascii="Arial" w:hAnsi="Arial" w:eastAsia="微软雅黑"/>
                <w:b w:val="0"/>
                <w:color w:val="222222"/>
                <w:sz w:val="17"/>
              </w:rPr>
              <w:t>确保新颖性、创造性和技术效果具有直接对应关系。</w:t>
            </w:r>
          </w:p>
        </w:tc>
      </w:tr>
      <w:tr>
        <w:tc>
          <w:tcPr>
            <w:tcW w:type="dxa" w:w="1008"/>
            <w:shd w:fill="EFF6FB"/>
            <w:vAlign w:val="center"/>
          </w:tcPr>
          <w:p>
            <w:pPr>
              <w:spacing w:before="30" w:after="30" w:line="252" w:lineRule="auto"/>
              <w:jc w:val="left"/>
            </w:pPr>
            <w:r>
              <w:rPr>
                <w:rFonts w:ascii="Arial" w:hAnsi="Arial" w:eastAsia="微软雅黑"/>
                <w:b w:val="0"/>
                <w:color w:val="222222"/>
                <w:sz w:val="17"/>
              </w:rPr>
              <w:t>2</w:t>
            </w:r>
          </w:p>
        </w:tc>
        <w:tc>
          <w:tcPr>
            <w:tcW w:type="dxa" w:w="5110"/>
            <w:shd w:fill="EFF6FB"/>
            <w:vAlign w:val="center"/>
          </w:tcPr>
          <w:p>
            <w:pPr>
              <w:spacing w:before="30" w:after="30" w:line="252" w:lineRule="auto"/>
              <w:jc w:val="left"/>
            </w:pPr>
            <w:r>
              <w:rPr>
                <w:rFonts w:ascii="Arial" w:hAnsi="Arial" w:eastAsia="微软雅黑"/>
                <w:b w:val="0"/>
                <w:color w:val="222222"/>
                <w:sz w:val="17"/>
              </w:rPr>
              <w:t>把数据库、NestJS、Prisma、React、SSE等具体实现保留在说明书或从属项，不写入最上位独立项。</w:t>
            </w:r>
          </w:p>
        </w:tc>
        <w:tc>
          <w:tcPr>
            <w:tcW w:type="dxa" w:w="2908"/>
            <w:shd w:fill="EFF6FB"/>
            <w:vAlign w:val="center"/>
          </w:tcPr>
          <w:p>
            <w:pPr>
              <w:spacing w:before="30" w:after="30" w:line="252" w:lineRule="auto"/>
              <w:jc w:val="left"/>
            </w:pPr>
            <w:r>
              <w:rPr>
                <w:rFonts w:ascii="Arial" w:hAnsi="Arial" w:eastAsia="微软雅黑"/>
                <w:b w:val="0"/>
                <w:color w:val="222222"/>
                <w:sz w:val="17"/>
              </w:rPr>
              <w:t>防止不必要缩窄和被替换技术栈规避。</w:t>
            </w:r>
          </w:p>
        </w:tc>
      </w:tr>
      <w:tr>
        <w:tc>
          <w:tcPr>
            <w:tcW w:type="dxa" w:w="1008"/>
            <w:vAlign w:val="center"/>
          </w:tcPr>
          <w:p>
            <w:pPr>
              <w:spacing w:before="30" w:after="30" w:line="252" w:lineRule="auto"/>
              <w:jc w:val="left"/>
            </w:pPr>
            <w:r>
              <w:rPr>
                <w:rFonts w:ascii="Arial" w:hAnsi="Arial" w:eastAsia="微软雅黑"/>
                <w:b w:val="0"/>
                <w:color w:val="222222"/>
                <w:sz w:val="17"/>
              </w:rPr>
              <w:t>3</w:t>
            </w:r>
          </w:p>
        </w:tc>
        <w:tc>
          <w:tcPr>
            <w:tcW w:type="dxa" w:w="5110"/>
            <w:vAlign w:val="center"/>
          </w:tcPr>
          <w:p>
            <w:pPr>
              <w:spacing w:before="30" w:after="30" w:line="252" w:lineRule="auto"/>
              <w:jc w:val="left"/>
            </w:pPr>
            <w:r>
              <w:rPr>
                <w:rFonts w:ascii="Arial" w:hAnsi="Arial" w:eastAsia="微软雅黑"/>
                <w:b w:val="0"/>
                <w:color w:val="222222"/>
                <w:sz w:val="17"/>
              </w:rPr>
              <w:t>若检索发现用户确认或幂等执行已被单独公开，强调权限同源失败关闭与唯一执行权、当前权限复核、消息回放之间的协同。</w:t>
            </w:r>
          </w:p>
        </w:tc>
        <w:tc>
          <w:tcPr>
            <w:tcW w:type="dxa" w:w="2908"/>
            <w:vAlign w:val="center"/>
          </w:tcPr>
          <w:p>
            <w:pPr>
              <w:spacing w:before="30" w:after="30" w:line="252" w:lineRule="auto"/>
              <w:jc w:val="left"/>
            </w:pPr>
            <w:r>
              <w:rPr>
                <w:rFonts w:ascii="Arial" w:hAnsi="Arial" w:eastAsia="微软雅黑"/>
                <w:b w:val="0"/>
                <w:color w:val="222222"/>
                <w:sz w:val="17"/>
              </w:rPr>
              <w:t>避免被认定为已知手段的简单拼接。</w:t>
            </w:r>
          </w:p>
        </w:tc>
      </w:tr>
      <w:tr>
        <w:tc>
          <w:tcPr>
            <w:tcW w:type="dxa" w:w="1008"/>
            <w:shd w:fill="EFF6FB"/>
            <w:vAlign w:val="center"/>
          </w:tcPr>
          <w:p>
            <w:pPr>
              <w:spacing w:before="30" w:after="30" w:line="252" w:lineRule="auto"/>
              <w:jc w:val="left"/>
            </w:pPr>
            <w:r>
              <w:rPr>
                <w:rFonts w:ascii="Arial" w:hAnsi="Arial" w:eastAsia="微软雅黑"/>
                <w:b w:val="0"/>
                <w:color w:val="222222"/>
                <w:sz w:val="17"/>
              </w:rPr>
              <w:t>4</w:t>
            </w:r>
          </w:p>
        </w:tc>
        <w:tc>
          <w:tcPr>
            <w:tcW w:type="dxa" w:w="5110"/>
            <w:shd w:fill="EFF6FB"/>
            <w:vAlign w:val="center"/>
          </w:tcPr>
          <w:p>
            <w:pPr>
              <w:spacing w:before="30" w:after="30" w:line="252" w:lineRule="auto"/>
              <w:jc w:val="left"/>
            </w:pPr>
            <w:r>
              <w:rPr>
                <w:rFonts w:ascii="Arial" w:hAnsi="Arial" w:eastAsia="微软雅黑"/>
                <w:b w:val="0"/>
                <w:color w:val="222222"/>
                <w:sz w:val="17"/>
              </w:rPr>
              <w:t>确认系统项的模块与方法项逐一对应，设备、介质和程序产品引用范围一致。</w:t>
            </w:r>
          </w:p>
        </w:tc>
        <w:tc>
          <w:tcPr>
            <w:tcW w:type="dxa" w:w="2908"/>
            <w:shd w:fill="EFF6FB"/>
            <w:vAlign w:val="center"/>
          </w:tcPr>
          <w:p>
            <w:pPr>
              <w:spacing w:before="30" w:after="30" w:line="252" w:lineRule="auto"/>
              <w:jc w:val="left"/>
            </w:pPr>
            <w:r>
              <w:rPr>
                <w:rFonts w:ascii="Arial" w:hAnsi="Arial" w:eastAsia="微软雅黑"/>
                <w:b w:val="0"/>
                <w:color w:val="222222"/>
                <w:sz w:val="17"/>
              </w:rPr>
              <w:t>避免形式缺陷和保护层级断裂。</w:t>
            </w:r>
          </w:p>
        </w:tc>
      </w:tr>
    </w:tbl>
    <w:p>
      <w:pPr>
        <w:spacing w:after="20"/>
      </w:pPr>
    </w:p>
    <w:p>
      <w:r>
        <w:br w:type="page"/>
      </w:r>
    </w:p>
    <w:p>
      <w:pPr>
        <w:pStyle w:val="Heading1"/>
        <w:keepNext/>
      </w:pPr>
      <w:r>
        <w:t>附件G：术语、替代实施方式与支持关系（V2完善版新增）</w:t>
      </w:r>
    </w:p>
    <w:p>
      <w:pPr>
        <w:pStyle w:val="Heading2"/>
        <w:keepNext/>
      </w:pPr>
      <w:r>
        <w:t>G.1 术语定义与解释规则</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2087"/>
        <w:gridCol w:w="6939"/>
      </w:tblGrid>
      <w:tr>
        <w:trPr>
          <w:tblHeader w:val="true"/>
        </w:trPr>
        <w:tc>
          <w:tcPr>
            <w:tcW w:type="dxa" w:w="2087"/>
            <w:shd w:fill="1F4E78"/>
            <w:vAlign w:val="center"/>
          </w:tcPr>
          <w:p>
            <w:pPr>
              <w:spacing w:before="30" w:after="30" w:line="252" w:lineRule="auto"/>
              <w:jc w:val="center"/>
            </w:pPr>
            <w:r>
              <w:rPr>
                <w:rFonts w:ascii="Arial" w:hAnsi="Arial" w:eastAsia="微软雅黑"/>
                <w:b/>
                <w:color w:val="FFFFFF"/>
                <w:sz w:val="17"/>
              </w:rPr>
              <w:t>术语</w:t>
            </w:r>
          </w:p>
        </w:tc>
        <w:tc>
          <w:tcPr>
            <w:tcW w:type="dxa" w:w="6939"/>
            <w:shd w:fill="1F4E78"/>
            <w:vAlign w:val="center"/>
          </w:tcPr>
          <w:p>
            <w:pPr>
              <w:spacing w:before="30" w:after="30" w:line="252" w:lineRule="auto"/>
              <w:jc w:val="center"/>
            </w:pPr>
            <w:r>
              <w:rPr>
                <w:rFonts w:ascii="Arial" w:hAnsi="Arial" w:eastAsia="微软雅黑"/>
                <w:b/>
                <w:color w:val="FFFFFF"/>
                <w:sz w:val="17"/>
              </w:rPr>
              <w:t>建议解释</w:t>
            </w:r>
          </w:p>
        </w:tc>
      </w:tr>
      <w:tr>
        <w:tc>
          <w:tcPr>
            <w:tcW w:type="dxa" w:w="2087"/>
            <w:vAlign w:val="center"/>
          </w:tcPr>
          <w:p>
            <w:pPr>
              <w:spacing w:before="30" w:after="30" w:line="252" w:lineRule="auto"/>
              <w:jc w:val="left"/>
            </w:pPr>
            <w:r>
              <w:rPr>
                <w:rFonts w:ascii="Arial" w:hAnsi="Arial" w:eastAsia="微软雅黑"/>
                <w:b w:val="0"/>
                <w:color w:val="222222"/>
                <w:sz w:val="17"/>
              </w:rPr>
              <w:t>权限声明源</w:t>
            </w:r>
          </w:p>
        </w:tc>
        <w:tc>
          <w:tcPr>
            <w:tcW w:type="dxa" w:w="6939"/>
            <w:vAlign w:val="center"/>
          </w:tcPr>
          <w:p>
            <w:pPr>
              <w:spacing w:before="30" w:after="30" w:line="252" w:lineRule="auto"/>
              <w:jc w:val="left"/>
            </w:pPr>
            <w:r>
              <w:rPr>
                <w:rFonts w:ascii="Arial" w:hAnsi="Arial" w:eastAsia="微软雅黑"/>
                <w:b w:val="0"/>
                <w:color w:val="222222"/>
                <w:sz w:val="17"/>
              </w:rPr>
              <w:t>与业务接口实际鉴权逻辑相联系、可供读取权限约束的数据来源，包括控制器／方法元数据、注解、装饰器、API网关策略、集中策略服务或编译生成的权限清单。重点在“同源”，不限定为某一框架。</w:t>
            </w:r>
          </w:p>
        </w:tc>
      </w:tr>
      <w:tr>
        <w:tc>
          <w:tcPr>
            <w:tcW w:type="dxa" w:w="2087"/>
            <w:shd w:fill="EFF6FB"/>
            <w:vAlign w:val="center"/>
          </w:tcPr>
          <w:p>
            <w:pPr>
              <w:spacing w:before="30" w:after="30" w:line="252" w:lineRule="auto"/>
              <w:jc w:val="left"/>
            </w:pPr>
            <w:r>
              <w:rPr>
                <w:rFonts w:ascii="Arial" w:hAnsi="Arial" w:eastAsia="微软雅黑"/>
                <w:b w:val="0"/>
                <w:color w:val="222222"/>
                <w:sz w:val="17"/>
              </w:rPr>
              <w:t>权限同源读取</w:t>
            </w:r>
          </w:p>
        </w:tc>
        <w:tc>
          <w:tcPr>
            <w:tcW w:type="dxa" w:w="6939"/>
            <w:shd w:fill="EFF6FB"/>
            <w:vAlign w:val="center"/>
          </w:tcPr>
          <w:p>
            <w:pPr>
              <w:spacing w:before="30" w:after="30" w:line="252" w:lineRule="auto"/>
              <w:jc w:val="left"/>
            </w:pPr>
            <w:r>
              <w:rPr>
                <w:rFonts w:ascii="Arial" w:hAnsi="Arial" w:eastAsia="微软雅黑"/>
                <w:b w:val="0"/>
                <w:color w:val="222222"/>
                <w:sz w:val="17"/>
              </w:rPr>
              <w:t>Agent确定工具可见性或可执行性时读取与目标业务接口运行时鉴权相同或由同一权威源派生的权限约束，避免另外手抄一份权限码。</w:t>
            </w:r>
          </w:p>
        </w:tc>
      </w:tr>
      <w:tr>
        <w:tc>
          <w:tcPr>
            <w:tcW w:type="dxa" w:w="2087"/>
            <w:vAlign w:val="center"/>
          </w:tcPr>
          <w:p>
            <w:pPr>
              <w:spacing w:before="30" w:after="30" w:line="252" w:lineRule="auto"/>
              <w:jc w:val="left"/>
            </w:pPr>
            <w:r>
              <w:rPr>
                <w:rFonts w:ascii="Arial" w:hAnsi="Arial" w:eastAsia="微软雅黑"/>
                <w:b w:val="0"/>
                <w:color w:val="222222"/>
                <w:sz w:val="17"/>
              </w:rPr>
              <w:t>失败关闭</w:t>
            </w:r>
          </w:p>
        </w:tc>
        <w:tc>
          <w:tcPr>
            <w:tcW w:type="dxa" w:w="6939"/>
            <w:vAlign w:val="center"/>
          </w:tcPr>
          <w:p>
            <w:pPr>
              <w:spacing w:before="30" w:after="30" w:line="252" w:lineRule="auto"/>
              <w:jc w:val="left"/>
            </w:pPr>
            <w:r>
              <w:rPr>
                <w:rFonts w:ascii="Arial" w:hAnsi="Arial" w:eastAsia="微软雅黑"/>
                <w:b w:val="0"/>
                <w:color w:val="222222"/>
                <w:sz w:val="17"/>
              </w:rPr>
              <w:t>权限声明缺失、为空、解析失败或不可验证时默认拒绝工具暴露和执行，不因管理员通配权限自动放行。</w:t>
            </w:r>
          </w:p>
        </w:tc>
      </w:tr>
      <w:tr>
        <w:tc>
          <w:tcPr>
            <w:tcW w:type="dxa" w:w="2087"/>
            <w:shd w:fill="EFF6FB"/>
            <w:vAlign w:val="center"/>
          </w:tcPr>
          <w:p>
            <w:pPr>
              <w:spacing w:before="30" w:after="30" w:line="252" w:lineRule="auto"/>
              <w:jc w:val="left"/>
            </w:pPr>
            <w:r>
              <w:rPr>
                <w:rFonts w:ascii="Arial" w:hAnsi="Arial" w:eastAsia="微软雅黑"/>
                <w:b w:val="0"/>
                <w:color w:val="222222"/>
                <w:sz w:val="17"/>
              </w:rPr>
              <w:t>候选工具／允许工具集合</w:t>
            </w:r>
          </w:p>
        </w:tc>
        <w:tc>
          <w:tcPr>
            <w:tcW w:type="dxa" w:w="6939"/>
            <w:shd w:fill="EFF6FB"/>
            <w:vAlign w:val="center"/>
          </w:tcPr>
          <w:p>
            <w:pPr>
              <w:spacing w:before="30" w:after="30" w:line="252" w:lineRule="auto"/>
              <w:jc w:val="left"/>
            </w:pPr>
            <w:r>
              <w:rPr>
                <w:rFonts w:ascii="Arial" w:hAnsi="Arial" w:eastAsia="微软雅黑"/>
                <w:b w:val="0"/>
                <w:color w:val="222222"/>
                <w:sz w:val="17"/>
              </w:rPr>
              <w:t>候选工具是注册表中可供筛选的工具；允许工具集合是通过当前权限判定后才提供给模型的子集。</w:t>
            </w:r>
          </w:p>
        </w:tc>
      </w:tr>
      <w:tr>
        <w:tc>
          <w:tcPr>
            <w:tcW w:type="dxa" w:w="2087"/>
            <w:vAlign w:val="center"/>
          </w:tcPr>
          <w:p>
            <w:pPr>
              <w:spacing w:before="30" w:after="30" w:line="252" w:lineRule="auto"/>
              <w:jc w:val="left"/>
            </w:pPr>
            <w:r>
              <w:rPr>
                <w:rFonts w:ascii="Arial" w:hAnsi="Arial" w:eastAsia="微软雅黑"/>
                <w:b w:val="0"/>
                <w:color w:val="222222"/>
                <w:sz w:val="17"/>
              </w:rPr>
              <w:t>结构化工具调用</w:t>
            </w:r>
          </w:p>
        </w:tc>
        <w:tc>
          <w:tcPr>
            <w:tcW w:type="dxa" w:w="6939"/>
            <w:vAlign w:val="center"/>
          </w:tcPr>
          <w:p>
            <w:pPr>
              <w:spacing w:before="30" w:after="30" w:line="252" w:lineRule="auto"/>
              <w:jc w:val="left"/>
            </w:pPr>
            <w:r>
              <w:rPr>
                <w:rFonts w:ascii="Arial" w:hAnsi="Arial" w:eastAsia="微软雅黑"/>
                <w:b w:val="0"/>
                <w:color w:val="222222"/>
                <w:sz w:val="17"/>
              </w:rPr>
              <w:t>模型以函数调用、JSON对象、协议消息或等价机器可解析形式给出的工具标识和参数，不限定模型厂商或通信协议。</w:t>
            </w:r>
          </w:p>
        </w:tc>
      </w:tr>
      <w:tr>
        <w:tc>
          <w:tcPr>
            <w:tcW w:type="dxa" w:w="2087"/>
            <w:shd w:fill="EFF6FB"/>
            <w:vAlign w:val="center"/>
          </w:tcPr>
          <w:p>
            <w:pPr>
              <w:spacing w:before="30" w:after="30" w:line="252" w:lineRule="auto"/>
              <w:jc w:val="left"/>
            </w:pPr>
            <w:r>
              <w:rPr>
                <w:rFonts w:ascii="Arial" w:hAnsi="Arial" w:eastAsia="微软雅黑"/>
                <w:b w:val="0"/>
                <w:color w:val="222222"/>
                <w:sz w:val="17"/>
              </w:rPr>
              <w:t>规范化执行载荷</w:t>
            </w:r>
          </w:p>
        </w:tc>
        <w:tc>
          <w:tcPr>
            <w:tcW w:type="dxa" w:w="6939"/>
            <w:shd w:fill="EFF6FB"/>
            <w:vAlign w:val="center"/>
          </w:tcPr>
          <w:p>
            <w:pPr>
              <w:spacing w:before="30" w:after="30" w:line="252" w:lineRule="auto"/>
              <w:jc w:val="left"/>
            </w:pPr>
            <w:r>
              <w:rPr>
                <w:rFonts w:ascii="Arial" w:hAnsi="Arial" w:eastAsia="微软雅黑"/>
                <w:b w:val="0"/>
                <w:color w:val="222222"/>
                <w:sz w:val="17"/>
              </w:rPr>
              <w:t>经模式校验、类型转换、默认值处理、资源范围约束和影响上限校验后用于实际执行并持久化的参数对象。</w:t>
            </w:r>
          </w:p>
        </w:tc>
      </w:tr>
      <w:tr>
        <w:tc>
          <w:tcPr>
            <w:tcW w:type="dxa" w:w="2087"/>
            <w:vAlign w:val="center"/>
          </w:tcPr>
          <w:p>
            <w:pPr>
              <w:spacing w:before="30" w:after="30" w:line="252" w:lineRule="auto"/>
              <w:jc w:val="left"/>
            </w:pPr>
            <w:r>
              <w:rPr>
                <w:rFonts w:ascii="Arial" w:hAnsi="Arial" w:eastAsia="微软雅黑"/>
                <w:b w:val="0"/>
                <w:color w:val="222222"/>
                <w:sz w:val="17"/>
              </w:rPr>
              <w:t>动作记录</w:t>
            </w:r>
          </w:p>
        </w:tc>
        <w:tc>
          <w:tcPr>
            <w:tcW w:type="dxa" w:w="6939"/>
            <w:vAlign w:val="center"/>
          </w:tcPr>
          <w:p>
            <w:pPr>
              <w:spacing w:before="30" w:after="30" w:line="252" w:lineRule="auto"/>
              <w:jc w:val="left"/>
            </w:pPr>
            <w:r>
              <w:rPr>
                <w:rFonts w:ascii="Arial" w:hAnsi="Arial" w:eastAsia="微软雅黑"/>
                <w:b w:val="0"/>
                <w:color w:val="222222"/>
                <w:sz w:val="17"/>
              </w:rPr>
              <w:t>用于承载待确认写操作的持久化对象，至少关联动作、用户、载荷、状态和失效信息；可存储于关系数据库、事务型键值库或事件存储。</w:t>
            </w:r>
          </w:p>
        </w:tc>
      </w:tr>
      <w:tr>
        <w:tc>
          <w:tcPr>
            <w:tcW w:type="dxa" w:w="2087"/>
            <w:shd w:fill="EFF6FB"/>
            <w:vAlign w:val="center"/>
          </w:tcPr>
          <w:p>
            <w:pPr>
              <w:spacing w:before="30" w:after="30" w:line="252" w:lineRule="auto"/>
              <w:jc w:val="left"/>
            </w:pPr>
            <w:r>
              <w:rPr>
                <w:rFonts w:ascii="Arial" w:hAnsi="Arial" w:eastAsia="微软雅黑"/>
                <w:b w:val="0"/>
                <w:color w:val="222222"/>
                <w:sz w:val="17"/>
              </w:rPr>
              <w:t>唯一执行权</w:t>
            </w:r>
          </w:p>
        </w:tc>
        <w:tc>
          <w:tcPr>
            <w:tcW w:type="dxa" w:w="6939"/>
            <w:shd w:fill="EFF6FB"/>
            <w:vAlign w:val="center"/>
          </w:tcPr>
          <w:p>
            <w:pPr>
              <w:spacing w:before="30" w:after="30" w:line="252" w:lineRule="auto"/>
              <w:jc w:val="left"/>
            </w:pPr>
            <w:r>
              <w:rPr>
                <w:rFonts w:ascii="Arial" w:hAnsi="Arial" w:eastAsia="微软雅黑"/>
                <w:b w:val="0"/>
                <w:color w:val="222222"/>
                <w:sz w:val="17"/>
              </w:rPr>
              <w:t>并发请求中仅一个请求能够使同一动作记录进入可执行业务副作用的状态；可由条件更新、CAS、锁事务、唯一幂等键或等价一致性机制取得。</w:t>
            </w:r>
          </w:p>
        </w:tc>
      </w:tr>
      <w:tr>
        <w:tc>
          <w:tcPr>
            <w:tcW w:type="dxa" w:w="2087"/>
            <w:vAlign w:val="center"/>
          </w:tcPr>
          <w:p>
            <w:pPr>
              <w:spacing w:before="30" w:after="30" w:line="252" w:lineRule="auto"/>
              <w:jc w:val="left"/>
            </w:pPr>
            <w:r>
              <w:rPr>
                <w:rFonts w:ascii="Arial" w:hAnsi="Arial" w:eastAsia="微软雅黑"/>
                <w:b w:val="0"/>
                <w:color w:val="222222"/>
                <w:sz w:val="17"/>
              </w:rPr>
              <w:t>执行前复核</w:t>
            </w:r>
          </w:p>
        </w:tc>
        <w:tc>
          <w:tcPr>
            <w:tcW w:type="dxa" w:w="6939"/>
            <w:vAlign w:val="center"/>
          </w:tcPr>
          <w:p>
            <w:pPr>
              <w:spacing w:before="30" w:after="30" w:line="252" w:lineRule="auto"/>
              <w:jc w:val="left"/>
            </w:pPr>
            <w:r>
              <w:rPr>
                <w:rFonts w:ascii="Arial" w:hAnsi="Arial" w:eastAsia="微软雅黑"/>
                <w:b w:val="0"/>
                <w:color w:val="222222"/>
                <w:sz w:val="17"/>
              </w:rPr>
              <w:t>用户确认后、业务副作用发生前，以当前权限、用户状态、资源归属和业务上下文重新作出的安全校验，而非复用确认卡生成时的历史判断。</w:t>
            </w:r>
          </w:p>
        </w:tc>
      </w:tr>
      <w:tr>
        <w:tc>
          <w:tcPr>
            <w:tcW w:type="dxa" w:w="2087"/>
            <w:shd w:fill="EFF6FB"/>
            <w:vAlign w:val="center"/>
          </w:tcPr>
          <w:p>
            <w:pPr>
              <w:spacing w:before="30" w:after="30" w:line="252" w:lineRule="auto"/>
              <w:jc w:val="left"/>
            </w:pPr>
            <w:r>
              <w:rPr>
                <w:rFonts w:ascii="Arial" w:hAnsi="Arial" w:eastAsia="微软雅黑"/>
                <w:b w:val="0"/>
                <w:color w:val="222222"/>
                <w:sz w:val="17"/>
              </w:rPr>
              <w:t>步骤记录／轨迹回放</w:t>
            </w:r>
          </w:p>
        </w:tc>
        <w:tc>
          <w:tcPr>
            <w:tcW w:type="dxa" w:w="6939"/>
            <w:shd w:fill="EFF6FB"/>
            <w:vAlign w:val="center"/>
          </w:tcPr>
          <w:p>
            <w:pPr>
              <w:spacing w:before="30" w:after="30" w:line="252" w:lineRule="auto"/>
              <w:jc w:val="left"/>
            </w:pPr>
            <w:r>
              <w:rPr>
                <w:rFonts w:ascii="Arial" w:hAnsi="Arial" w:eastAsia="微软雅黑"/>
                <w:b w:val="0"/>
                <w:color w:val="222222"/>
                <w:sz w:val="17"/>
              </w:rPr>
              <w:t>记录工具调用的稳定标识、状态、理由、参数和结果，并与会话消息、确认动作建立关联，以便刷新、断线或审计时重建执行过程。</w:t>
            </w:r>
          </w:p>
        </w:tc>
      </w:tr>
    </w:tbl>
    <w:p>
      <w:pPr>
        <w:spacing w:after="20"/>
      </w:pPr>
    </w:p>
    <w:p>
      <w:pPr>
        <w:pStyle w:val="Heading2"/>
        <w:keepNext/>
      </w:pPr>
      <w:r>
        <w:t>G.2 替代实施方式与防绕开设计</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512"/>
        <w:gridCol w:w="2519"/>
        <w:gridCol w:w="4995"/>
      </w:tblGrid>
      <w:tr>
        <w:trPr>
          <w:tblHeader w:val="true"/>
        </w:trPr>
        <w:tc>
          <w:tcPr>
            <w:tcW w:type="dxa" w:w="1512"/>
            <w:shd w:fill="1F4E78"/>
            <w:vAlign w:val="center"/>
          </w:tcPr>
          <w:p>
            <w:pPr>
              <w:spacing w:before="30" w:after="30" w:line="252" w:lineRule="auto"/>
              <w:jc w:val="center"/>
            </w:pPr>
            <w:r>
              <w:rPr>
                <w:rFonts w:ascii="Arial" w:hAnsi="Arial" w:eastAsia="微软雅黑"/>
                <w:b/>
                <w:color w:val="FFFFFF"/>
                <w:sz w:val="16"/>
              </w:rPr>
              <w:t>技术环节</w:t>
            </w:r>
          </w:p>
        </w:tc>
        <w:tc>
          <w:tcPr>
            <w:tcW w:type="dxa" w:w="2519"/>
            <w:shd w:fill="1F4E78"/>
            <w:vAlign w:val="center"/>
          </w:tcPr>
          <w:p>
            <w:pPr>
              <w:spacing w:before="30" w:after="30" w:line="252" w:lineRule="auto"/>
              <w:jc w:val="center"/>
            </w:pPr>
            <w:r>
              <w:rPr>
                <w:rFonts w:ascii="Arial" w:hAnsi="Arial" w:eastAsia="微软雅黑"/>
                <w:b/>
                <w:color w:val="FFFFFF"/>
                <w:sz w:val="16"/>
              </w:rPr>
              <w:t>当前实现证据</w:t>
            </w:r>
          </w:p>
        </w:tc>
        <w:tc>
          <w:tcPr>
            <w:tcW w:type="dxa" w:w="4995"/>
            <w:shd w:fill="1F4E78"/>
            <w:vAlign w:val="center"/>
          </w:tcPr>
          <w:p>
            <w:pPr>
              <w:spacing w:before="30" w:after="30" w:line="252" w:lineRule="auto"/>
              <w:jc w:val="center"/>
            </w:pPr>
            <w:r>
              <w:rPr>
                <w:rFonts w:ascii="Arial" w:hAnsi="Arial" w:eastAsia="微软雅黑"/>
                <w:b/>
                <w:color w:val="FFFFFF"/>
                <w:sz w:val="16"/>
              </w:rPr>
              <w:t>应在说明书覆盖的等价替代</w:t>
            </w:r>
          </w:p>
        </w:tc>
      </w:tr>
      <w:tr>
        <w:tc>
          <w:tcPr>
            <w:tcW w:type="dxa" w:w="1512"/>
            <w:vAlign w:val="center"/>
          </w:tcPr>
          <w:p>
            <w:pPr>
              <w:spacing w:before="30" w:after="30" w:line="252" w:lineRule="auto"/>
              <w:jc w:val="left"/>
            </w:pPr>
            <w:r>
              <w:rPr>
                <w:rFonts w:ascii="Arial" w:hAnsi="Arial" w:eastAsia="微软雅黑"/>
                <w:b w:val="0"/>
                <w:color w:val="222222"/>
                <w:sz w:val="16"/>
              </w:rPr>
              <w:t>权限来源</w:t>
            </w:r>
          </w:p>
        </w:tc>
        <w:tc>
          <w:tcPr>
            <w:tcW w:type="dxa" w:w="2519"/>
            <w:vAlign w:val="center"/>
          </w:tcPr>
          <w:p>
            <w:pPr>
              <w:spacing w:before="30" w:after="30" w:line="252" w:lineRule="auto"/>
              <w:jc w:val="left"/>
            </w:pPr>
            <w:r>
              <w:rPr>
                <w:rFonts w:ascii="Arial" w:hAnsi="Arial" w:eastAsia="微软雅黑"/>
                <w:b w:val="0"/>
                <w:color w:val="222222"/>
                <w:sz w:val="16"/>
              </w:rPr>
              <w:t>控制器／方法元数据反射</w:t>
            </w:r>
          </w:p>
        </w:tc>
        <w:tc>
          <w:tcPr>
            <w:tcW w:type="dxa" w:w="4995"/>
            <w:vAlign w:val="center"/>
          </w:tcPr>
          <w:p>
            <w:pPr>
              <w:spacing w:before="30" w:after="30" w:line="252" w:lineRule="auto"/>
              <w:jc w:val="left"/>
            </w:pPr>
            <w:r>
              <w:rPr>
                <w:rFonts w:ascii="Arial" w:hAnsi="Arial" w:eastAsia="微软雅黑"/>
                <w:b w:val="0"/>
                <w:color w:val="222222"/>
                <w:sz w:val="16"/>
              </w:rPr>
              <w:t>注解、装饰器、API网关、策略决策点、配置中心、编译期权限清单；要求与业务鉴权同一权威源或同源派生。</w:t>
            </w:r>
          </w:p>
        </w:tc>
      </w:tr>
      <w:tr>
        <w:tc>
          <w:tcPr>
            <w:tcW w:type="dxa" w:w="1512"/>
            <w:shd w:fill="EFF6FB"/>
            <w:vAlign w:val="center"/>
          </w:tcPr>
          <w:p>
            <w:pPr>
              <w:spacing w:before="30" w:after="30" w:line="252" w:lineRule="auto"/>
              <w:jc w:val="left"/>
            </w:pPr>
            <w:r>
              <w:rPr>
                <w:rFonts w:ascii="Arial" w:hAnsi="Arial" w:eastAsia="微软雅黑"/>
                <w:b w:val="0"/>
                <w:color w:val="222222"/>
                <w:sz w:val="16"/>
              </w:rPr>
              <w:t>工具可见性</w:t>
            </w:r>
          </w:p>
        </w:tc>
        <w:tc>
          <w:tcPr>
            <w:tcW w:type="dxa" w:w="2519"/>
            <w:shd w:fill="EFF6FB"/>
            <w:vAlign w:val="center"/>
          </w:tcPr>
          <w:p>
            <w:pPr>
              <w:spacing w:before="30" w:after="30" w:line="252" w:lineRule="auto"/>
              <w:jc w:val="left"/>
            </w:pPr>
            <w:r>
              <w:rPr>
                <w:rFonts w:ascii="Arial" w:hAnsi="Arial" w:eastAsia="微软雅黑"/>
                <w:b w:val="0"/>
                <w:color w:val="222222"/>
                <w:sz w:val="16"/>
              </w:rPr>
              <w:t>挂载前按权限裁剪</w:t>
            </w:r>
          </w:p>
        </w:tc>
        <w:tc>
          <w:tcPr>
            <w:tcW w:type="dxa" w:w="4995"/>
            <w:shd w:fill="EFF6FB"/>
            <w:vAlign w:val="center"/>
          </w:tcPr>
          <w:p>
            <w:pPr>
              <w:spacing w:before="30" w:after="30" w:line="252" w:lineRule="auto"/>
              <w:jc w:val="left"/>
            </w:pPr>
            <w:r>
              <w:rPr>
                <w:rFonts w:ascii="Arial" w:hAnsi="Arial" w:eastAsia="微软雅黑"/>
                <w:b w:val="0"/>
                <w:color w:val="222222"/>
                <w:sz w:val="16"/>
              </w:rPr>
              <w:t>模型请求前裁剪、会话级能力令牌、按调用动态下发；均保证未授权定义不进入模型能力面。</w:t>
            </w:r>
          </w:p>
        </w:tc>
      </w:tr>
      <w:tr>
        <w:tc>
          <w:tcPr>
            <w:tcW w:type="dxa" w:w="1512"/>
            <w:vAlign w:val="center"/>
          </w:tcPr>
          <w:p>
            <w:pPr>
              <w:spacing w:before="30" w:after="30" w:line="252" w:lineRule="auto"/>
              <w:jc w:val="left"/>
            </w:pPr>
            <w:r>
              <w:rPr>
                <w:rFonts w:ascii="Arial" w:hAnsi="Arial" w:eastAsia="微软雅黑"/>
                <w:b w:val="0"/>
                <w:color w:val="222222"/>
                <w:sz w:val="16"/>
              </w:rPr>
              <w:t>确认记录存储</w:t>
            </w:r>
          </w:p>
        </w:tc>
        <w:tc>
          <w:tcPr>
            <w:tcW w:type="dxa" w:w="2519"/>
            <w:vAlign w:val="center"/>
          </w:tcPr>
          <w:p>
            <w:pPr>
              <w:spacing w:before="30" w:after="30" w:line="252" w:lineRule="auto"/>
              <w:jc w:val="left"/>
            </w:pPr>
            <w:r>
              <w:rPr>
                <w:rFonts w:ascii="Arial" w:hAnsi="Arial" w:eastAsia="微软雅黑"/>
                <w:b w:val="0"/>
                <w:color w:val="222222"/>
                <w:sz w:val="16"/>
              </w:rPr>
              <w:t>关系数据库动作表</w:t>
            </w:r>
          </w:p>
        </w:tc>
        <w:tc>
          <w:tcPr>
            <w:tcW w:type="dxa" w:w="4995"/>
            <w:vAlign w:val="center"/>
          </w:tcPr>
          <w:p>
            <w:pPr>
              <w:spacing w:before="30" w:after="30" w:line="252" w:lineRule="auto"/>
              <w:jc w:val="left"/>
            </w:pPr>
            <w:r>
              <w:rPr>
                <w:rFonts w:ascii="Arial" w:hAnsi="Arial" w:eastAsia="微软雅黑"/>
                <w:b w:val="0"/>
                <w:color w:val="222222"/>
                <w:sz w:val="16"/>
              </w:rPr>
              <w:t>事务型键值库、文档数据库、事件溯源存储；要求状态更新具有原子或线性一致语义。</w:t>
            </w:r>
          </w:p>
        </w:tc>
      </w:tr>
      <w:tr>
        <w:tc>
          <w:tcPr>
            <w:tcW w:type="dxa" w:w="1512"/>
            <w:shd w:fill="EFF6FB"/>
            <w:vAlign w:val="center"/>
          </w:tcPr>
          <w:p>
            <w:pPr>
              <w:spacing w:before="30" w:after="30" w:line="252" w:lineRule="auto"/>
              <w:jc w:val="left"/>
            </w:pPr>
            <w:r>
              <w:rPr>
                <w:rFonts w:ascii="Arial" w:hAnsi="Arial" w:eastAsia="微软雅黑"/>
                <w:b w:val="0"/>
                <w:color w:val="222222"/>
                <w:sz w:val="16"/>
              </w:rPr>
              <w:t>执行权获取</w:t>
            </w:r>
          </w:p>
        </w:tc>
        <w:tc>
          <w:tcPr>
            <w:tcW w:type="dxa" w:w="2519"/>
            <w:shd w:fill="EFF6FB"/>
            <w:vAlign w:val="center"/>
          </w:tcPr>
          <w:p>
            <w:pPr>
              <w:spacing w:before="30" w:after="30" w:line="252" w:lineRule="auto"/>
              <w:jc w:val="left"/>
            </w:pPr>
            <w:r>
              <w:rPr>
                <w:rFonts w:ascii="Arial" w:hAnsi="Arial" w:eastAsia="微软雅黑"/>
                <w:b w:val="0"/>
                <w:color w:val="222222"/>
                <w:sz w:val="16"/>
              </w:rPr>
              <w:t>pending→executing条件更新</w:t>
            </w:r>
          </w:p>
        </w:tc>
        <w:tc>
          <w:tcPr>
            <w:tcW w:type="dxa" w:w="4995"/>
            <w:shd w:fill="EFF6FB"/>
            <w:vAlign w:val="center"/>
          </w:tcPr>
          <w:p>
            <w:pPr>
              <w:spacing w:before="30" w:after="30" w:line="252" w:lineRule="auto"/>
              <w:jc w:val="left"/>
            </w:pPr>
            <w:r>
              <w:rPr>
                <w:rFonts w:ascii="Arial" w:hAnsi="Arial" w:eastAsia="微软雅黑"/>
                <w:b w:val="0"/>
                <w:color w:val="222222"/>
                <w:sz w:val="16"/>
              </w:rPr>
              <w:t>比较并交换、行锁事务、唯一幂等键、租约、分布式锁或一致性日志；以至多一次取得执行权为约束。</w:t>
            </w:r>
          </w:p>
        </w:tc>
      </w:tr>
      <w:tr>
        <w:tc>
          <w:tcPr>
            <w:tcW w:type="dxa" w:w="1512"/>
            <w:vAlign w:val="center"/>
          </w:tcPr>
          <w:p>
            <w:pPr>
              <w:spacing w:before="30" w:after="30" w:line="252" w:lineRule="auto"/>
              <w:jc w:val="left"/>
            </w:pPr>
            <w:r>
              <w:rPr>
                <w:rFonts w:ascii="Arial" w:hAnsi="Arial" w:eastAsia="微软雅黑"/>
                <w:b w:val="0"/>
                <w:color w:val="222222"/>
                <w:sz w:val="16"/>
              </w:rPr>
              <w:t>风险判定</w:t>
            </w:r>
          </w:p>
        </w:tc>
        <w:tc>
          <w:tcPr>
            <w:tcW w:type="dxa" w:w="2519"/>
            <w:vAlign w:val="center"/>
          </w:tcPr>
          <w:p>
            <w:pPr>
              <w:spacing w:before="30" w:after="30" w:line="252" w:lineRule="auto"/>
              <w:jc w:val="left"/>
            </w:pPr>
            <w:r>
              <w:rPr>
                <w:rFonts w:ascii="Arial" w:hAnsi="Arial" w:eastAsia="微软雅黑"/>
                <w:b w:val="0"/>
                <w:color w:val="222222"/>
                <w:sz w:val="16"/>
              </w:rPr>
              <w:t>工具注册属性和载荷影响范围</w:t>
            </w:r>
          </w:p>
        </w:tc>
        <w:tc>
          <w:tcPr>
            <w:tcW w:type="dxa" w:w="4995"/>
            <w:vAlign w:val="center"/>
          </w:tcPr>
          <w:p>
            <w:pPr>
              <w:spacing w:before="30" w:after="30" w:line="252" w:lineRule="auto"/>
              <w:jc w:val="left"/>
            </w:pPr>
            <w:r>
              <w:rPr>
                <w:rFonts w:ascii="Arial" w:hAnsi="Arial" w:eastAsia="微软雅黑"/>
                <w:b w:val="0"/>
                <w:color w:val="222222"/>
                <w:sz w:val="16"/>
              </w:rPr>
              <w:t>规则引擎、策略服务、静态分类、动态评分；风险等级和值域可配置，不把具体业务名称写入独立项。</w:t>
            </w:r>
          </w:p>
        </w:tc>
      </w:tr>
      <w:tr>
        <w:tc>
          <w:tcPr>
            <w:tcW w:type="dxa" w:w="1512"/>
            <w:shd w:fill="EFF6FB"/>
            <w:vAlign w:val="center"/>
          </w:tcPr>
          <w:p>
            <w:pPr>
              <w:spacing w:before="30" w:after="30" w:line="252" w:lineRule="auto"/>
              <w:jc w:val="left"/>
            </w:pPr>
            <w:r>
              <w:rPr>
                <w:rFonts w:ascii="Arial" w:hAnsi="Arial" w:eastAsia="微软雅黑"/>
                <w:b w:val="0"/>
                <w:color w:val="222222"/>
                <w:sz w:val="16"/>
              </w:rPr>
              <w:t>调用协议</w:t>
            </w:r>
          </w:p>
        </w:tc>
        <w:tc>
          <w:tcPr>
            <w:tcW w:type="dxa" w:w="2519"/>
            <w:shd w:fill="EFF6FB"/>
            <w:vAlign w:val="center"/>
          </w:tcPr>
          <w:p>
            <w:pPr>
              <w:spacing w:before="30" w:after="30" w:line="252" w:lineRule="auto"/>
              <w:jc w:val="left"/>
            </w:pPr>
            <w:r>
              <w:rPr>
                <w:rFonts w:ascii="Arial" w:hAnsi="Arial" w:eastAsia="微软雅黑"/>
                <w:b w:val="0"/>
                <w:color w:val="222222"/>
                <w:sz w:val="16"/>
              </w:rPr>
              <w:t>流式函数调用与SSE</w:t>
            </w:r>
          </w:p>
        </w:tc>
        <w:tc>
          <w:tcPr>
            <w:tcW w:type="dxa" w:w="4995"/>
            <w:shd w:fill="EFF6FB"/>
            <w:vAlign w:val="center"/>
          </w:tcPr>
          <w:p>
            <w:pPr>
              <w:spacing w:before="30" w:after="30" w:line="252" w:lineRule="auto"/>
              <w:jc w:val="left"/>
            </w:pPr>
            <w:r>
              <w:rPr>
                <w:rFonts w:ascii="Arial" w:hAnsi="Arial" w:eastAsia="微软雅黑"/>
                <w:b w:val="0"/>
                <w:color w:val="222222"/>
                <w:sz w:val="16"/>
              </w:rPr>
              <w:t>非流式函数调用、JSON-RPC、消息队列事件、模型上下文协议或其他结构化调用协议。</w:t>
            </w:r>
          </w:p>
        </w:tc>
      </w:tr>
      <w:tr>
        <w:tc>
          <w:tcPr>
            <w:tcW w:type="dxa" w:w="1512"/>
            <w:vAlign w:val="center"/>
          </w:tcPr>
          <w:p>
            <w:pPr>
              <w:spacing w:before="30" w:after="30" w:line="252" w:lineRule="auto"/>
              <w:jc w:val="left"/>
            </w:pPr>
            <w:r>
              <w:rPr>
                <w:rFonts w:ascii="Arial" w:hAnsi="Arial" w:eastAsia="微软雅黑"/>
                <w:b w:val="0"/>
                <w:color w:val="222222"/>
                <w:sz w:val="16"/>
              </w:rPr>
              <w:t>执行失败处理</w:t>
            </w:r>
          </w:p>
        </w:tc>
        <w:tc>
          <w:tcPr>
            <w:tcW w:type="dxa" w:w="2519"/>
            <w:vAlign w:val="center"/>
          </w:tcPr>
          <w:p>
            <w:pPr>
              <w:spacing w:before="30" w:after="30" w:line="252" w:lineRule="auto"/>
              <w:jc w:val="left"/>
            </w:pPr>
            <w:r>
              <w:rPr>
                <w:rFonts w:ascii="Arial" w:hAnsi="Arial" w:eastAsia="微软雅黑"/>
                <w:b w:val="0"/>
                <w:color w:val="222222"/>
                <w:sz w:val="16"/>
              </w:rPr>
              <w:t>executing回退pending</w:t>
            </w:r>
          </w:p>
        </w:tc>
        <w:tc>
          <w:tcPr>
            <w:tcW w:type="dxa" w:w="4995"/>
            <w:vAlign w:val="center"/>
          </w:tcPr>
          <w:p>
            <w:pPr>
              <w:spacing w:before="30" w:after="30" w:line="252" w:lineRule="auto"/>
              <w:jc w:val="left"/>
            </w:pPr>
            <w:r>
              <w:rPr>
                <w:rFonts w:ascii="Arial" w:hAnsi="Arial" w:eastAsia="微软雅黑"/>
                <w:b w:val="0"/>
                <w:color w:val="222222"/>
                <w:sz w:val="16"/>
              </w:rPr>
              <w:t>回退为可重试状态、写入失败终态并生成新动作、补偿事务；均需防止已完成副作用被误重试。</w:t>
            </w:r>
          </w:p>
        </w:tc>
      </w:tr>
      <w:tr>
        <w:tc>
          <w:tcPr>
            <w:tcW w:type="dxa" w:w="1512"/>
            <w:shd w:fill="EFF6FB"/>
            <w:vAlign w:val="center"/>
          </w:tcPr>
          <w:p>
            <w:pPr>
              <w:spacing w:before="30" w:after="30" w:line="252" w:lineRule="auto"/>
              <w:jc w:val="left"/>
            </w:pPr>
            <w:r>
              <w:rPr>
                <w:rFonts w:ascii="Arial" w:hAnsi="Arial" w:eastAsia="微软雅黑"/>
                <w:b w:val="0"/>
                <w:color w:val="222222"/>
                <w:sz w:val="16"/>
              </w:rPr>
              <w:t>轨迹存储</w:t>
            </w:r>
          </w:p>
        </w:tc>
        <w:tc>
          <w:tcPr>
            <w:tcW w:type="dxa" w:w="2519"/>
            <w:shd w:fill="EFF6FB"/>
            <w:vAlign w:val="center"/>
          </w:tcPr>
          <w:p>
            <w:pPr>
              <w:spacing w:before="30" w:after="30" w:line="252" w:lineRule="auto"/>
              <w:jc w:val="left"/>
            </w:pPr>
            <w:r>
              <w:rPr>
                <w:rFonts w:ascii="Arial" w:hAnsi="Arial" w:eastAsia="微软雅黑"/>
                <w:b w:val="0"/>
                <w:color w:val="222222"/>
                <w:sz w:val="16"/>
              </w:rPr>
              <w:t>工具步骤写入助手消息</w:t>
            </w:r>
          </w:p>
        </w:tc>
        <w:tc>
          <w:tcPr>
            <w:tcW w:type="dxa" w:w="4995"/>
            <w:shd w:fill="EFF6FB"/>
            <w:vAlign w:val="center"/>
          </w:tcPr>
          <w:p>
            <w:pPr>
              <w:spacing w:before="30" w:after="30" w:line="252" w:lineRule="auto"/>
              <w:jc w:val="left"/>
            </w:pPr>
            <w:r>
              <w:rPr>
                <w:rFonts w:ascii="Arial" w:hAnsi="Arial" w:eastAsia="微软雅黑"/>
                <w:b w:val="0"/>
                <w:color w:val="222222"/>
                <w:sz w:val="16"/>
              </w:rPr>
              <w:t>独立审计表、事件日志、对象存储摘要；通过消息ID、调用ID、动作ID或等价关联键实现回放。</w:t>
            </w:r>
          </w:p>
        </w:tc>
      </w:tr>
      <w:tr>
        <w:tc>
          <w:tcPr>
            <w:tcW w:type="dxa" w:w="1512"/>
            <w:vAlign w:val="center"/>
          </w:tcPr>
          <w:p>
            <w:pPr>
              <w:spacing w:before="30" w:after="30" w:line="252" w:lineRule="auto"/>
              <w:jc w:val="left"/>
            </w:pPr>
            <w:r>
              <w:rPr>
                <w:rFonts w:ascii="Arial" w:hAnsi="Arial" w:eastAsia="微软雅黑"/>
                <w:b w:val="0"/>
                <w:color w:val="222222"/>
                <w:sz w:val="16"/>
              </w:rPr>
              <w:t>部署形态</w:t>
            </w:r>
          </w:p>
        </w:tc>
        <w:tc>
          <w:tcPr>
            <w:tcW w:type="dxa" w:w="2519"/>
            <w:vAlign w:val="center"/>
          </w:tcPr>
          <w:p>
            <w:pPr>
              <w:spacing w:before="30" w:after="30" w:line="252" w:lineRule="auto"/>
              <w:jc w:val="left"/>
            </w:pPr>
            <w:r>
              <w:rPr>
                <w:rFonts w:ascii="Arial" w:hAnsi="Arial" w:eastAsia="微软雅黑"/>
                <w:b w:val="0"/>
                <w:color w:val="222222"/>
                <w:sz w:val="16"/>
              </w:rPr>
              <w:t>单项目多服务实例</w:t>
            </w:r>
          </w:p>
        </w:tc>
        <w:tc>
          <w:tcPr>
            <w:tcW w:type="dxa" w:w="4995"/>
            <w:vAlign w:val="center"/>
          </w:tcPr>
          <w:p>
            <w:pPr>
              <w:spacing w:before="30" w:after="30" w:line="252" w:lineRule="auto"/>
              <w:jc w:val="left"/>
            </w:pPr>
            <w:r>
              <w:rPr>
                <w:rFonts w:ascii="Arial" w:hAnsi="Arial" w:eastAsia="微软雅黑"/>
                <w:b w:val="0"/>
                <w:color w:val="222222"/>
                <w:sz w:val="16"/>
              </w:rPr>
              <w:t>单体、微服务、Serverless、边缘节点或混合部署；不依赖特定云、模型、数据库和前端框架。</w:t>
            </w:r>
          </w:p>
        </w:tc>
      </w:tr>
    </w:tbl>
    <w:p>
      <w:pPr>
        <w:spacing w:after="20"/>
      </w:pPr>
    </w:p>
    <w:p>
      <w:pPr>
        <w:pStyle w:val="Heading2"/>
        <w:keepNext/>
      </w:pPr>
      <w:r>
        <w:t>G.3 权利要求—说明书—证据支持矩阵</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36"/>
        <w:gridCol w:w="2274"/>
        <w:gridCol w:w="2375"/>
        <w:gridCol w:w="3341"/>
      </w:tblGrid>
      <w:tr>
        <w:trPr>
          <w:tblHeader w:val="true"/>
        </w:trPr>
        <w:tc>
          <w:tcPr>
            <w:tcW w:type="dxa" w:w="1036"/>
            <w:shd w:fill="1F4E78"/>
            <w:vAlign w:val="center"/>
          </w:tcPr>
          <w:p>
            <w:pPr>
              <w:spacing w:before="30" w:after="30" w:line="252" w:lineRule="auto"/>
              <w:jc w:val="center"/>
            </w:pPr>
            <w:r>
              <w:rPr>
                <w:rFonts w:ascii="Arial" w:hAnsi="Arial" w:eastAsia="微软雅黑"/>
                <w:b/>
                <w:color w:val="FFFFFF"/>
                <w:sz w:val="16"/>
              </w:rPr>
              <w:t>权利要求</w:t>
            </w:r>
          </w:p>
        </w:tc>
        <w:tc>
          <w:tcPr>
            <w:tcW w:type="dxa" w:w="2274"/>
            <w:shd w:fill="1F4E78"/>
            <w:vAlign w:val="center"/>
          </w:tcPr>
          <w:p>
            <w:pPr>
              <w:spacing w:before="30" w:after="30" w:line="252" w:lineRule="auto"/>
              <w:jc w:val="center"/>
            </w:pPr>
            <w:r>
              <w:rPr>
                <w:rFonts w:ascii="Arial" w:hAnsi="Arial" w:eastAsia="微软雅黑"/>
                <w:b/>
                <w:color w:val="FFFFFF"/>
                <w:sz w:val="16"/>
              </w:rPr>
              <w:t>核心特征</w:t>
            </w:r>
          </w:p>
        </w:tc>
        <w:tc>
          <w:tcPr>
            <w:tcW w:type="dxa" w:w="2375"/>
            <w:shd w:fill="1F4E78"/>
            <w:vAlign w:val="center"/>
          </w:tcPr>
          <w:p>
            <w:pPr>
              <w:spacing w:before="30" w:after="30" w:line="252" w:lineRule="auto"/>
              <w:jc w:val="center"/>
            </w:pPr>
            <w:r>
              <w:rPr>
                <w:rFonts w:ascii="Arial" w:hAnsi="Arial" w:eastAsia="微软雅黑"/>
                <w:b/>
                <w:color w:val="FFFFFF"/>
                <w:sz w:val="16"/>
              </w:rPr>
              <w:t>说明书支持</w:t>
            </w:r>
          </w:p>
        </w:tc>
        <w:tc>
          <w:tcPr>
            <w:tcW w:type="dxa" w:w="3341"/>
            <w:shd w:fill="1F4E78"/>
            <w:vAlign w:val="center"/>
          </w:tcPr>
          <w:p>
            <w:pPr>
              <w:spacing w:before="30" w:after="30" w:line="252" w:lineRule="auto"/>
              <w:jc w:val="center"/>
            </w:pPr>
            <w:r>
              <w:rPr>
                <w:rFonts w:ascii="Arial" w:hAnsi="Arial" w:eastAsia="微软雅黑"/>
                <w:b/>
                <w:color w:val="FFFFFF"/>
                <w:sz w:val="16"/>
              </w:rPr>
              <w:t>附图／代码与测试证据</w:t>
            </w:r>
          </w:p>
        </w:tc>
      </w:tr>
      <w:tr>
        <w:tc>
          <w:tcPr>
            <w:tcW w:type="dxa" w:w="1036"/>
            <w:vAlign w:val="center"/>
          </w:tcPr>
          <w:p>
            <w:pPr>
              <w:spacing w:before="30" w:after="30" w:line="252" w:lineRule="auto"/>
              <w:jc w:val="left"/>
            </w:pPr>
            <w:r>
              <w:rPr>
                <w:rFonts w:ascii="Arial" w:hAnsi="Arial" w:eastAsia="微软雅黑"/>
                <w:b w:val="0"/>
                <w:color w:val="222222"/>
                <w:sz w:val="16"/>
              </w:rPr>
              <w:t>1</w:t>
            </w:r>
          </w:p>
        </w:tc>
        <w:tc>
          <w:tcPr>
            <w:tcW w:type="dxa" w:w="2274"/>
            <w:vAlign w:val="center"/>
          </w:tcPr>
          <w:p>
            <w:pPr>
              <w:spacing w:before="30" w:after="30" w:line="252" w:lineRule="auto"/>
              <w:jc w:val="left"/>
            </w:pPr>
            <w:r>
              <w:rPr>
                <w:rFonts w:ascii="Arial" w:hAnsi="Arial" w:eastAsia="微软雅黑"/>
                <w:b w:val="0"/>
                <w:color w:val="222222"/>
                <w:sz w:val="16"/>
              </w:rPr>
              <w:t>完整安全执行链</w:t>
            </w:r>
          </w:p>
        </w:tc>
        <w:tc>
          <w:tcPr>
            <w:tcW w:type="dxa" w:w="2375"/>
            <w:vAlign w:val="center"/>
          </w:tcPr>
          <w:p>
            <w:pPr>
              <w:spacing w:before="30" w:after="30" w:line="252" w:lineRule="auto"/>
              <w:jc w:val="left"/>
            </w:pPr>
            <w:r>
              <w:rPr>
                <w:rFonts w:ascii="Arial" w:hAnsi="Arial" w:eastAsia="微软雅黑"/>
                <w:b w:val="0"/>
                <w:color w:val="222222"/>
                <w:sz w:val="16"/>
              </w:rPr>
              <w:t>第6—9节、第10节</w:t>
            </w:r>
          </w:p>
        </w:tc>
        <w:tc>
          <w:tcPr>
            <w:tcW w:type="dxa" w:w="3341"/>
            <w:vAlign w:val="center"/>
          </w:tcPr>
          <w:p>
            <w:pPr>
              <w:spacing w:before="30" w:after="30" w:line="252" w:lineRule="auto"/>
              <w:jc w:val="left"/>
            </w:pPr>
            <w:r>
              <w:rPr>
                <w:rFonts w:ascii="Arial" w:hAnsi="Arial" w:eastAsia="微软雅黑"/>
                <w:b w:val="0"/>
                <w:color w:val="222222"/>
                <w:sz w:val="16"/>
              </w:rPr>
              <w:t>图1—3；agent-permission.ts、agent-actions.ts、chat-tools.service.ts、chat.service.ts及专项测试</w:t>
            </w:r>
          </w:p>
        </w:tc>
      </w:tr>
      <w:tr>
        <w:tc>
          <w:tcPr>
            <w:tcW w:type="dxa" w:w="1036"/>
            <w:shd w:fill="EFF6FB"/>
            <w:vAlign w:val="center"/>
          </w:tcPr>
          <w:p>
            <w:pPr>
              <w:spacing w:before="30" w:after="30" w:line="252" w:lineRule="auto"/>
              <w:jc w:val="left"/>
            </w:pPr>
            <w:r>
              <w:rPr>
                <w:rFonts w:ascii="Arial" w:hAnsi="Arial" w:eastAsia="微软雅黑"/>
                <w:b w:val="0"/>
                <w:color w:val="222222"/>
                <w:sz w:val="16"/>
              </w:rPr>
              <w:t>2—3</w:t>
            </w:r>
          </w:p>
        </w:tc>
        <w:tc>
          <w:tcPr>
            <w:tcW w:type="dxa" w:w="2274"/>
            <w:shd w:fill="EFF6FB"/>
            <w:vAlign w:val="center"/>
          </w:tcPr>
          <w:p>
            <w:pPr>
              <w:spacing w:before="30" w:after="30" w:line="252" w:lineRule="auto"/>
              <w:jc w:val="left"/>
            </w:pPr>
            <w:r>
              <w:rPr>
                <w:rFonts w:ascii="Arial" w:hAnsi="Arial" w:eastAsia="微软雅黑"/>
                <w:b w:val="0"/>
                <w:color w:val="222222"/>
                <w:sz w:val="16"/>
              </w:rPr>
              <w:t>权限元数据优先级与失败关闭</w:t>
            </w:r>
          </w:p>
        </w:tc>
        <w:tc>
          <w:tcPr>
            <w:tcW w:type="dxa" w:w="2375"/>
            <w:shd w:fill="EFF6FB"/>
            <w:vAlign w:val="center"/>
          </w:tcPr>
          <w:p>
            <w:pPr>
              <w:spacing w:before="30" w:after="30" w:line="252" w:lineRule="auto"/>
              <w:jc w:val="left"/>
            </w:pPr>
            <w:r>
              <w:rPr>
                <w:rFonts w:ascii="Arial" w:hAnsi="Arial" w:eastAsia="微软雅黑"/>
                <w:b w:val="0"/>
                <w:color w:val="222222"/>
                <w:sz w:val="16"/>
              </w:rPr>
              <w:t>第6.1、7节S2—S3、实施例三</w:t>
            </w:r>
          </w:p>
        </w:tc>
        <w:tc>
          <w:tcPr>
            <w:tcW w:type="dxa" w:w="3341"/>
            <w:shd w:fill="EFF6FB"/>
            <w:vAlign w:val="center"/>
          </w:tcPr>
          <w:p>
            <w:pPr>
              <w:spacing w:before="30" w:after="30" w:line="252" w:lineRule="auto"/>
              <w:jc w:val="left"/>
            </w:pPr>
            <w:r>
              <w:rPr>
                <w:rFonts w:ascii="Arial" w:hAnsi="Arial" w:eastAsia="微软雅黑"/>
                <w:b w:val="0"/>
                <w:color w:val="222222"/>
                <w:sz w:val="16"/>
              </w:rPr>
              <w:t>agent-permission.ts；chat-agent-permission.spec.ts</w:t>
            </w:r>
          </w:p>
        </w:tc>
      </w:tr>
      <w:tr>
        <w:tc>
          <w:tcPr>
            <w:tcW w:type="dxa" w:w="1036"/>
            <w:vAlign w:val="center"/>
          </w:tcPr>
          <w:p>
            <w:pPr>
              <w:spacing w:before="30" w:after="30" w:line="252" w:lineRule="auto"/>
              <w:jc w:val="left"/>
            </w:pPr>
            <w:r>
              <w:rPr>
                <w:rFonts w:ascii="Arial" w:hAnsi="Arial" w:eastAsia="微软雅黑"/>
                <w:b w:val="0"/>
                <w:color w:val="222222"/>
                <w:sz w:val="16"/>
              </w:rPr>
              <w:t>4—5</w:t>
            </w:r>
          </w:p>
        </w:tc>
        <w:tc>
          <w:tcPr>
            <w:tcW w:type="dxa" w:w="2274"/>
            <w:vAlign w:val="center"/>
          </w:tcPr>
          <w:p>
            <w:pPr>
              <w:spacing w:before="30" w:after="30" w:line="252" w:lineRule="auto"/>
              <w:jc w:val="left"/>
            </w:pPr>
            <w:r>
              <w:rPr>
                <w:rFonts w:ascii="Arial" w:hAnsi="Arial" w:eastAsia="微软雅黑"/>
                <w:b w:val="0"/>
                <w:color w:val="222222"/>
                <w:sz w:val="16"/>
              </w:rPr>
              <w:t>风险分级、载荷归一化、确认记录</w:t>
            </w:r>
          </w:p>
        </w:tc>
        <w:tc>
          <w:tcPr>
            <w:tcW w:type="dxa" w:w="2375"/>
            <w:vAlign w:val="center"/>
          </w:tcPr>
          <w:p>
            <w:pPr>
              <w:spacing w:before="30" w:after="30" w:line="252" w:lineRule="auto"/>
              <w:jc w:val="left"/>
            </w:pPr>
            <w:r>
              <w:rPr>
                <w:rFonts w:ascii="Arial" w:hAnsi="Arial" w:eastAsia="微软雅黑"/>
                <w:b w:val="0"/>
                <w:color w:val="222222"/>
                <w:sz w:val="16"/>
              </w:rPr>
              <w:t>第6.1—6.2、7节S4—S6、实施例一至二</w:t>
            </w:r>
          </w:p>
        </w:tc>
        <w:tc>
          <w:tcPr>
            <w:tcW w:type="dxa" w:w="3341"/>
            <w:vAlign w:val="center"/>
          </w:tcPr>
          <w:p>
            <w:pPr>
              <w:spacing w:before="30" w:after="30" w:line="252" w:lineRule="auto"/>
              <w:jc w:val="left"/>
            </w:pPr>
            <w:r>
              <w:rPr>
                <w:rFonts w:ascii="Arial" w:hAnsi="Arial" w:eastAsia="微软雅黑"/>
                <w:b w:val="0"/>
                <w:color w:val="222222"/>
                <w:sz w:val="16"/>
              </w:rPr>
              <w:t>agent-actions.ts、chat-tools.service.ts；agent-actions及pending-action测试</w:t>
            </w:r>
          </w:p>
        </w:tc>
      </w:tr>
      <w:tr>
        <w:tc>
          <w:tcPr>
            <w:tcW w:type="dxa" w:w="1036"/>
            <w:shd w:fill="EFF6FB"/>
            <w:vAlign w:val="center"/>
          </w:tcPr>
          <w:p>
            <w:pPr>
              <w:spacing w:before="30" w:after="30" w:line="252" w:lineRule="auto"/>
              <w:jc w:val="left"/>
            </w:pPr>
            <w:r>
              <w:rPr>
                <w:rFonts w:ascii="Arial" w:hAnsi="Arial" w:eastAsia="微软雅黑"/>
                <w:b w:val="0"/>
                <w:color w:val="222222"/>
                <w:sz w:val="16"/>
              </w:rPr>
              <w:t>6—9</w:t>
            </w:r>
          </w:p>
        </w:tc>
        <w:tc>
          <w:tcPr>
            <w:tcW w:type="dxa" w:w="2274"/>
            <w:shd w:fill="EFF6FB"/>
            <w:vAlign w:val="center"/>
          </w:tcPr>
          <w:p>
            <w:pPr>
              <w:spacing w:before="30" w:after="30" w:line="252" w:lineRule="auto"/>
              <w:jc w:val="left"/>
            </w:pPr>
            <w:r>
              <w:rPr>
                <w:rFonts w:ascii="Arial" w:hAnsi="Arial" w:eastAsia="微软雅黑"/>
                <w:b w:val="0"/>
                <w:color w:val="222222"/>
                <w:sz w:val="16"/>
              </w:rPr>
              <w:t>状态机、原子抢占、复核、取消和过期</w:t>
            </w:r>
          </w:p>
        </w:tc>
        <w:tc>
          <w:tcPr>
            <w:tcW w:type="dxa" w:w="2375"/>
            <w:shd w:fill="EFF6FB"/>
            <w:vAlign w:val="center"/>
          </w:tcPr>
          <w:p>
            <w:pPr>
              <w:spacing w:before="30" w:after="30" w:line="252" w:lineRule="auto"/>
              <w:jc w:val="left"/>
            </w:pPr>
            <w:r>
              <w:rPr>
                <w:rFonts w:ascii="Arial" w:hAnsi="Arial" w:eastAsia="微软雅黑"/>
                <w:b w:val="0"/>
                <w:color w:val="222222"/>
                <w:sz w:val="16"/>
              </w:rPr>
              <w:t>第7节S7—S9、第8节、实施例四至七</w:t>
            </w:r>
          </w:p>
        </w:tc>
        <w:tc>
          <w:tcPr>
            <w:tcW w:type="dxa" w:w="3341"/>
            <w:shd w:fill="EFF6FB"/>
            <w:vAlign w:val="center"/>
          </w:tcPr>
          <w:p>
            <w:pPr>
              <w:spacing w:before="30" w:after="30" w:line="252" w:lineRule="auto"/>
              <w:jc w:val="left"/>
            </w:pPr>
            <w:r>
              <w:rPr>
                <w:rFonts w:ascii="Arial" w:hAnsi="Arial" w:eastAsia="微软雅黑"/>
                <w:b w:val="0"/>
                <w:color w:val="222222"/>
                <w:sz w:val="16"/>
              </w:rPr>
              <w:t>图3；schema.prisma、chat-tools.service.ts；chat-pending-action.spec.ts</w:t>
            </w:r>
          </w:p>
        </w:tc>
      </w:tr>
      <w:tr>
        <w:tc>
          <w:tcPr>
            <w:tcW w:type="dxa" w:w="1036"/>
            <w:vAlign w:val="center"/>
          </w:tcPr>
          <w:p>
            <w:pPr>
              <w:spacing w:before="30" w:after="30" w:line="252" w:lineRule="auto"/>
              <w:jc w:val="left"/>
            </w:pPr>
            <w:r>
              <w:rPr>
                <w:rFonts w:ascii="Arial" w:hAnsi="Arial" w:eastAsia="微软雅黑"/>
                <w:b w:val="0"/>
                <w:color w:val="222222"/>
                <w:sz w:val="16"/>
              </w:rPr>
              <w:t>10—11</w:t>
            </w:r>
          </w:p>
        </w:tc>
        <w:tc>
          <w:tcPr>
            <w:tcW w:type="dxa" w:w="2274"/>
            <w:vAlign w:val="center"/>
          </w:tcPr>
          <w:p>
            <w:pPr>
              <w:spacing w:before="30" w:after="30" w:line="252" w:lineRule="auto"/>
              <w:jc w:val="left"/>
            </w:pPr>
            <w:r>
              <w:rPr>
                <w:rFonts w:ascii="Arial" w:hAnsi="Arial" w:eastAsia="微软雅黑"/>
                <w:b w:val="0"/>
                <w:color w:val="222222"/>
                <w:sz w:val="16"/>
              </w:rPr>
              <w:t>流式调用收敛与轨迹回放</w:t>
            </w:r>
          </w:p>
        </w:tc>
        <w:tc>
          <w:tcPr>
            <w:tcW w:type="dxa" w:w="2375"/>
            <w:vAlign w:val="center"/>
          </w:tcPr>
          <w:p>
            <w:pPr>
              <w:spacing w:before="30" w:after="30" w:line="252" w:lineRule="auto"/>
              <w:jc w:val="left"/>
            </w:pPr>
            <w:r>
              <w:rPr>
                <w:rFonts w:ascii="Arial" w:hAnsi="Arial" w:eastAsia="微软雅黑"/>
                <w:b w:val="0"/>
                <w:color w:val="222222"/>
                <w:sz w:val="16"/>
              </w:rPr>
              <w:t>第7节S4、S10、实施例八、第10节</w:t>
            </w:r>
          </w:p>
        </w:tc>
        <w:tc>
          <w:tcPr>
            <w:tcW w:type="dxa" w:w="3341"/>
            <w:vAlign w:val="center"/>
          </w:tcPr>
          <w:p>
            <w:pPr>
              <w:spacing w:before="30" w:after="30" w:line="252" w:lineRule="auto"/>
              <w:jc w:val="left"/>
            </w:pPr>
            <w:r>
              <w:rPr>
                <w:rFonts w:ascii="Arial" w:hAnsi="Arial" w:eastAsia="微软雅黑"/>
                <w:b w:val="0"/>
                <w:color w:val="222222"/>
                <w:sz w:val="16"/>
              </w:rPr>
              <w:t>react-loop.ts、chat.service.ts、MateChatBubble.tsx及相关测试</w:t>
            </w:r>
          </w:p>
        </w:tc>
      </w:tr>
      <w:tr>
        <w:tc>
          <w:tcPr>
            <w:tcW w:type="dxa" w:w="1036"/>
            <w:shd w:fill="EFF6FB"/>
            <w:vAlign w:val="center"/>
          </w:tcPr>
          <w:p>
            <w:pPr>
              <w:spacing w:before="30" w:after="30" w:line="252" w:lineRule="auto"/>
              <w:jc w:val="left"/>
            </w:pPr>
            <w:r>
              <w:rPr>
                <w:rFonts w:ascii="Arial" w:hAnsi="Arial" w:eastAsia="微软雅黑"/>
                <w:b w:val="0"/>
                <w:color w:val="222222"/>
                <w:sz w:val="16"/>
              </w:rPr>
              <w:t>12</w:t>
            </w:r>
          </w:p>
        </w:tc>
        <w:tc>
          <w:tcPr>
            <w:tcW w:type="dxa" w:w="2274"/>
            <w:shd w:fill="EFF6FB"/>
            <w:vAlign w:val="center"/>
          </w:tcPr>
          <w:p>
            <w:pPr>
              <w:spacing w:before="30" w:after="30" w:line="252" w:lineRule="auto"/>
              <w:jc w:val="left"/>
            </w:pPr>
            <w:r>
              <w:rPr>
                <w:rFonts w:ascii="Arial" w:hAnsi="Arial" w:eastAsia="微软雅黑"/>
                <w:b w:val="0"/>
                <w:color w:val="222222"/>
                <w:sz w:val="16"/>
              </w:rPr>
              <w:t>系统模块组合</w:t>
            </w:r>
          </w:p>
        </w:tc>
        <w:tc>
          <w:tcPr>
            <w:tcW w:type="dxa" w:w="2375"/>
            <w:shd w:fill="EFF6FB"/>
            <w:vAlign w:val="center"/>
          </w:tcPr>
          <w:p>
            <w:pPr>
              <w:spacing w:before="30" w:after="30" w:line="252" w:lineRule="auto"/>
              <w:jc w:val="left"/>
            </w:pPr>
            <w:r>
              <w:rPr>
                <w:rFonts w:ascii="Arial" w:hAnsi="Arial" w:eastAsia="微软雅黑"/>
                <w:b w:val="0"/>
                <w:color w:val="222222"/>
                <w:sz w:val="16"/>
              </w:rPr>
              <w:t>第6节系统架构、第7—8节</w:t>
            </w:r>
          </w:p>
        </w:tc>
        <w:tc>
          <w:tcPr>
            <w:tcW w:type="dxa" w:w="3341"/>
            <w:shd w:fill="EFF6FB"/>
            <w:vAlign w:val="center"/>
          </w:tcPr>
          <w:p>
            <w:pPr>
              <w:spacing w:before="30" w:after="30" w:line="252" w:lineRule="auto"/>
              <w:jc w:val="left"/>
            </w:pPr>
            <w:r>
              <w:rPr>
                <w:rFonts w:ascii="Arial" w:hAnsi="Arial" w:eastAsia="微软雅黑"/>
                <w:b w:val="0"/>
                <w:color w:val="222222"/>
                <w:sz w:val="16"/>
              </w:rPr>
              <w:t>图1—3及上述全部代码证据</w:t>
            </w:r>
          </w:p>
        </w:tc>
      </w:tr>
      <w:tr>
        <w:tc>
          <w:tcPr>
            <w:tcW w:type="dxa" w:w="1036"/>
            <w:vAlign w:val="center"/>
          </w:tcPr>
          <w:p>
            <w:pPr>
              <w:spacing w:before="30" w:after="30" w:line="252" w:lineRule="auto"/>
              <w:jc w:val="left"/>
            </w:pPr>
            <w:r>
              <w:rPr>
                <w:rFonts w:ascii="Arial" w:hAnsi="Arial" w:eastAsia="微软雅黑"/>
                <w:b w:val="0"/>
                <w:color w:val="222222"/>
                <w:sz w:val="16"/>
              </w:rPr>
              <w:t>13—15</w:t>
            </w:r>
          </w:p>
        </w:tc>
        <w:tc>
          <w:tcPr>
            <w:tcW w:type="dxa" w:w="2274"/>
            <w:vAlign w:val="center"/>
          </w:tcPr>
          <w:p>
            <w:pPr>
              <w:spacing w:before="30" w:after="30" w:line="252" w:lineRule="auto"/>
              <w:jc w:val="left"/>
            </w:pPr>
            <w:r>
              <w:rPr>
                <w:rFonts w:ascii="Arial" w:hAnsi="Arial" w:eastAsia="微软雅黑"/>
                <w:b w:val="0"/>
                <w:color w:val="222222"/>
                <w:sz w:val="16"/>
              </w:rPr>
              <w:t>设备、介质、程序产品</w:t>
            </w:r>
          </w:p>
        </w:tc>
        <w:tc>
          <w:tcPr>
            <w:tcW w:type="dxa" w:w="2375"/>
            <w:vAlign w:val="center"/>
          </w:tcPr>
          <w:p>
            <w:pPr>
              <w:spacing w:before="30" w:after="30" w:line="252" w:lineRule="auto"/>
              <w:jc w:val="left"/>
            </w:pPr>
            <w:r>
              <w:rPr>
                <w:rFonts w:ascii="Arial" w:hAnsi="Arial" w:eastAsia="微软雅黑"/>
                <w:b w:val="0"/>
                <w:color w:val="222222"/>
                <w:sz w:val="16"/>
              </w:rPr>
              <w:t>第13.3节及本附件F</w:t>
            </w:r>
          </w:p>
        </w:tc>
        <w:tc>
          <w:tcPr>
            <w:tcW w:type="dxa" w:w="3341"/>
            <w:vAlign w:val="center"/>
          </w:tcPr>
          <w:p>
            <w:pPr>
              <w:spacing w:before="30" w:after="30" w:line="252" w:lineRule="auto"/>
              <w:jc w:val="left"/>
            </w:pPr>
            <w:r>
              <w:rPr>
                <w:rFonts w:ascii="Arial" w:hAnsi="Arial" w:eastAsia="微软雅黑"/>
                <w:b w:val="0"/>
                <w:color w:val="222222"/>
                <w:sz w:val="16"/>
              </w:rPr>
              <w:t>以方法项实施所需处理器、存储器和指令为基础</w:t>
            </w:r>
          </w:p>
        </w:tc>
      </w:tr>
    </w:tbl>
    <w:p>
      <w:pPr>
        <w:spacing w:after="20"/>
      </w:pPr>
    </w:p>
    <w:tbl>
      <w:tblPr>
        <w:tblW w:type="dxa" w:w="9026"/>
        <w:tblLayout w:type="fixed"/>
        <w:tblLook w:firstColumn="1" w:firstRow="1" w:lastColumn="0" w:lastRow="0" w:noHBand="0" w:noVBand="1" w:val="04A0"/>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Ind w:w="120" w:type="dxa"/>
      </w:tblPr>
      <w:tblGrid>
        <w:gridCol w:w="9026"/>
      </w:tblGrid>
      <w:tr>
        <w:tc>
          <w:tcPr>
            <w:tcW w:type="dxa" w:w="9026"/>
            <w:shd w:fill="D9EAF7"/>
            <w:vAlign w:val="center"/>
          </w:tcPr>
          <w:p>
            <w:pPr>
              <w:spacing w:before="30" w:after="30" w:line="252" w:lineRule="auto"/>
              <w:jc w:val="left"/>
            </w:pPr>
            <w:r>
              <w:rPr>
                <w:rFonts w:ascii="Arial" w:hAnsi="Arial" w:eastAsia="微软雅黑"/>
                <w:b/>
                <w:color w:val="222222"/>
                <w:sz w:val="19"/>
              </w:rPr>
              <w:t>支持性复核规则：权利要求中的每一个限定词均应能在说明书正文、附图或可归档的实施证据中找到直接依据；仅存在于源代码而未写入说明书的特征，不应直接进入正式权利要求。</w:t>
            </w:r>
          </w:p>
        </w:tc>
      </w:tr>
    </w:tbl>
    <w:p>
      <w:pPr>
        <w:spacing w:after="20"/>
      </w:pPr>
    </w:p>
    <w:p>
      <w:r>
        <w:br w:type="page"/>
      </w:r>
    </w:p>
    <w:p>
      <w:pPr>
        <w:pStyle w:val="Heading1"/>
        <w:keepNext/>
      </w:pPr>
      <w:r>
        <w:t>附件H：人员、披露、权属与代理交接表（V2完善版新增）</w:t>
      </w:r>
    </w:p>
    <w:p>
      <w:pPr>
        <w:pStyle w:val="Heading2"/>
        <w:keepNext/>
      </w:pPr>
      <w:r>
        <w:t>H.1 发明人贡献确认表</w:t>
      </w:r>
    </w:p>
    <w:p>
      <w:pPr>
        <w:spacing w:after="100" w:line="324" w:lineRule="auto"/>
        <w:ind w:firstLine="420"/>
      </w:pPr>
      <w:r>
        <w:rPr>
          <w:rFonts w:ascii="Arial" w:hAnsi="Arial" w:eastAsia="微软雅黑"/>
          <w:b w:val="0"/>
          <w:color w:val="222222"/>
          <w:sz w:val="21"/>
        </w:rPr>
        <w:t>填写口径：发明人必须是对权利要求所述实质性技术特征的形成作出创造性贡献的自然人。仅提供组织管理、任务分配、资金、一般性需求、常规编码或测试支持，不当然构成发明人资格。</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036"/>
        <w:gridCol w:w="2519"/>
        <w:gridCol w:w="1080"/>
        <w:gridCol w:w="1799"/>
        <w:gridCol w:w="1368"/>
        <w:gridCol w:w="1224"/>
      </w:tblGrid>
      <w:tr>
        <w:trPr>
          <w:tblHeader w:val="true"/>
        </w:trPr>
        <w:tc>
          <w:tcPr>
            <w:tcW w:type="dxa" w:w="1036"/>
            <w:shd w:fill="1F4E78"/>
            <w:vAlign w:val="center"/>
          </w:tcPr>
          <w:p>
            <w:pPr>
              <w:spacing w:before="30" w:after="30" w:line="252" w:lineRule="auto"/>
              <w:jc w:val="center"/>
            </w:pPr>
            <w:r>
              <w:rPr>
                <w:rFonts w:ascii="Arial" w:hAnsi="Arial" w:eastAsia="微软雅黑"/>
                <w:b/>
                <w:color w:val="FFFFFF"/>
                <w:sz w:val="15"/>
              </w:rPr>
              <w:t>法定姓名</w:t>
            </w:r>
          </w:p>
        </w:tc>
        <w:tc>
          <w:tcPr>
            <w:tcW w:type="dxa" w:w="2519"/>
            <w:shd w:fill="1F4E78"/>
            <w:vAlign w:val="center"/>
          </w:tcPr>
          <w:p>
            <w:pPr>
              <w:spacing w:before="30" w:after="30" w:line="252" w:lineRule="auto"/>
              <w:jc w:val="center"/>
            </w:pPr>
            <w:r>
              <w:rPr>
                <w:rFonts w:ascii="Arial" w:hAnsi="Arial" w:eastAsia="微软雅黑"/>
                <w:b/>
                <w:color w:val="FFFFFF"/>
                <w:sz w:val="15"/>
              </w:rPr>
              <w:t>创造性贡献（对应特征／权利要求）</w:t>
            </w:r>
          </w:p>
        </w:tc>
        <w:tc>
          <w:tcPr>
            <w:tcW w:type="dxa" w:w="1080"/>
            <w:shd w:fill="1F4E78"/>
            <w:vAlign w:val="center"/>
          </w:tcPr>
          <w:p>
            <w:pPr>
              <w:spacing w:before="30" w:after="30" w:line="252" w:lineRule="auto"/>
              <w:jc w:val="center"/>
            </w:pPr>
            <w:r>
              <w:rPr>
                <w:rFonts w:ascii="Arial" w:hAnsi="Arial" w:eastAsia="微软雅黑"/>
                <w:b/>
                <w:color w:val="FFFFFF"/>
                <w:sz w:val="15"/>
              </w:rPr>
              <w:t>形成时间</w:t>
            </w:r>
          </w:p>
        </w:tc>
        <w:tc>
          <w:tcPr>
            <w:tcW w:type="dxa" w:w="1799"/>
            <w:shd w:fill="1F4E78"/>
            <w:vAlign w:val="center"/>
          </w:tcPr>
          <w:p>
            <w:pPr>
              <w:spacing w:before="30" w:after="30" w:line="252" w:lineRule="auto"/>
              <w:jc w:val="center"/>
            </w:pPr>
            <w:r>
              <w:rPr>
                <w:rFonts w:ascii="Arial" w:hAnsi="Arial" w:eastAsia="微软雅黑"/>
                <w:b/>
                <w:color w:val="FFFFFF"/>
                <w:sz w:val="15"/>
              </w:rPr>
              <w:t>证据（会议／提交／文档）</w:t>
            </w:r>
          </w:p>
        </w:tc>
        <w:tc>
          <w:tcPr>
            <w:tcW w:type="dxa" w:w="1368"/>
            <w:shd w:fill="1F4E78"/>
            <w:vAlign w:val="center"/>
          </w:tcPr>
          <w:p>
            <w:pPr>
              <w:spacing w:before="30" w:after="30" w:line="252" w:lineRule="auto"/>
              <w:jc w:val="center"/>
            </w:pPr>
            <w:r>
              <w:rPr>
                <w:rFonts w:ascii="Arial" w:hAnsi="Arial" w:eastAsia="微软雅黑"/>
                <w:b/>
                <w:color w:val="FFFFFF"/>
                <w:sz w:val="15"/>
              </w:rPr>
              <w:t>职务／权属关系</w:t>
            </w:r>
          </w:p>
        </w:tc>
        <w:tc>
          <w:tcPr>
            <w:tcW w:type="dxa" w:w="1224"/>
            <w:shd w:fill="1F4E78"/>
            <w:vAlign w:val="center"/>
          </w:tcPr>
          <w:p>
            <w:pPr>
              <w:spacing w:before="30" w:after="30" w:line="252" w:lineRule="auto"/>
              <w:jc w:val="center"/>
            </w:pPr>
            <w:r>
              <w:rPr>
                <w:rFonts w:ascii="Arial" w:hAnsi="Arial" w:eastAsia="微软雅黑"/>
                <w:b/>
                <w:color w:val="FFFFFF"/>
                <w:sz w:val="15"/>
              </w:rPr>
              <w:t>本人签字</w:t>
            </w:r>
          </w:p>
        </w:tc>
      </w:tr>
      <w:tr>
        <w:tc>
          <w:tcPr>
            <w:tcW w:type="dxa" w:w="1036"/>
            <w:vAlign w:val="center"/>
          </w:tcPr>
          <w:p>
            <w:pPr>
              <w:spacing w:before="30" w:after="30" w:line="252" w:lineRule="auto"/>
              <w:jc w:val="left"/>
            </w:pPr>
            <w:r>
              <w:rPr>
                <w:rFonts w:ascii="Arial" w:hAnsi="Arial" w:eastAsia="微软雅黑"/>
                <w:b w:val="0"/>
                <w:color w:val="222222"/>
                <w:sz w:val="15"/>
              </w:rPr>
              <w:t>【必填】</w:t>
            </w:r>
          </w:p>
        </w:tc>
        <w:tc>
          <w:tcPr>
            <w:tcW w:type="dxa" w:w="2519"/>
            <w:vAlign w:val="center"/>
          </w:tcPr>
          <w:p>
            <w:pPr>
              <w:spacing w:before="30" w:after="30" w:line="252" w:lineRule="auto"/>
              <w:jc w:val="left"/>
            </w:pPr>
            <w:r>
              <w:rPr>
                <w:rFonts w:ascii="Arial" w:hAnsi="Arial" w:eastAsia="微软雅黑"/>
                <w:b w:val="0"/>
                <w:color w:val="222222"/>
                <w:sz w:val="15"/>
              </w:rPr>
              <w:t>【必填】</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【必填】</w:t>
            </w:r>
          </w:p>
        </w:tc>
        <w:tc>
          <w:tcPr>
            <w:tcW w:type="dxa" w:w="1368"/>
            <w:vAlign w:val="center"/>
          </w:tcPr>
          <w:p>
            <w:pPr>
              <w:spacing w:before="30" w:after="30" w:line="252" w:lineRule="auto"/>
              <w:jc w:val="left"/>
            </w:pPr>
            <w:r>
              <w:rPr>
                <w:rFonts w:ascii="Arial" w:hAnsi="Arial" w:eastAsia="微软雅黑"/>
                <w:b w:val="0"/>
                <w:color w:val="222222"/>
                <w:sz w:val="15"/>
              </w:rPr>
              <w:t>【必填】</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c>
          <w:tcPr>
            <w:tcW w:type="dxa" w:w="1036"/>
            <w:shd w:fill="EFF6FB"/>
            <w:vAlign w:val="center"/>
          </w:tcPr>
          <w:p>
            <w:pPr>
              <w:spacing w:before="30" w:after="30" w:line="252" w:lineRule="auto"/>
              <w:jc w:val="left"/>
            </w:pPr>
            <w:r>
              <w:rPr>
                <w:rFonts w:ascii="Arial" w:hAnsi="Arial" w:eastAsia="微软雅黑"/>
                <w:b w:val="0"/>
                <w:color w:val="222222"/>
                <w:sz w:val="15"/>
              </w:rPr>
              <w:t>【必填】</w:t>
            </w:r>
          </w:p>
        </w:tc>
        <w:tc>
          <w:tcPr>
            <w:tcW w:type="dxa" w:w="2519"/>
            <w:shd w:fill="EFF6FB"/>
            <w:vAlign w:val="center"/>
          </w:tcPr>
          <w:p>
            <w:pPr>
              <w:spacing w:before="30" w:after="30" w:line="252" w:lineRule="auto"/>
              <w:jc w:val="left"/>
            </w:pPr>
            <w:r>
              <w:rPr>
                <w:rFonts w:ascii="Arial" w:hAnsi="Arial" w:eastAsia="微软雅黑"/>
                <w:b w:val="0"/>
                <w:color w:val="222222"/>
                <w:sz w:val="15"/>
              </w:rPr>
              <w:t>【必填】</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【必填】</w:t>
            </w:r>
          </w:p>
        </w:tc>
        <w:tc>
          <w:tcPr>
            <w:tcW w:type="dxa" w:w="1368"/>
            <w:shd w:fill="EFF6FB"/>
            <w:vAlign w:val="center"/>
          </w:tcPr>
          <w:p>
            <w:pPr>
              <w:spacing w:before="30" w:after="30" w:line="252" w:lineRule="auto"/>
              <w:jc w:val="left"/>
            </w:pPr>
            <w:r>
              <w:rPr>
                <w:rFonts w:ascii="Arial" w:hAnsi="Arial" w:eastAsia="微软雅黑"/>
                <w:b w:val="0"/>
                <w:color w:val="222222"/>
                <w:sz w:val="15"/>
              </w:rPr>
              <w:t>【必填】</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r>
        <w:tc>
          <w:tcPr>
            <w:tcW w:type="dxa" w:w="1036"/>
            <w:vAlign w:val="center"/>
          </w:tcPr>
          <w:p>
            <w:pPr>
              <w:spacing w:before="30" w:after="30" w:line="252" w:lineRule="auto"/>
              <w:jc w:val="left"/>
            </w:pPr>
            <w:r>
              <w:rPr>
                <w:rFonts w:ascii="Arial" w:hAnsi="Arial" w:eastAsia="微软雅黑"/>
                <w:b w:val="0"/>
                <w:color w:val="222222"/>
                <w:sz w:val="15"/>
              </w:rPr>
              <w:t>【如适用】</w:t>
            </w:r>
          </w:p>
        </w:tc>
        <w:tc>
          <w:tcPr>
            <w:tcW w:type="dxa" w:w="2519"/>
            <w:vAlign w:val="center"/>
          </w:tcPr>
          <w:p>
            <w:pPr>
              <w:spacing w:before="30" w:after="30" w:line="252" w:lineRule="auto"/>
              <w:jc w:val="left"/>
            </w:pPr>
            <w:r>
              <w:rPr>
                <w:rFonts w:ascii="Arial" w:hAnsi="Arial" w:eastAsia="微软雅黑"/>
                <w:b w:val="0"/>
                <w:color w:val="222222"/>
                <w:sz w:val="15"/>
              </w:rPr>
              <w:t>【如适用】</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【如适用】</w:t>
            </w:r>
          </w:p>
        </w:tc>
        <w:tc>
          <w:tcPr>
            <w:tcW w:type="dxa" w:w="1368"/>
            <w:vAlign w:val="center"/>
          </w:tcPr>
          <w:p>
            <w:pPr>
              <w:spacing w:before="30" w:after="30" w:line="252" w:lineRule="auto"/>
              <w:jc w:val="left"/>
            </w:pPr>
            <w:r>
              <w:rPr>
                <w:rFonts w:ascii="Arial" w:hAnsi="Arial" w:eastAsia="微软雅黑"/>
                <w:b w:val="0"/>
                <w:color w:val="222222"/>
                <w:sz w:val="15"/>
              </w:rPr>
              <w:t>【如适用】</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c>
          <w:tcPr>
            <w:tcW w:type="dxa" w:w="1036"/>
            <w:shd w:fill="EFF6FB"/>
            <w:vAlign w:val="center"/>
          </w:tcPr>
          <w:p>
            <w:pPr>
              <w:spacing w:before="30" w:after="30" w:line="252" w:lineRule="auto"/>
              <w:jc w:val="left"/>
            </w:pPr>
            <w:r>
              <w:rPr>
                <w:rFonts w:ascii="Arial" w:hAnsi="Arial" w:eastAsia="微软雅黑"/>
                <w:b w:val="0"/>
                <w:color w:val="222222"/>
                <w:sz w:val="15"/>
              </w:rPr>
              <w:t>【如适用】</w:t>
            </w:r>
          </w:p>
        </w:tc>
        <w:tc>
          <w:tcPr>
            <w:tcW w:type="dxa" w:w="2519"/>
            <w:shd w:fill="EFF6FB"/>
            <w:vAlign w:val="center"/>
          </w:tcPr>
          <w:p>
            <w:pPr>
              <w:spacing w:before="30" w:after="30" w:line="252" w:lineRule="auto"/>
              <w:jc w:val="left"/>
            </w:pPr>
            <w:r>
              <w:rPr>
                <w:rFonts w:ascii="Arial" w:hAnsi="Arial" w:eastAsia="微软雅黑"/>
                <w:b w:val="0"/>
                <w:color w:val="222222"/>
                <w:sz w:val="15"/>
              </w:rPr>
              <w:t>【如适用】</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【如适用】</w:t>
            </w:r>
          </w:p>
        </w:tc>
        <w:tc>
          <w:tcPr>
            <w:tcW w:type="dxa" w:w="1368"/>
            <w:shd w:fill="EFF6FB"/>
            <w:vAlign w:val="center"/>
          </w:tcPr>
          <w:p>
            <w:pPr>
              <w:spacing w:before="30" w:after="30" w:line="252" w:lineRule="auto"/>
              <w:jc w:val="left"/>
            </w:pPr>
            <w:r>
              <w:rPr>
                <w:rFonts w:ascii="Arial" w:hAnsi="Arial" w:eastAsia="微软雅黑"/>
                <w:b w:val="0"/>
                <w:color w:val="222222"/>
                <w:sz w:val="15"/>
              </w:rPr>
              <w:t>【如适用】</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bl>
    <w:p>
      <w:pPr>
        <w:spacing w:after="20"/>
      </w:pPr>
    </w:p>
    <w:p>
      <w:pPr>
        <w:spacing w:after="100" w:line="324" w:lineRule="auto"/>
        <w:ind w:firstLine="420"/>
      </w:pPr>
      <w:r>
        <w:rPr>
          <w:rFonts w:ascii="Arial" w:hAnsi="Arial" w:eastAsia="微软雅黑"/>
          <w:b w:val="0"/>
          <w:color w:val="222222"/>
          <w:sz w:val="21"/>
        </w:rPr>
        <w:t>项目负责人确认：上述人员范围及排序已依据实际创造性贡献核定，不含单位名称、团队名称或人工智能名称。签字：________________  日期：____年__月__日</w:t>
      </w:r>
    </w:p>
    <w:p>
      <w:pPr>
        <w:pStyle w:val="Heading2"/>
        <w:keepNext/>
      </w:pPr>
      <w:r>
        <w:t>H.2 公开披露时间线核查表</w:t>
      </w:r>
    </w:p>
    <w:p>
      <w:pPr>
        <w:spacing w:after="100" w:line="324" w:lineRule="auto"/>
        <w:ind w:firstLine="420"/>
      </w:pPr>
      <w:r>
        <w:rPr>
          <w:rFonts w:ascii="Arial" w:hAnsi="Arial" w:eastAsia="微软雅黑"/>
          <w:b w:val="0"/>
          <w:color w:val="222222"/>
          <w:sz w:val="21"/>
        </w:rPr>
        <w:t>逐一核对官网、生产上线、客户环境、演示、投标、路演、论文、公众号、视频、设计链接、代码仓库、开源提交、群聊和邮件。即使有保密协议，也应记录接收对象、可访问范围和证据。</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368"/>
        <w:gridCol w:w="1036"/>
        <w:gridCol w:w="1324"/>
        <w:gridCol w:w="1440"/>
        <w:gridCol w:w="1655"/>
        <w:gridCol w:w="1195"/>
        <w:gridCol w:w="1008"/>
      </w:tblGrid>
      <w:tr>
        <w:trPr>
          <w:tblHeader w:val="true"/>
        </w:trPr>
        <w:tc>
          <w:tcPr>
            <w:tcW w:type="dxa" w:w="1368"/>
            <w:shd w:fill="1F4E78"/>
            <w:vAlign w:val="center"/>
          </w:tcPr>
          <w:p>
            <w:pPr>
              <w:spacing w:before="30" w:after="30" w:line="252" w:lineRule="auto"/>
              <w:jc w:val="center"/>
            </w:pPr>
            <w:r>
              <w:rPr>
                <w:rFonts w:ascii="Arial" w:hAnsi="Arial" w:eastAsia="微软雅黑"/>
                <w:b/>
                <w:color w:val="FFFFFF"/>
                <w:sz w:val="14"/>
              </w:rPr>
              <w:t>渠道／事件</w:t>
            </w:r>
          </w:p>
        </w:tc>
        <w:tc>
          <w:tcPr>
            <w:tcW w:type="dxa" w:w="1036"/>
            <w:shd w:fill="1F4E78"/>
            <w:vAlign w:val="center"/>
          </w:tcPr>
          <w:p>
            <w:pPr>
              <w:spacing w:before="30" w:after="30" w:line="252" w:lineRule="auto"/>
              <w:jc w:val="center"/>
            </w:pPr>
            <w:r>
              <w:rPr>
                <w:rFonts w:ascii="Arial" w:hAnsi="Arial" w:eastAsia="微软雅黑"/>
                <w:b/>
                <w:color w:val="FFFFFF"/>
                <w:sz w:val="14"/>
              </w:rPr>
              <w:t>最早日期</w:t>
            </w:r>
          </w:p>
        </w:tc>
        <w:tc>
          <w:tcPr>
            <w:tcW w:type="dxa" w:w="1324"/>
            <w:shd w:fill="1F4E78"/>
            <w:vAlign w:val="center"/>
          </w:tcPr>
          <w:p>
            <w:pPr>
              <w:spacing w:before="30" w:after="30" w:line="252" w:lineRule="auto"/>
              <w:jc w:val="center"/>
            </w:pPr>
            <w:r>
              <w:rPr>
                <w:rFonts w:ascii="Arial" w:hAnsi="Arial" w:eastAsia="微软雅黑"/>
                <w:b/>
                <w:color w:val="FFFFFF"/>
                <w:sz w:val="14"/>
              </w:rPr>
              <w:t>接收对象与人数</w:t>
            </w:r>
          </w:p>
        </w:tc>
        <w:tc>
          <w:tcPr>
            <w:tcW w:type="dxa" w:w="1440"/>
            <w:shd w:fill="1F4E78"/>
            <w:vAlign w:val="center"/>
          </w:tcPr>
          <w:p>
            <w:pPr>
              <w:spacing w:before="30" w:after="30" w:line="252" w:lineRule="auto"/>
              <w:jc w:val="center"/>
            </w:pPr>
            <w:r>
              <w:rPr>
                <w:rFonts w:ascii="Arial" w:hAnsi="Arial" w:eastAsia="微软雅黑"/>
                <w:b/>
                <w:color w:val="FFFFFF"/>
                <w:sz w:val="14"/>
              </w:rPr>
              <w:t>保密依据／权限</w:t>
            </w:r>
          </w:p>
        </w:tc>
        <w:tc>
          <w:tcPr>
            <w:tcW w:type="dxa" w:w="1655"/>
            <w:shd w:fill="1F4E78"/>
            <w:vAlign w:val="center"/>
          </w:tcPr>
          <w:p>
            <w:pPr>
              <w:spacing w:before="30" w:after="30" w:line="252" w:lineRule="auto"/>
              <w:jc w:val="center"/>
            </w:pPr>
            <w:r>
              <w:rPr>
                <w:rFonts w:ascii="Arial" w:hAnsi="Arial" w:eastAsia="微软雅黑"/>
                <w:b/>
                <w:color w:val="FFFFFF"/>
                <w:sz w:val="14"/>
              </w:rPr>
              <w:t>披露到的技术特征</w:t>
            </w:r>
          </w:p>
        </w:tc>
        <w:tc>
          <w:tcPr>
            <w:tcW w:type="dxa" w:w="1195"/>
            <w:shd w:fill="1F4E78"/>
            <w:vAlign w:val="center"/>
          </w:tcPr>
          <w:p>
            <w:pPr>
              <w:spacing w:before="30" w:after="30" w:line="252" w:lineRule="auto"/>
              <w:jc w:val="center"/>
            </w:pPr>
            <w:r>
              <w:rPr>
                <w:rFonts w:ascii="Arial" w:hAnsi="Arial" w:eastAsia="微软雅黑"/>
                <w:b/>
                <w:color w:val="FFFFFF"/>
                <w:sz w:val="14"/>
              </w:rPr>
              <w:t>证据位置</w:t>
            </w:r>
          </w:p>
        </w:tc>
        <w:tc>
          <w:tcPr>
            <w:tcW w:type="dxa" w:w="1008"/>
            <w:shd w:fill="1F4E78"/>
            <w:vAlign w:val="center"/>
          </w:tcPr>
          <w:p>
            <w:pPr>
              <w:spacing w:before="30" w:after="30" w:line="252" w:lineRule="auto"/>
              <w:jc w:val="center"/>
            </w:pPr>
            <w:r>
              <w:rPr>
                <w:rFonts w:ascii="Arial" w:hAnsi="Arial" w:eastAsia="微软雅黑"/>
                <w:b/>
                <w:color w:val="FFFFFF"/>
                <w:sz w:val="14"/>
              </w:rPr>
              <w:t>结论</w:t>
            </w:r>
          </w:p>
        </w:tc>
      </w:tr>
      <w:tr>
        <w:tc>
          <w:tcPr>
            <w:tcW w:type="dxa" w:w="1368"/>
            <w:vAlign w:val="center"/>
          </w:tcPr>
          <w:p>
            <w:pPr>
              <w:spacing w:before="30" w:after="30" w:line="252" w:lineRule="auto"/>
              <w:jc w:val="left"/>
            </w:pPr>
            <w:r>
              <w:rPr>
                <w:rFonts w:ascii="Arial" w:hAnsi="Arial" w:eastAsia="微软雅黑"/>
                <w:b w:val="0"/>
                <w:color w:val="222222"/>
                <w:sz w:val="14"/>
              </w:rPr>
              <w:t>生产／客户部署</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c>
          <w:tcPr>
            <w:tcW w:type="dxa" w:w="1368"/>
            <w:shd w:fill="EFF6FB"/>
            <w:vAlign w:val="center"/>
          </w:tcPr>
          <w:p>
            <w:pPr>
              <w:spacing w:before="30" w:after="30" w:line="252" w:lineRule="auto"/>
              <w:jc w:val="left"/>
            </w:pPr>
            <w:r>
              <w:rPr>
                <w:rFonts w:ascii="Arial" w:hAnsi="Arial" w:eastAsia="微软雅黑"/>
                <w:b w:val="0"/>
                <w:color w:val="222222"/>
                <w:sz w:val="14"/>
              </w:rPr>
              <w:t>演示／投标／汇报</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c>
          <w:tcPr>
            <w:tcW w:type="dxa" w:w="1368"/>
            <w:vAlign w:val="center"/>
          </w:tcPr>
          <w:p>
            <w:pPr>
              <w:spacing w:before="30" w:after="30" w:line="252" w:lineRule="auto"/>
              <w:jc w:val="left"/>
            </w:pPr>
            <w:r>
              <w:rPr>
                <w:rFonts w:ascii="Arial" w:hAnsi="Arial" w:eastAsia="微软雅黑"/>
                <w:b w:val="0"/>
                <w:color w:val="222222"/>
                <w:sz w:val="14"/>
              </w:rPr>
              <w:t>设计链接／截图／文档</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c>
          <w:tcPr>
            <w:tcW w:type="dxa" w:w="1368"/>
            <w:shd w:fill="EFF6FB"/>
            <w:vAlign w:val="center"/>
          </w:tcPr>
          <w:p>
            <w:pPr>
              <w:spacing w:before="30" w:after="30" w:line="252" w:lineRule="auto"/>
              <w:jc w:val="left"/>
            </w:pPr>
            <w:r>
              <w:rPr>
                <w:rFonts w:ascii="Arial" w:hAnsi="Arial" w:eastAsia="微软雅黑"/>
                <w:b w:val="0"/>
                <w:color w:val="222222"/>
                <w:sz w:val="14"/>
              </w:rPr>
              <w:t>代码仓库／开源提交</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c>
          <w:tcPr>
            <w:tcW w:type="dxa" w:w="1368"/>
            <w:vAlign w:val="center"/>
          </w:tcPr>
          <w:p>
            <w:pPr>
              <w:spacing w:before="30" w:after="30" w:line="252" w:lineRule="auto"/>
              <w:jc w:val="left"/>
            </w:pPr>
            <w:r>
              <w:rPr>
                <w:rFonts w:ascii="Arial" w:hAnsi="Arial" w:eastAsia="微软雅黑"/>
                <w:b w:val="0"/>
                <w:color w:val="222222"/>
                <w:sz w:val="14"/>
              </w:rPr>
              <w:t>网站／视频／社交媒体</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c>
          <w:tcPr>
            <w:tcW w:type="dxa" w:w="1368"/>
            <w:shd w:fill="EFF6FB"/>
            <w:vAlign w:val="center"/>
          </w:tcPr>
          <w:p>
            <w:pPr>
              <w:spacing w:before="30" w:after="30" w:line="252" w:lineRule="auto"/>
              <w:jc w:val="left"/>
            </w:pPr>
            <w:r>
              <w:rPr>
                <w:rFonts w:ascii="Arial" w:hAnsi="Arial" w:eastAsia="微软雅黑"/>
                <w:b w:val="0"/>
                <w:color w:val="222222"/>
                <w:sz w:val="14"/>
              </w:rPr>
              <w:t>其他：________</w:t>
            </w:r>
          </w:p>
        </w:tc>
        <w:tc>
          <w:tcPr>
            <w:tcW w:type="dxa" w:w="1036"/>
            <w:shd w:fill="EFF6FB"/>
            <w:vAlign w:val="center"/>
          </w:tcPr>
          <w:p>
            <w:pPr>
              <w:spacing w:before="30" w:after="30" w:line="252" w:lineRule="auto"/>
              <w:jc w:val="left"/>
            </w:pPr>
            <w:r>
              <w:rPr>
                <w:rFonts w:ascii="Arial" w:hAnsi="Arial" w:eastAsia="微软雅黑"/>
                <w:b w:val="0"/>
                <w:color w:val="222222"/>
                <w:sz w:val="14"/>
              </w:rPr>
              <w:t>________</w:t>
            </w:r>
          </w:p>
        </w:tc>
        <w:tc>
          <w:tcPr>
            <w:tcW w:type="dxa" w:w="1324"/>
            <w:shd w:fill="EFF6FB"/>
            <w:vAlign w:val="center"/>
          </w:tcPr>
          <w:p>
            <w:pPr>
              <w:spacing w:before="30" w:after="30" w:line="252" w:lineRule="auto"/>
              <w:jc w:val="left"/>
            </w:pPr>
            <w:r>
              <w:rPr>
                <w:rFonts w:ascii="Arial" w:hAnsi="Arial" w:eastAsia="微软雅黑"/>
                <w:b w:val="0"/>
                <w:color w:val="222222"/>
                <w:sz w:val="14"/>
              </w:rPr>
              <w:t>________</w:t>
            </w:r>
          </w:p>
        </w:tc>
        <w:tc>
          <w:tcPr>
            <w:tcW w:type="dxa" w:w="1440"/>
            <w:shd w:fill="EFF6FB"/>
            <w:vAlign w:val="center"/>
          </w:tcPr>
          <w:p>
            <w:pPr>
              <w:spacing w:before="30" w:after="30" w:line="252" w:lineRule="auto"/>
              <w:jc w:val="left"/>
            </w:pPr>
            <w:r>
              <w:rPr>
                <w:rFonts w:ascii="Arial" w:hAnsi="Arial" w:eastAsia="微软雅黑"/>
                <w:b w:val="0"/>
                <w:color w:val="222222"/>
                <w:sz w:val="14"/>
              </w:rPr>
              <w:t>________</w:t>
            </w:r>
          </w:p>
        </w:tc>
        <w:tc>
          <w:tcPr>
            <w:tcW w:type="dxa" w:w="1655"/>
            <w:shd w:fill="EFF6FB"/>
            <w:vAlign w:val="center"/>
          </w:tcPr>
          <w:p>
            <w:pPr>
              <w:spacing w:before="30" w:after="30" w:line="252" w:lineRule="auto"/>
              <w:jc w:val="left"/>
            </w:pPr>
            <w:r>
              <w:rPr>
                <w:rFonts w:ascii="Arial" w:hAnsi="Arial" w:eastAsia="微软雅黑"/>
                <w:b w:val="0"/>
                <w:color w:val="222222"/>
                <w:sz w:val="14"/>
              </w:rPr>
              <w:t>________</w:t>
            </w:r>
          </w:p>
        </w:tc>
        <w:tc>
          <w:tcPr>
            <w:tcW w:type="dxa" w:w="1195"/>
            <w:shd w:fill="EFF6FB"/>
            <w:vAlign w:val="center"/>
          </w:tcPr>
          <w:p>
            <w:pPr>
              <w:spacing w:before="30" w:after="30" w:line="252" w:lineRule="auto"/>
              <w:jc w:val="left"/>
            </w:pPr>
            <w:r>
              <w:rPr>
                <w:rFonts w:ascii="Arial" w:hAnsi="Arial" w:eastAsia="微软雅黑"/>
                <w:b w:val="0"/>
                <w:color w:val="222222"/>
                <w:sz w:val="14"/>
              </w:rPr>
              <w:t>________</w:t>
            </w:r>
          </w:p>
        </w:tc>
        <w:tc>
          <w:tcPr>
            <w:tcW w:type="dxa" w:w="1008"/>
            <w:shd w:fill="EFF6FB"/>
            <w:vAlign w:val="center"/>
          </w:tcPr>
          <w:p>
            <w:pPr>
              <w:spacing w:before="30" w:after="30" w:line="252" w:lineRule="auto"/>
              <w:jc w:val="left"/>
            </w:pPr>
            <w:r>
              <w:rPr>
                <w:rFonts w:ascii="Arial" w:hAnsi="Arial" w:eastAsia="微软雅黑"/>
                <w:b w:val="0"/>
                <w:color w:val="222222"/>
                <w:sz w:val="14"/>
              </w:rPr>
              <w:t>________</w:t>
            </w:r>
          </w:p>
        </w:tc>
      </w:tr>
    </w:tbl>
    <w:p>
      <w:pPr>
        <w:spacing w:after="20"/>
      </w:pPr>
    </w:p>
    <w:tbl>
      <w:tblPr>
        <w:tblW w:type="dxa" w:w="9026"/>
        <w:tblLayout w:type="fixed"/>
        <w:tblLook w:firstColumn="1" w:firstRow="1" w:lastColumn="0" w:lastRow="0" w:noHBand="0" w:noVBand="1" w:val="04A0"/>
        <w:jc w:val="center"/>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Ind w:w="120" w:type="dxa"/>
      </w:tblPr>
      <w:tblGrid>
        <w:gridCol w:w="9026"/>
      </w:tblGrid>
      <w:tr>
        <w:tc>
          <w:tcPr>
            <w:tcW w:type="dxa" w:w="9026"/>
            <w:shd w:fill="FCE4D6"/>
            <w:vAlign w:val="center"/>
          </w:tcPr>
          <w:p>
            <w:pPr>
              <w:spacing w:before="30" w:after="30" w:line="252" w:lineRule="auto"/>
              <w:jc w:val="left"/>
            </w:pPr>
            <w:r>
              <w:rPr>
                <w:rFonts w:ascii="Arial" w:hAnsi="Arial" w:eastAsia="微软雅黑"/>
                <w:b/>
                <w:color w:val="222222"/>
                <w:sz w:val="19"/>
              </w:rPr>
              <w:t>红线：在申请日确定并完成提交前，暂停新增对外演示、公开代码、公开设计链接或披露本文件中的未公开实现细节。发现可能的在先公开时，不得自行判断无影响，应立即把日期、对象、内容和证据交专利代理师评估。</w:t>
            </w:r>
          </w:p>
        </w:tc>
      </w:tr>
    </w:tbl>
    <w:p>
      <w:pPr>
        <w:spacing w:after="20"/>
      </w:pPr>
    </w:p>
    <w:p>
      <w:pPr>
        <w:pStyle w:val="Heading2"/>
        <w:keepNext/>
      </w:pPr>
      <w:r>
        <w:t>H.3 权属与第三方因素核对</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512"/>
        <w:gridCol w:w="4823"/>
        <w:gridCol w:w="1512"/>
        <w:gridCol w:w="1179"/>
      </w:tblGrid>
      <w:tr>
        <w:trPr>
          <w:tblHeader w:val="true"/>
        </w:trPr>
        <w:tc>
          <w:tcPr>
            <w:tcW w:type="dxa" w:w="1512"/>
            <w:shd w:fill="1F4E78"/>
            <w:vAlign w:val="center"/>
          </w:tcPr>
          <w:p>
            <w:pPr>
              <w:spacing w:before="30" w:after="30" w:line="252" w:lineRule="auto"/>
              <w:jc w:val="center"/>
            </w:pPr>
            <w:r>
              <w:rPr>
                <w:rFonts w:ascii="Arial" w:hAnsi="Arial" w:eastAsia="微软雅黑"/>
                <w:b/>
                <w:color w:val="FFFFFF"/>
                <w:sz w:val="16"/>
              </w:rPr>
              <w:t>核对事项</w:t>
            </w:r>
          </w:p>
        </w:tc>
        <w:tc>
          <w:tcPr>
            <w:tcW w:type="dxa" w:w="4823"/>
            <w:shd w:fill="1F4E78"/>
            <w:vAlign w:val="center"/>
          </w:tcPr>
          <w:p>
            <w:pPr>
              <w:spacing w:before="30" w:after="30" w:line="252" w:lineRule="auto"/>
              <w:jc w:val="center"/>
            </w:pPr>
            <w:r>
              <w:rPr>
                <w:rFonts w:ascii="Arial" w:hAnsi="Arial" w:eastAsia="微软雅黑"/>
                <w:b/>
                <w:color w:val="FFFFFF"/>
                <w:sz w:val="16"/>
              </w:rPr>
              <w:t>必须确认的内容</w:t>
            </w:r>
          </w:p>
        </w:tc>
        <w:tc>
          <w:tcPr>
            <w:tcW w:type="dxa" w:w="1512"/>
            <w:shd w:fill="1F4E78"/>
            <w:vAlign w:val="center"/>
          </w:tcPr>
          <w:p>
            <w:pPr>
              <w:spacing w:before="30" w:after="30" w:line="252" w:lineRule="auto"/>
              <w:jc w:val="center"/>
            </w:pPr>
            <w:r>
              <w:rPr>
                <w:rFonts w:ascii="Arial" w:hAnsi="Arial" w:eastAsia="微软雅黑"/>
                <w:b/>
                <w:color w:val="FFFFFF"/>
                <w:sz w:val="16"/>
              </w:rPr>
              <w:t>责任方</w:t>
            </w:r>
          </w:p>
        </w:tc>
        <w:tc>
          <w:tcPr>
            <w:tcW w:type="dxa" w:w="1179"/>
            <w:shd w:fill="1F4E78"/>
            <w:vAlign w:val="center"/>
          </w:tcPr>
          <w:p>
            <w:pPr>
              <w:spacing w:before="30" w:after="30" w:line="252" w:lineRule="auto"/>
              <w:jc w:val="center"/>
            </w:pPr>
            <w:r>
              <w:rPr>
                <w:rFonts w:ascii="Arial" w:hAnsi="Arial" w:eastAsia="微软雅黑"/>
                <w:b/>
                <w:color w:val="FFFFFF"/>
                <w:sz w:val="16"/>
              </w:rPr>
              <w:t>状态</w:t>
            </w:r>
          </w:p>
        </w:tc>
      </w:tr>
      <w:tr>
        <w:tc>
          <w:tcPr>
            <w:tcW w:type="dxa" w:w="1512"/>
            <w:vAlign w:val="center"/>
          </w:tcPr>
          <w:p>
            <w:pPr>
              <w:spacing w:before="30" w:after="30" w:line="252" w:lineRule="auto"/>
              <w:jc w:val="left"/>
            </w:pPr>
            <w:r>
              <w:rPr>
                <w:rFonts w:ascii="Arial" w:hAnsi="Arial" w:eastAsia="微软雅黑"/>
                <w:b w:val="0"/>
                <w:color w:val="222222"/>
                <w:sz w:val="16"/>
              </w:rPr>
              <w:t>职务发明</w:t>
            </w:r>
          </w:p>
        </w:tc>
        <w:tc>
          <w:tcPr>
            <w:tcW w:type="dxa" w:w="4823"/>
            <w:vAlign w:val="center"/>
          </w:tcPr>
          <w:p>
            <w:pPr>
              <w:spacing w:before="30" w:after="30" w:line="252" w:lineRule="auto"/>
              <w:jc w:val="left"/>
            </w:pPr>
            <w:r>
              <w:rPr>
                <w:rFonts w:ascii="Arial" w:hAnsi="Arial" w:eastAsia="微软雅黑"/>
                <w:b w:val="0"/>
                <w:color w:val="222222"/>
                <w:sz w:val="16"/>
              </w:rPr>
              <w:t>发明形成时的劳动关系、岗位职责、单位资源使用情况及内部职务发明制度。</w:t>
            </w:r>
          </w:p>
        </w:tc>
        <w:tc>
          <w:tcPr>
            <w:tcW w:type="dxa" w:w="1512"/>
            <w:vAlign w:val="center"/>
          </w:tcPr>
          <w:p>
            <w:pPr>
              <w:spacing w:before="30" w:after="30" w:line="252" w:lineRule="auto"/>
              <w:jc w:val="left"/>
            </w:pPr>
            <w:r>
              <w:rPr>
                <w:rFonts w:ascii="Arial" w:hAnsi="Arial" w:eastAsia="微软雅黑"/>
                <w:b w:val="0"/>
                <w:color w:val="222222"/>
                <w:sz w:val="16"/>
              </w:rPr>
              <w:t>法务／人力</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c>
          <w:tcPr>
            <w:tcW w:type="dxa" w:w="1512"/>
            <w:shd w:fill="EFF6FB"/>
            <w:vAlign w:val="center"/>
          </w:tcPr>
          <w:p>
            <w:pPr>
              <w:spacing w:before="30" w:after="30" w:line="252" w:lineRule="auto"/>
              <w:jc w:val="left"/>
            </w:pPr>
            <w:r>
              <w:rPr>
                <w:rFonts w:ascii="Arial" w:hAnsi="Arial" w:eastAsia="微软雅黑"/>
                <w:b w:val="0"/>
                <w:color w:val="222222"/>
                <w:sz w:val="16"/>
              </w:rPr>
              <w:t>外包／顾问／合作方</w:t>
            </w:r>
          </w:p>
        </w:tc>
        <w:tc>
          <w:tcPr>
            <w:tcW w:type="dxa" w:w="4823"/>
            <w:shd w:fill="EFF6FB"/>
            <w:vAlign w:val="center"/>
          </w:tcPr>
          <w:p>
            <w:pPr>
              <w:spacing w:before="30" w:after="30" w:line="252" w:lineRule="auto"/>
              <w:jc w:val="left"/>
            </w:pPr>
            <w:r>
              <w:rPr>
                <w:rFonts w:ascii="Arial" w:hAnsi="Arial" w:eastAsia="微软雅黑"/>
                <w:b w:val="0"/>
                <w:color w:val="222222"/>
                <w:sz w:val="16"/>
              </w:rPr>
              <w:t>是否参与实质性特征形成；合同中知识产权归属、转让与后续签字义务是否完整。</w:t>
            </w:r>
          </w:p>
        </w:tc>
        <w:tc>
          <w:tcPr>
            <w:tcW w:type="dxa" w:w="1512"/>
            <w:shd w:fill="EFF6FB"/>
            <w:vAlign w:val="center"/>
          </w:tcPr>
          <w:p>
            <w:pPr>
              <w:spacing w:before="30" w:after="30" w:line="252" w:lineRule="auto"/>
              <w:jc w:val="left"/>
            </w:pPr>
            <w:r>
              <w:rPr>
                <w:rFonts w:ascii="Arial" w:hAnsi="Arial" w:eastAsia="微软雅黑"/>
                <w:b w:val="0"/>
                <w:color w:val="222222"/>
                <w:sz w:val="16"/>
              </w:rPr>
              <w:t>法务／项目负责人</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c>
          <w:tcPr>
            <w:tcW w:type="dxa" w:w="1512"/>
            <w:vAlign w:val="center"/>
          </w:tcPr>
          <w:p>
            <w:pPr>
              <w:spacing w:before="30" w:after="30" w:line="252" w:lineRule="auto"/>
              <w:jc w:val="left"/>
            </w:pPr>
            <w:r>
              <w:rPr>
                <w:rFonts w:ascii="Arial" w:hAnsi="Arial" w:eastAsia="微软雅黑"/>
                <w:b w:val="0"/>
                <w:color w:val="222222"/>
                <w:sz w:val="16"/>
              </w:rPr>
              <w:t>离职或调岗人员</w:t>
            </w:r>
          </w:p>
        </w:tc>
        <w:tc>
          <w:tcPr>
            <w:tcW w:type="dxa" w:w="4823"/>
            <w:vAlign w:val="center"/>
          </w:tcPr>
          <w:p>
            <w:pPr>
              <w:spacing w:before="30" w:after="30" w:line="252" w:lineRule="auto"/>
              <w:jc w:val="left"/>
            </w:pPr>
            <w:r>
              <w:rPr>
                <w:rFonts w:ascii="Arial" w:hAnsi="Arial" w:eastAsia="微软雅黑"/>
                <w:b w:val="0"/>
                <w:color w:val="222222"/>
                <w:sz w:val="16"/>
              </w:rPr>
              <w:t>真实贡献、联系方式、签字安排及权属文件是否可追溯。</w:t>
            </w:r>
          </w:p>
        </w:tc>
        <w:tc>
          <w:tcPr>
            <w:tcW w:type="dxa" w:w="1512"/>
            <w:vAlign w:val="center"/>
          </w:tcPr>
          <w:p>
            <w:pPr>
              <w:spacing w:before="30" w:after="30" w:line="252" w:lineRule="auto"/>
              <w:jc w:val="left"/>
            </w:pPr>
            <w:r>
              <w:rPr>
                <w:rFonts w:ascii="Arial" w:hAnsi="Arial" w:eastAsia="微软雅黑"/>
                <w:b w:val="0"/>
                <w:color w:val="222222"/>
                <w:sz w:val="16"/>
              </w:rPr>
              <w:t>人力／项目负责人</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c>
          <w:tcPr>
            <w:tcW w:type="dxa" w:w="1512"/>
            <w:shd w:fill="EFF6FB"/>
            <w:vAlign w:val="center"/>
          </w:tcPr>
          <w:p>
            <w:pPr>
              <w:spacing w:before="30" w:after="30" w:line="252" w:lineRule="auto"/>
              <w:jc w:val="left"/>
            </w:pPr>
            <w:r>
              <w:rPr>
                <w:rFonts w:ascii="Arial" w:hAnsi="Arial" w:eastAsia="微软雅黑"/>
                <w:b w:val="0"/>
                <w:color w:val="222222"/>
                <w:sz w:val="16"/>
              </w:rPr>
              <w:t>开源与第三方代码</w:t>
            </w:r>
          </w:p>
        </w:tc>
        <w:tc>
          <w:tcPr>
            <w:tcW w:type="dxa" w:w="4823"/>
            <w:shd w:fill="EFF6FB"/>
            <w:vAlign w:val="center"/>
          </w:tcPr>
          <w:p>
            <w:pPr>
              <w:spacing w:before="30" w:after="30" w:line="252" w:lineRule="auto"/>
              <w:jc w:val="left"/>
            </w:pPr>
            <w:r>
              <w:rPr>
                <w:rFonts w:ascii="Arial" w:hAnsi="Arial" w:eastAsia="微软雅黑"/>
                <w:b w:val="0"/>
                <w:color w:val="222222"/>
                <w:sz w:val="16"/>
              </w:rPr>
              <w:t>开源许可证、复制代码范围、模型／SDK条款及是否影响专利权属或披露。</w:t>
            </w:r>
          </w:p>
        </w:tc>
        <w:tc>
          <w:tcPr>
            <w:tcW w:type="dxa" w:w="1512"/>
            <w:shd w:fill="EFF6FB"/>
            <w:vAlign w:val="center"/>
          </w:tcPr>
          <w:p>
            <w:pPr>
              <w:spacing w:before="30" w:after="30" w:line="252" w:lineRule="auto"/>
              <w:jc w:val="left"/>
            </w:pPr>
            <w:r>
              <w:rPr>
                <w:rFonts w:ascii="Arial" w:hAnsi="Arial" w:eastAsia="微软雅黑"/>
                <w:b w:val="0"/>
                <w:color w:val="222222"/>
                <w:sz w:val="16"/>
              </w:rPr>
              <w:t>技术／法务</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c>
          <w:tcPr>
            <w:tcW w:type="dxa" w:w="1512"/>
            <w:vAlign w:val="center"/>
          </w:tcPr>
          <w:p>
            <w:pPr>
              <w:spacing w:before="30" w:after="30" w:line="252" w:lineRule="auto"/>
              <w:jc w:val="left"/>
            </w:pPr>
            <w:r>
              <w:rPr>
                <w:rFonts w:ascii="Arial" w:hAnsi="Arial" w:eastAsia="微软雅黑"/>
                <w:b w:val="0"/>
                <w:color w:val="222222"/>
                <w:sz w:val="16"/>
              </w:rPr>
              <w:t>多申请人安排</w:t>
            </w:r>
          </w:p>
        </w:tc>
        <w:tc>
          <w:tcPr>
            <w:tcW w:type="dxa" w:w="4823"/>
            <w:vAlign w:val="center"/>
          </w:tcPr>
          <w:p>
            <w:pPr>
              <w:spacing w:before="30" w:after="30" w:line="252" w:lineRule="auto"/>
              <w:jc w:val="left"/>
            </w:pPr>
            <w:r>
              <w:rPr>
                <w:rFonts w:ascii="Arial" w:hAnsi="Arial" w:eastAsia="微软雅黑"/>
                <w:b w:val="0"/>
                <w:color w:val="222222"/>
                <w:sz w:val="16"/>
              </w:rPr>
              <w:t>共同申请、转让、费用承担、答复和处分权的决策机制。</w:t>
            </w:r>
          </w:p>
        </w:tc>
        <w:tc>
          <w:tcPr>
            <w:tcW w:type="dxa" w:w="1512"/>
            <w:vAlign w:val="center"/>
          </w:tcPr>
          <w:p>
            <w:pPr>
              <w:spacing w:before="30" w:after="30" w:line="252" w:lineRule="auto"/>
              <w:jc w:val="left"/>
            </w:pPr>
            <w:r>
              <w:rPr>
                <w:rFonts w:ascii="Arial" w:hAnsi="Arial" w:eastAsia="微软雅黑"/>
                <w:b w:val="0"/>
                <w:color w:val="222222"/>
                <w:sz w:val="16"/>
              </w:rPr>
              <w:t>管理层／法务</w:t>
            </w:r>
          </w:p>
        </w:tc>
        <w:tc>
          <w:tcPr>
            <w:tcW w:type="dxa" w:w="1179"/>
            <w:vAlign w:val="center"/>
          </w:tcPr>
          <w:p>
            <w:pPr>
              <w:spacing w:before="30" w:after="30" w:line="252" w:lineRule="auto"/>
              <w:jc w:val="left"/>
            </w:pPr>
            <w:r>
              <w:rPr>
                <w:rFonts w:ascii="Arial" w:hAnsi="Arial" w:eastAsia="微软雅黑"/>
                <w:b w:val="0"/>
                <w:color w:val="222222"/>
                <w:sz w:val="16"/>
              </w:rPr>
              <w:t>□完成  □不适用</w:t>
            </w:r>
          </w:p>
        </w:tc>
      </w:tr>
    </w:tbl>
    <w:p>
      <w:pPr>
        <w:spacing w:after="20"/>
      </w:pPr>
    </w:p>
    <w:p>
      <w:pPr>
        <w:pStyle w:val="Heading2"/>
        <w:keepNext/>
      </w:pPr>
      <w:r>
        <w:t>H.4 代理机构接手材料包</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792"/>
        <w:gridCol w:w="1324"/>
        <w:gridCol w:w="5038"/>
        <w:gridCol w:w="1324"/>
        <w:gridCol w:w="548"/>
      </w:tblGrid>
      <w:tr>
        <w:trPr>
          <w:tblHeader w:val="true"/>
        </w:trPr>
        <w:tc>
          <w:tcPr>
            <w:tcW w:type="dxa" w:w="792"/>
            <w:shd w:fill="1F4E78"/>
            <w:vAlign w:val="center"/>
          </w:tcPr>
          <w:p>
            <w:pPr>
              <w:spacing w:before="30" w:after="30" w:line="252" w:lineRule="auto"/>
              <w:jc w:val="center"/>
            </w:pPr>
            <w:r>
              <w:rPr>
                <w:rFonts w:ascii="Arial" w:hAnsi="Arial" w:eastAsia="微软雅黑"/>
                <w:b/>
                <w:color w:val="FFFFFF"/>
                <w:sz w:val="16"/>
              </w:rPr>
              <w:t>包号</w:t>
            </w:r>
          </w:p>
        </w:tc>
        <w:tc>
          <w:tcPr>
            <w:tcW w:type="dxa" w:w="1324"/>
            <w:shd w:fill="1F4E78"/>
            <w:vAlign w:val="center"/>
          </w:tcPr>
          <w:p>
            <w:pPr>
              <w:spacing w:before="30" w:after="30" w:line="252" w:lineRule="auto"/>
              <w:jc w:val="center"/>
            </w:pPr>
            <w:r>
              <w:rPr>
                <w:rFonts w:ascii="Arial" w:hAnsi="Arial" w:eastAsia="微软雅黑"/>
                <w:b/>
                <w:color w:val="FFFFFF"/>
                <w:sz w:val="16"/>
              </w:rPr>
              <w:t>材料</w:t>
            </w:r>
          </w:p>
        </w:tc>
        <w:tc>
          <w:tcPr>
            <w:tcW w:type="dxa" w:w="5038"/>
            <w:shd w:fill="1F4E78"/>
            <w:vAlign w:val="center"/>
          </w:tcPr>
          <w:p>
            <w:pPr>
              <w:spacing w:before="30" w:after="30" w:line="252" w:lineRule="auto"/>
              <w:jc w:val="center"/>
            </w:pPr>
            <w:r>
              <w:rPr>
                <w:rFonts w:ascii="Arial" w:hAnsi="Arial" w:eastAsia="微软雅黑"/>
                <w:b/>
                <w:color w:val="FFFFFF"/>
                <w:sz w:val="16"/>
              </w:rPr>
              <w:t>最低交付标准</w:t>
            </w:r>
          </w:p>
        </w:tc>
        <w:tc>
          <w:tcPr>
            <w:tcW w:type="dxa" w:w="1324"/>
            <w:shd w:fill="1F4E78"/>
            <w:vAlign w:val="center"/>
          </w:tcPr>
          <w:p>
            <w:pPr>
              <w:spacing w:before="30" w:after="30" w:line="252" w:lineRule="auto"/>
              <w:jc w:val="center"/>
            </w:pPr>
            <w:r>
              <w:rPr>
                <w:rFonts w:ascii="Arial" w:hAnsi="Arial" w:eastAsia="微软雅黑"/>
                <w:b/>
                <w:color w:val="FFFFFF"/>
                <w:sz w:val="16"/>
              </w:rPr>
              <w:t>负责人</w:t>
            </w:r>
          </w:p>
        </w:tc>
        <w:tc>
          <w:tcPr>
            <w:tcW w:type="dxa" w:w="548"/>
            <w:shd w:fill="1F4E78"/>
            <w:vAlign w:val="center"/>
          </w:tcPr>
          <w:p>
            <w:pPr>
              <w:spacing w:before="30" w:after="30" w:line="252" w:lineRule="auto"/>
              <w:jc w:val="center"/>
            </w:pPr>
            <w:r>
              <w:rPr>
                <w:rFonts w:ascii="Arial" w:hAnsi="Arial" w:eastAsia="微软雅黑"/>
                <w:b/>
                <w:color w:val="FFFFFF"/>
                <w:sz w:val="16"/>
              </w:rPr>
              <w:t>完成</w:t>
            </w:r>
          </w:p>
        </w:tc>
      </w:tr>
      <w:tr>
        <w:tc>
          <w:tcPr>
            <w:tcW w:type="dxa" w:w="792"/>
            <w:vAlign w:val="center"/>
          </w:tcPr>
          <w:p>
            <w:pPr>
              <w:spacing w:before="30" w:after="30" w:line="252" w:lineRule="auto"/>
              <w:jc w:val="left"/>
            </w:pPr>
            <w:r>
              <w:rPr>
                <w:rFonts w:ascii="Arial" w:hAnsi="Arial" w:eastAsia="微软雅黑"/>
                <w:b w:val="0"/>
                <w:color w:val="222222"/>
                <w:sz w:val="16"/>
              </w:rPr>
              <w:t>P01</w:t>
            </w:r>
          </w:p>
        </w:tc>
        <w:tc>
          <w:tcPr>
            <w:tcW w:type="dxa" w:w="1324"/>
            <w:vAlign w:val="center"/>
          </w:tcPr>
          <w:p>
            <w:pPr>
              <w:spacing w:before="30" w:after="30" w:line="252" w:lineRule="auto"/>
              <w:jc w:val="left"/>
            </w:pPr>
            <w:r>
              <w:rPr>
                <w:rFonts w:ascii="Arial" w:hAnsi="Arial" w:eastAsia="微软雅黑"/>
                <w:b w:val="0"/>
                <w:color w:val="222222"/>
                <w:sz w:val="16"/>
              </w:rPr>
              <w:t>主体资料</w:t>
            </w:r>
          </w:p>
        </w:tc>
        <w:tc>
          <w:tcPr>
            <w:tcW w:type="dxa" w:w="5038"/>
            <w:vAlign w:val="center"/>
          </w:tcPr>
          <w:p>
            <w:pPr>
              <w:spacing w:before="30" w:after="30" w:line="252" w:lineRule="auto"/>
              <w:jc w:val="left"/>
            </w:pPr>
            <w:r>
              <w:rPr>
                <w:rFonts w:ascii="Arial" w:hAnsi="Arial" w:eastAsia="微软雅黑"/>
                <w:b w:val="0"/>
                <w:color w:val="222222"/>
                <w:sz w:val="16"/>
              </w:rPr>
              <w:t>申请人正式全称、统一社会信用代码、注册地址、邮编、联系人、电话、邮箱及盖章授权。</w:t>
            </w:r>
          </w:p>
        </w:tc>
        <w:tc>
          <w:tcPr>
            <w:tcW w:type="dxa" w:w="1324"/>
            <w:vAlign w:val="center"/>
          </w:tcPr>
          <w:p>
            <w:pPr>
              <w:spacing w:before="30" w:after="30" w:line="252" w:lineRule="auto"/>
              <w:jc w:val="left"/>
            </w:pPr>
            <w:r>
              <w:rPr>
                <w:rFonts w:ascii="Arial" w:hAnsi="Arial" w:eastAsia="微软雅黑"/>
                <w:b w:val="0"/>
                <w:color w:val="222222"/>
                <w:sz w:val="16"/>
              </w:rPr>
              <w:t>法务／行政</w:t>
            </w:r>
          </w:p>
        </w:tc>
        <w:tc>
          <w:tcPr>
            <w:tcW w:type="dxa" w:w="548"/>
            <w:vAlign w:val="center"/>
          </w:tcPr>
          <w:p>
            <w:pPr>
              <w:spacing w:before="30" w:after="30" w:line="252" w:lineRule="auto"/>
              <w:jc w:val="left"/>
            </w:pPr>
            <w:r>
              <w:rPr>
                <w:rFonts w:ascii="Arial" w:hAnsi="Arial" w:eastAsia="微软雅黑"/>
                <w:b w:val="0"/>
                <w:color w:val="222222"/>
                <w:sz w:val="16"/>
              </w:rPr>
              <w:t>□</w:t>
            </w:r>
          </w:p>
        </w:tc>
      </w:tr>
      <w:tr>
        <w:tc>
          <w:tcPr>
            <w:tcW w:type="dxa" w:w="792"/>
            <w:shd w:fill="EFF6FB"/>
            <w:vAlign w:val="center"/>
          </w:tcPr>
          <w:p>
            <w:pPr>
              <w:spacing w:before="30" w:after="30" w:line="252" w:lineRule="auto"/>
              <w:jc w:val="left"/>
            </w:pPr>
            <w:r>
              <w:rPr>
                <w:rFonts w:ascii="Arial" w:hAnsi="Arial" w:eastAsia="微软雅黑"/>
                <w:b w:val="0"/>
                <w:color w:val="222222"/>
                <w:sz w:val="16"/>
              </w:rPr>
              <w:t>P02</w:t>
            </w:r>
          </w:p>
        </w:tc>
        <w:tc>
          <w:tcPr>
            <w:tcW w:type="dxa" w:w="1324"/>
            <w:shd w:fill="EFF6FB"/>
            <w:vAlign w:val="center"/>
          </w:tcPr>
          <w:p>
            <w:pPr>
              <w:spacing w:before="30" w:after="30" w:line="252" w:lineRule="auto"/>
              <w:jc w:val="left"/>
            </w:pPr>
            <w:r>
              <w:rPr>
                <w:rFonts w:ascii="Arial" w:hAnsi="Arial" w:eastAsia="微软雅黑"/>
                <w:b w:val="0"/>
                <w:color w:val="222222"/>
                <w:sz w:val="16"/>
              </w:rPr>
              <w:t>发明人资料</w:t>
            </w:r>
          </w:p>
        </w:tc>
        <w:tc>
          <w:tcPr>
            <w:tcW w:type="dxa" w:w="5038"/>
            <w:shd w:fill="EFF6FB"/>
            <w:vAlign w:val="center"/>
          </w:tcPr>
          <w:p>
            <w:pPr>
              <w:spacing w:before="30" w:after="30" w:line="252" w:lineRule="auto"/>
              <w:jc w:val="left"/>
            </w:pPr>
            <w:r>
              <w:rPr>
                <w:rFonts w:ascii="Arial" w:hAnsi="Arial" w:eastAsia="微软雅黑"/>
                <w:b w:val="0"/>
                <w:color w:val="222222"/>
                <w:sz w:val="16"/>
              </w:rPr>
              <w:t>法定姓名、国籍、证件要求信息、贡献确认表、排序及签字。</w:t>
            </w:r>
          </w:p>
        </w:tc>
        <w:tc>
          <w:tcPr>
            <w:tcW w:type="dxa" w:w="1324"/>
            <w:shd w:fill="EFF6FB"/>
            <w:vAlign w:val="center"/>
          </w:tcPr>
          <w:p>
            <w:pPr>
              <w:spacing w:before="30" w:after="30" w:line="252" w:lineRule="auto"/>
              <w:jc w:val="left"/>
            </w:pPr>
            <w:r>
              <w:rPr>
                <w:rFonts w:ascii="Arial" w:hAnsi="Arial" w:eastAsia="微软雅黑"/>
                <w:b w:val="0"/>
                <w:color w:val="222222"/>
                <w:sz w:val="16"/>
              </w:rPr>
              <w:t>项目负责人</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c>
          <w:tcPr>
            <w:tcW w:type="dxa" w:w="792"/>
            <w:vAlign w:val="center"/>
          </w:tcPr>
          <w:p>
            <w:pPr>
              <w:spacing w:before="30" w:after="30" w:line="252" w:lineRule="auto"/>
              <w:jc w:val="left"/>
            </w:pPr>
            <w:r>
              <w:rPr>
                <w:rFonts w:ascii="Arial" w:hAnsi="Arial" w:eastAsia="微软雅黑"/>
                <w:b w:val="0"/>
                <w:color w:val="222222"/>
                <w:sz w:val="16"/>
              </w:rPr>
              <w:t>P03</w:t>
            </w:r>
          </w:p>
        </w:tc>
        <w:tc>
          <w:tcPr>
            <w:tcW w:type="dxa" w:w="1324"/>
            <w:vAlign w:val="center"/>
          </w:tcPr>
          <w:p>
            <w:pPr>
              <w:spacing w:before="30" w:after="30" w:line="252" w:lineRule="auto"/>
              <w:jc w:val="left"/>
            </w:pPr>
            <w:r>
              <w:rPr>
                <w:rFonts w:ascii="Arial" w:hAnsi="Arial" w:eastAsia="微软雅黑"/>
                <w:b w:val="0"/>
                <w:color w:val="222222"/>
                <w:sz w:val="16"/>
              </w:rPr>
              <w:t>权属资料</w:t>
            </w:r>
          </w:p>
        </w:tc>
        <w:tc>
          <w:tcPr>
            <w:tcW w:type="dxa" w:w="5038"/>
            <w:vAlign w:val="center"/>
          </w:tcPr>
          <w:p>
            <w:pPr>
              <w:spacing w:before="30" w:after="30" w:line="252" w:lineRule="auto"/>
              <w:jc w:val="left"/>
            </w:pPr>
            <w:r>
              <w:rPr>
                <w:rFonts w:ascii="Arial" w:hAnsi="Arial" w:eastAsia="微软雅黑"/>
                <w:b w:val="0"/>
                <w:color w:val="222222"/>
                <w:sz w:val="16"/>
              </w:rPr>
              <w:t>劳动／外包／顾问／合作协议、职务发明制度、转让或共同申请安排。</w:t>
            </w:r>
          </w:p>
        </w:tc>
        <w:tc>
          <w:tcPr>
            <w:tcW w:type="dxa" w:w="1324"/>
            <w:vAlign w:val="center"/>
          </w:tcPr>
          <w:p>
            <w:pPr>
              <w:spacing w:before="30" w:after="30" w:line="252" w:lineRule="auto"/>
              <w:jc w:val="left"/>
            </w:pPr>
            <w:r>
              <w:rPr>
                <w:rFonts w:ascii="Arial" w:hAnsi="Arial" w:eastAsia="微软雅黑"/>
                <w:b w:val="0"/>
                <w:color w:val="222222"/>
                <w:sz w:val="16"/>
              </w:rPr>
              <w:t>法务／人力</w:t>
            </w:r>
          </w:p>
        </w:tc>
        <w:tc>
          <w:tcPr>
            <w:tcW w:type="dxa" w:w="548"/>
            <w:vAlign w:val="center"/>
          </w:tcPr>
          <w:p>
            <w:pPr>
              <w:spacing w:before="30" w:after="30" w:line="252" w:lineRule="auto"/>
              <w:jc w:val="left"/>
            </w:pPr>
            <w:r>
              <w:rPr>
                <w:rFonts w:ascii="Arial" w:hAnsi="Arial" w:eastAsia="微软雅黑"/>
                <w:b w:val="0"/>
                <w:color w:val="222222"/>
                <w:sz w:val="16"/>
              </w:rPr>
              <w:t>□</w:t>
            </w:r>
          </w:p>
        </w:tc>
      </w:tr>
      <w:tr>
        <w:tc>
          <w:tcPr>
            <w:tcW w:type="dxa" w:w="792"/>
            <w:shd w:fill="EFF6FB"/>
            <w:vAlign w:val="center"/>
          </w:tcPr>
          <w:p>
            <w:pPr>
              <w:spacing w:before="30" w:after="30" w:line="252" w:lineRule="auto"/>
              <w:jc w:val="left"/>
            </w:pPr>
            <w:r>
              <w:rPr>
                <w:rFonts w:ascii="Arial" w:hAnsi="Arial" w:eastAsia="微软雅黑"/>
                <w:b w:val="0"/>
                <w:color w:val="222222"/>
                <w:sz w:val="16"/>
              </w:rPr>
              <w:t>P04</w:t>
            </w:r>
          </w:p>
        </w:tc>
        <w:tc>
          <w:tcPr>
            <w:tcW w:type="dxa" w:w="1324"/>
            <w:shd w:fill="EFF6FB"/>
            <w:vAlign w:val="center"/>
          </w:tcPr>
          <w:p>
            <w:pPr>
              <w:spacing w:before="30" w:after="30" w:line="252" w:lineRule="auto"/>
              <w:jc w:val="left"/>
            </w:pPr>
            <w:r>
              <w:rPr>
                <w:rFonts w:ascii="Arial" w:hAnsi="Arial" w:eastAsia="微软雅黑"/>
                <w:b w:val="0"/>
                <w:color w:val="222222"/>
                <w:sz w:val="16"/>
              </w:rPr>
              <w:t>披露核查</w:t>
            </w:r>
          </w:p>
        </w:tc>
        <w:tc>
          <w:tcPr>
            <w:tcW w:type="dxa" w:w="5038"/>
            <w:shd w:fill="EFF6FB"/>
            <w:vAlign w:val="center"/>
          </w:tcPr>
          <w:p>
            <w:pPr>
              <w:spacing w:before="30" w:after="30" w:line="252" w:lineRule="auto"/>
              <w:jc w:val="left"/>
            </w:pPr>
            <w:r>
              <w:rPr>
                <w:rFonts w:ascii="Arial" w:hAnsi="Arial" w:eastAsia="微软雅黑"/>
                <w:b w:val="0"/>
                <w:color w:val="222222"/>
                <w:sz w:val="16"/>
              </w:rPr>
              <w:t>附件H.2逐项结论及截图、邮件、权限、上线日志等证据。</w:t>
            </w:r>
          </w:p>
        </w:tc>
        <w:tc>
          <w:tcPr>
            <w:tcW w:type="dxa" w:w="1324"/>
            <w:shd w:fill="EFF6FB"/>
            <w:vAlign w:val="center"/>
          </w:tcPr>
          <w:p>
            <w:pPr>
              <w:spacing w:before="30" w:after="30" w:line="252" w:lineRule="auto"/>
              <w:jc w:val="left"/>
            </w:pPr>
            <w:r>
              <w:rPr>
                <w:rFonts w:ascii="Arial" w:hAnsi="Arial" w:eastAsia="微软雅黑"/>
                <w:b w:val="0"/>
                <w:color w:val="222222"/>
                <w:sz w:val="16"/>
              </w:rPr>
              <w:t>法务／产品</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c>
          <w:tcPr>
            <w:tcW w:type="dxa" w:w="792"/>
            <w:vAlign w:val="center"/>
          </w:tcPr>
          <w:p>
            <w:pPr>
              <w:spacing w:before="30" w:after="30" w:line="252" w:lineRule="auto"/>
              <w:jc w:val="left"/>
            </w:pPr>
            <w:r>
              <w:rPr>
                <w:rFonts w:ascii="Arial" w:hAnsi="Arial" w:eastAsia="微软雅黑"/>
                <w:b w:val="0"/>
                <w:color w:val="222222"/>
                <w:sz w:val="16"/>
              </w:rPr>
              <w:t>P05</w:t>
            </w:r>
          </w:p>
        </w:tc>
        <w:tc>
          <w:tcPr>
            <w:tcW w:type="dxa" w:w="1324"/>
            <w:vAlign w:val="center"/>
          </w:tcPr>
          <w:p>
            <w:pPr>
              <w:spacing w:before="30" w:after="30" w:line="252" w:lineRule="auto"/>
              <w:jc w:val="left"/>
            </w:pPr>
            <w:r>
              <w:rPr>
                <w:rFonts w:ascii="Arial" w:hAnsi="Arial" w:eastAsia="微软雅黑"/>
                <w:b w:val="0"/>
                <w:color w:val="222222"/>
                <w:sz w:val="16"/>
              </w:rPr>
              <w:t>技术交底</w:t>
            </w:r>
          </w:p>
        </w:tc>
        <w:tc>
          <w:tcPr>
            <w:tcW w:type="dxa" w:w="5038"/>
            <w:vAlign w:val="center"/>
          </w:tcPr>
          <w:p>
            <w:pPr>
              <w:spacing w:before="30" w:after="30" w:line="252" w:lineRule="auto"/>
              <w:jc w:val="left"/>
            </w:pPr>
            <w:r>
              <w:rPr>
                <w:rFonts w:ascii="Arial" w:hAnsi="Arial" w:eastAsia="微软雅黑"/>
                <w:b w:val="0"/>
                <w:color w:val="222222"/>
                <w:sz w:val="16"/>
              </w:rPr>
              <w:t>本V2完善版、架构图、流程图、状态机、时序图、替代方案和真实业务实施例。</w:t>
            </w:r>
          </w:p>
        </w:tc>
        <w:tc>
          <w:tcPr>
            <w:tcW w:type="dxa" w:w="1324"/>
            <w:vAlign w:val="center"/>
          </w:tcPr>
          <w:p>
            <w:pPr>
              <w:spacing w:before="30" w:after="30" w:line="252" w:lineRule="auto"/>
              <w:jc w:val="left"/>
            </w:pPr>
            <w:r>
              <w:rPr>
                <w:rFonts w:ascii="Arial" w:hAnsi="Arial" w:eastAsia="微软雅黑"/>
                <w:b w:val="0"/>
                <w:color w:val="222222"/>
                <w:sz w:val="16"/>
              </w:rPr>
              <w:t>技术负责人</w:t>
            </w:r>
          </w:p>
        </w:tc>
        <w:tc>
          <w:tcPr>
            <w:tcW w:type="dxa" w:w="548"/>
            <w:vAlign w:val="center"/>
          </w:tcPr>
          <w:p>
            <w:pPr>
              <w:spacing w:before="30" w:after="30" w:line="252" w:lineRule="auto"/>
              <w:jc w:val="left"/>
            </w:pPr>
            <w:r>
              <w:rPr>
                <w:rFonts w:ascii="Arial" w:hAnsi="Arial" w:eastAsia="微软雅黑"/>
                <w:b w:val="0"/>
                <w:color w:val="222222"/>
                <w:sz w:val="16"/>
              </w:rPr>
              <w:t>□</w:t>
            </w:r>
          </w:p>
        </w:tc>
      </w:tr>
      <w:tr>
        <w:tc>
          <w:tcPr>
            <w:tcW w:type="dxa" w:w="792"/>
            <w:shd w:fill="EFF6FB"/>
            <w:vAlign w:val="center"/>
          </w:tcPr>
          <w:p>
            <w:pPr>
              <w:spacing w:before="30" w:after="30" w:line="252" w:lineRule="auto"/>
              <w:jc w:val="left"/>
            </w:pPr>
            <w:r>
              <w:rPr>
                <w:rFonts w:ascii="Arial" w:hAnsi="Arial" w:eastAsia="微软雅黑"/>
                <w:b w:val="0"/>
                <w:color w:val="222222"/>
                <w:sz w:val="16"/>
              </w:rPr>
              <w:t>P06</w:t>
            </w:r>
          </w:p>
        </w:tc>
        <w:tc>
          <w:tcPr>
            <w:tcW w:type="dxa" w:w="1324"/>
            <w:shd w:fill="EFF6FB"/>
            <w:vAlign w:val="center"/>
          </w:tcPr>
          <w:p>
            <w:pPr>
              <w:spacing w:before="30" w:after="30" w:line="252" w:lineRule="auto"/>
              <w:jc w:val="left"/>
            </w:pPr>
            <w:r>
              <w:rPr>
                <w:rFonts w:ascii="Arial" w:hAnsi="Arial" w:eastAsia="微软雅黑"/>
                <w:b w:val="0"/>
                <w:color w:val="222222"/>
                <w:sz w:val="16"/>
              </w:rPr>
              <w:t>证据快照</w:t>
            </w:r>
          </w:p>
        </w:tc>
        <w:tc>
          <w:tcPr>
            <w:tcW w:type="dxa" w:w="5038"/>
            <w:shd w:fill="EFF6FB"/>
            <w:vAlign w:val="center"/>
          </w:tcPr>
          <w:p>
            <w:pPr>
              <w:spacing w:before="30" w:after="30" w:line="252" w:lineRule="auto"/>
              <w:jc w:val="left"/>
            </w:pPr>
            <w:r>
              <w:rPr>
                <w:rFonts w:ascii="Arial" w:hAnsi="Arial" w:eastAsia="微软雅黑"/>
                <w:b w:val="0"/>
                <w:color w:val="222222"/>
                <w:sz w:val="16"/>
              </w:rPr>
              <w:t>关键代码只读快照、提交记录、数据库模型、70项测试报告及后续并发压测。</w:t>
            </w:r>
          </w:p>
        </w:tc>
        <w:tc>
          <w:tcPr>
            <w:tcW w:type="dxa" w:w="1324"/>
            <w:shd w:fill="EFF6FB"/>
            <w:vAlign w:val="center"/>
          </w:tcPr>
          <w:p>
            <w:pPr>
              <w:spacing w:before="30" w:after="30" w:line="252" w:lineRule="auto"/>
              <w:jc w:val="left"/>
            </w:pPr>
            <w:r>
              <w:rPr>
                <w:rFonts w:ascii="Arial" w:hAnsi="Arial" w:eastAsia="微软雅黑"/>
                <w:b w:val="0"/>
                <w:color w:val="222222"/>
                <w:sz w:val="16"/>
              </w:rPr>
              <w:t>研发／测试</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c>
          <w:tcPr>
            <w:tcW w:type="dxa" w:w="792"/>
            <w:vAlign w:val="center"/>
          </w:tcPr>
          <w:p>
            <w:pPr>
              <w:spacing w:before="30" w:after="30" w:line="252" w:lineRule="auto"/>
              <w:jc w:val="left"/>
            </w:pPr>
            <w:r>
              <w:rPr>
                <w:rFonts w:ascii="Arial" w:hAnsi="Arial" w:eastAsia="微软雅黑"/>
                <w:b w:val="0"/>
                <w:color w:val="222222"/>
                <w:sz w:val="16"/>
              </w:rPr>
              <w:t>P07</w:t>
            </w:r>
          </w:p>
        </w:tc>
        <w:tc>
          <w:tcPr>
            <w:tcW w:type="dxa" w:w="1324"/>
            <w:vAlign w:val="center"/>
          </w:tcPr>
          <w:p>
            <w:pPr>
              <w:spacing w:before="30" w:after="30" w:line="252" w:lineRule="auto"/>
              <w:jc w:val="left"/>
            </w:pPr>
            <w:r>
              <w:rPr>
                <w:rFonts w:ascii="Arial" w:hAnsi="Arial" w:eastAsia="微软雅黑"/>
                <w:b w:val="0"/>
                <w:color w:val="222222"/>
                <w:sz w:val="16"/>
              </w:rPr>
              <w:t>检索资料</w:t>
            </w:r>
          </w:p>
        </w:tc>
        <w:tc>
          <w:tcPr>
            <w:tcW w:type="dxa" w:w="5038"/>
            <w:vAlign w:val="center"/>
          </w:tcPr>
          <w:p>
            <w:pPr>
              <w:spacing w:before="30" w:after="30" w:line="252" w:lineRule="auto"/>
              <w:jc w:val="left"/>
            </w:pPr>
            <w:r>
              <w:rPr>
                <w:rFonts w:ascii="Arial" w:hAnsi="Arial" w:eastAsia="微软雅黑"/>
                <w:b w:val="0"/>
                <w:color w:val="222222"/>
                <w:sz w:val="16"/>
              </w:rPr>
              <w:t>检索式、中文英文结果、同族、非专利文献、最接近现有技术和差异表。</w:t>
            </w:r>
          </w:p>
        </w:tc>
        <w:tc>
          <w:tcPr>
            <w:tcW w:type="dxa" w:w="1324"/>
            <w:vAlign w:val="center"/>
          </w:tcPr>
          <w:p>
            <w:pPr>
              <w:spacing w:before="30" w:after="30" w:line="252" w:lineRule="auto"/>
              <w:jc w:val="left"/>
            </w:pPr>
            <w:r>
              <w:rPr>
                <w:rFonts w:ascii="Arial" w:hAnsi="Arial" w:eastAsia="微软雅黑"/>
                <w:b w:val="0"/>
                <w:color w:val="222222"/>
                <w:sz w:val="16"/>
              </w:rPr>
              <w:t>代理机构</w:t>
            </w:r>
          </w:p>
        </w:tc>
        <w:tc>
          <w:tcPr>
            <w:tcW w:type="dxa" w:w="548"/>
            <w:vAlign w:val="center"/>
          </w:tcPr>
          <w:p>
            <w:pPr>
              <w:spacing w:before="30" w:after="30" w:line="252" w:lineRule="auto"/>
              <w:jc w:val="left"/>
            </w:pPr>
            <w:r>
              <w:rPr>
                <w:rFonts w:ascii="Arial" w:hAnsi="Arial" w:eastAsia="微软雅黑"/>
                <w:b w:val="0"/>
                <w:color w:val="222222"/>
                <w:sz w:val="16"/>
              </w:rPr>
              <w:t>□</w:t>
            </w:r>
          </w:p>
        </w:tc>
      </w:tr>
      <w:tr>
        <w:tc>
          <w:tcPr>
            <w:tcW w:type="dxa" w:w="792"/>
            <w:shd w:fill="EFF6FB"/>
            <w:vAlign w:val="center"/>
          </w:tcPr>
          <w:p>
            <w:pPr>
              <w:spacing w:before="30" w:after="30" w:line="252" w:lineRule="auto"/>
              <w:jc w:val="left"/>
            </w:pPr>
            <w:r>
              <w:rPr>
                <w:rFonts w:ascii="Arial" w:hAnsi="Arial" w:eastAsia="微软雅黑"/>
                <w:b w:val="0"/>
                <w:color w:val="222222"/>
                <w:sz w:val="16"/>
              </w:rPr>
              <w:t>P08</w:t>
            </w:r>
          </w:p>
        </w:tc>
        <w:tc>
          <w:tcPr>
            <w:tcW w:type="dxa" w:w="1324"/>
            <w:shd w:fill="EFF6FB"/>
            <w:vAlign w:val="center"/>
          </w:tcPr>
          <w:p>
            <w:pPr>
              <w:spacing w:before="30" w:after="30" w:line="252" w:lineRule="auto"/>
              <w:jc w:val="left"/>
            </w:pPr>
            <w:r>
              <w:rPr>
                <w:rFonts w:ascii="Arial" w:hAnsi="Arial" w:eastAsia="微软雅黑"/>
                <w:b w:val="0"/>
                <w:color w:val="222222"/>
                <w:sz w:val="16"/>
              </w:rPr>
              <w:t>申报决策</w:t>
            </w:r>
          </w:p>
        </w:tc>
        <w:tc>
          <w:tcPr>
            <w:tcW w:type="dxa" w:w="5038"/>
            <w:shd w:fill="EFF6FB"/>
            <w:vAlign w:val="center"/>
          </w:tcPr>
          <w:p>
            <w:pPr>
              <w:spacing w:before="30" w:after="30" w:line="252" w:lineRule="auto"/>
              <w:jc w:val="left"/>
            </w:pPr>
            <w:r>
              <w:rPr>
                <w:rFonts w:ascii="Arial" w:hAnsi="Arial" w:eastAsia="微软雅黑"/>
                <w:b w:val="0"/>
                <w:color w:val="222222"/>
                <w:sz w:val="16"/>
              </w:rPr>
              <w:t>申请名称、申请人、提前公布、实审、优先权、保密审查、PCT和预算的书面决定。</w:t>
            </w:r>
          </w:p>
        </w:tc>
        <w:tc>
          <w:tcPr>
            <w:tcW w:type="dxa" w:w="1324"/>
            <w:shd w:fill="EFF6FB"/>
            <w:vAlign w:val="center"/>
          </w:tcPr>
          <w:p>
            <w:pPr>
              <w:spacing w:before="30" w:after="30" w:line="252" w:lineRule="auto"/>
              <w:jc w:val="left"/>
            </w:pPr>
            <w:r>
              <w:rPr>
                <w:rFonts w:ascii="Arial" w:hAnsi="Arial" w:eastAsia="微软雅黑"/>
                <w:b w:val="0"/>
                <w:color w:val="222222"/>
                <w:sz w:val="16"/>
              </w:rPr>
              <w:t>管理层／法务</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H.5 提交前红线检查</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648"/>
        <w:gridCol w:w="7802"/>
        <w:gridCol w:w="576"/>
      </w:tblGrid>
      <w:tr>
        <w:trPr>
          <w:tblHeader w:val="true"/>
        </w:trPr>
        <w:tc>
          <w:tcPr>
            <w:tcW w:type="dxa" w:w="648"/>
            <w:shd w:fill="1F4E78"/>
            <w:vAlign w:val="center"/>
          </w:tcPr>
          <w:p>
            <w:pPr>
              <w:spacing w:before="30" w:after="30" w:line="252" w:lineRule="auto"/>
              <w:jc w:val="center"/>
            </w:pPr>
            <w:r>
              <w:rPr>
                <w:rFonts w:ascii="Arial" w:hAnsi="Arial" w:eastAsia="微软雅黑"/>
                <w:b/>
                <w:color w:val="FFFFFF"/>
                <w:sz w:val="16"/>
              </w:rPr>
              <w:t>序</w:t>
            </w:r>
          </w:p>
        </w:tc>
        <w:tc>
          <w:tcPr>
            <w:tcW w:type="dxa" w:w="7802"/>
            <w:shd w:fill="1F4E78"/>
            <w:vAlign w:val="center"/>
          </w:tcPr>
          <w:p>
            <w:pPr>
              <w:spacing w:before="30" w:after="30" w:line="252" w:lineRule="auto"/>
              <w:jc w:val="center"/>
            </w:pPr>
            <w:r>
              <w:rPr>
                <w:rFonts w:ascii="Arial" w:hAnsi="Arial" w:eastAsia="微软雅黑"/>
                <w:b/>
                <w:color w:val="FFFFFF"/>
                <w:sz w:val="16"/>
              </w:rPr>
              <w:t>检查事项</w:t>
            </w:r>
          </w:p>
        </w:tc>
        <w:tc>
          <w:tcPr>
            <w:tcW w:type="dxa" w:w="576"/>
            <w:shd w:fill="1F4E78"/>
            <w:vAlign w:val="center"/>
          </w:tcPr>
          <w:p>
            <w:pPr>
              <w:spacing w:before="30" w:after="30" w:line="252" w:lineRule="auto"/>
              <w:jc w:val="center"/>
            </w:pPr>
            <w:r>
              <w:rPr>
                <w:rFonts w:ascii="Arial" w:hAnsi="Arial" w:eastAsia="微软雅黑"/>
                <w:b/>
                <w:color w:val="FFFFFF"/>
                <w:sz w:val="16"/>
              </w:rPr>
              <w:t>完成</w:t>
            </w:r>
          </w:p>
        </w:tc>
      </w:tr>
      <w:tr>
        <w:tc>
          <w:tcPr>
            <w:tcW w:type="dxa" w:w="648"/>
            <w:vAlign w:val="center"/>
          </w:tcPr>
          <w:p>
            <w:pPr>
              <w:spacing w:before="30" w:after="30" w:line="252" w:lineRule="auto"/>
              <w:jc w:val="left"/>
            </w:pPr>
            <w:r>
              <w:rPr>
                <w:rFonts w:ascii="Arial" w:hAnsi="Arial" w:eastAsia="微软雅黑"/>
                <w:b w:val="0"/>
                <w:color w:val="222222"/>
                <w:sz w:val="16"/>
              </w:rPr>
              <w:t>1</w:t>
            </w:r>
          </w:p>
        </w:tc>
        <w:tc>
          <w:tcPr>
            <w:tcW w:type="dxa" w:w="7802"/>
            <w:vAlign w:val="center"/>
          </w:tcPr>
          <w:p>
            <w:pPr>
              <w:spacing w:before="30" w:after="30" w:line="252" w:lineRule="auto"/>
              <w:jc w:val="left"/>
            </w:pPr>
            <w:r>
              <w:rPr>
                <w:rFonts w:ascii="Arial" w:hAnsi="Arial" w:eastAsia="微软雅黑"/>
                <w:b w:val="0"/>
                <w:color w:val="222222"/>
                <w:sz w:val="16"/>
              </w:rPr>
              <w:t>申请人、发明人、地址、证件、联系人均以真实法定信息填写，无推测或代填。</w:t>
            </w:r>
          </w:p>
        </w:tc>
        <w:tc>
          <w:tcPr>
            <w:tcW w:type="dxa" w:w="576"/>
            <w:vAlign w:val="center"/>
          </w:tcPr>
          <w:p>
            <w:pPr>
              <w:spacing w:before="30" w:after="30" w:line="252" w:lineRule="auto"/>
              <w:jc w:val="left"/>
            </w:pPr>
            <w:r>
              <w:rPr>
                <w:rFonts w:ascii="Arial" w:hAnsi="Arial" w:eastAsia="微软雅黑"/>
                <w:b w:val="0"/>
                <w:color w:val="222222"/>
                <w:sz w:val="16"/>
              </w:rPr>
              <w:t>□</w:t>
            </w:r>
          </w:p>
        </w:tc>
      </w:tr>
      <w:tr>
        <w:tc>
          <w:tcPr>
            <w:tcW w:type="dxa" w:w="648"/>
            <w:shd w:fill="EFF6FB"/>
            <w:vAlign w:val="center"/>
          </w:tcPr>
          <w:p>
            <w:pPr>
              <w:spacing w:before="30" w:after="30" w:line="252" w:lineRule="auto"/>
              <w:jc w:val="left"/>
            </w:pPr>
            <w:r>
              <w:rPr>
                <w:rFonts w:ascii="Arial" w:hAnsi="Arial" w:eastAsia="微软雅黑"/>
                <w:b w:val="0"/>
                <w:color w:val="222222"/>
                <w:sz w:val="16"/>
              </w:rPr>
              <w:t>2</w:t>
            </w:r>
          </w:p>
        </w:tc>
        <w:tc>
          <w:tcPr>
            <w:tcW w:type="dxa" w:w="7802"/>
            <w:shd w:fill="EFF6FB"/>
            <w:vAlign w:val="center"/>
          </w:tcPr>
          <w:p>
            <w:pPr>
              <w:spacing w:before="30" w:after="30" w:line="252" w:lineRule="auto"/>
              <w:jc w:val="left"/>
            </w:pPr>
            <w:r>
              <w:rPr>
                <w:rFonts w:ascii="Arial" w:hAnsi="Arial" w:eastAsia="微软雅黑"/>
                <w:b w:val="0"/>
                <w:color w:val="222222"/>
                <w:sz w:val="16"/>
              </w:rPr>
              <w:t>发明人均为自然人，逐人说明创造性贡献；未将仅承担管理、一般执行或资金支持者当然列为发明人。</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c>
          <w:tcPr>
            <w:tcW w:type="dxa" w:w="648"/>
            <w:vAlign w:val="center"/>
          </w:tcPr>
          <w:p>
            <w:pPr>
              <w:spacing w:before="30" w:after="30" w:line="252" w:lineRule="auto"/>
              <w:jc w:val="left"/>
            </w:pPr>
            <w:r>
              <w:rPr>
                <w:rFonts w:ascii="Arial" w:hAnsi="Arial" w:eastAsia="微软雅黑"/>
                <w:b w:val="0"/>
                <w:color w:val="222222"/>
                <w:sz w:val="16"/>
              </w:rPr>
              <w:t>3</w:t>
            </w:r>
          </w:p>
        </w:tc>
        <w:tc>
          <w:tcPr>
            <w:tcW w:type="dxa" w:w="7802"/>
            <w:vAlign w:val="center"/>
          </w:tcPr>
          <w:p>
            <w:pPr>
              <w:spacing w:before="30" w:after="30" w:line="252" w:lineRule="auto"/>
              <w:jc w:val="left"/>
            </w:pPr>
            <w:r>
              <w:rPr>
                <w:rFonts w:ascii="Arial" w:hAnsi="Arial" w:eastAsia="微软雅黑"/>
                <w:b w:val="0"/>
                <w:color w:val="222222"/>
                <w:sz w:val="16"/>
              </w:rPr>
              <w:t>公开披露最早日期已形成证据链；申请日前暂停新增公开，疑似在先公开已交代理师判断。</w:t>
            </w:r>
          </w:p>
        </w:tc>
        <w:tc>
          <w:tcPr>
            <w:tcW w:type="dxa" w:w="576"/>
            <w:vAlign w:val="center"/>
          </w:tcPr>
          <w:p>
            <w:pPr>
              <w:spacing w:before="30" w:after="30" w:line="252" w:lineRule="auto"/>
              <w:jc w:val="left"/>
            </w:pPr>
            <w:r>
              <w:rPr>
                <w:rFonts w:ascii="Arial" w:hAnsi="Arial" w:eastAsia="微软雅黑"/>
                <w:b w:val="0"/>
                <w:color w:val="222222"/>
                <w:sz w:val="16"/>
              </w:rPr>
              <w:t>□</w:t>
            </w:r>
          </w:p>
        </w:tc>
      </w:tr>
      <w:tr>
        <w:tc>
          <w:tcPr>
            <w:tcW w:type="dxa" w:w="648"/>
            <w:shd w:fill="EFF6FB"/>
            <w:vAlign w:val="center"/>
          </w:tcPr>
          <w:p>
            <w:pPr>
              <w:spacing w:before="30" w:after="30" w:line="252" w:lineRule="auto"/>
              <w:jc w:val="left"/>
            </w:pPr>
            <w:r>
              <w:rPr>
                <w:rFonts w:ascii="Arial" w:hAnsi="Arial" w:eastAsia="微软雅黑"/>
                <w:b w:val="0"/>
                <w:color w:val="222222"/>
                <w:sz w:val="16"/>
              </w:rPr>
              <w:t>4</w:t>
            </w:r>
          </w:p>
        </w:tc>
        <w:tc>
          <w:tcPr>
            <w:tcW w:type="dxa" w:w="7802"/>
            <w:shd w:fill="EFF6FB"/>
            <w:vAlign w:val="center"/>
          </w:tcPr>
          <w:p>
            <w:pPr>
              <w:spacing w:before="30" w:after="30" w:line="252" w:lineRule="auto"/>
              <w:jc w:val="left"/>
            </w:pPr>
            <w:r>
              <w:rPr>
                <w:rFonts w:ascii="Arial" w:hAnsi="Arial" w:eastAsia="微软雅黑"/>
                <w:b w:val="0"/>
                <w:color w:val="222222"/>
                <w:sz w:val="16"/>
              </w:rPr>
              <w:t>独立权利要求保留完整技术协同链，未退化为“AI审批”“人工确认”或通用业务规则。</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c>
          <w:tcPr>
            <w:tcW w:type="dxa" w:w="648"/>
            <w:vAlign w:val="center"/>
          </w:tcPr>
          <w:p>
            <w:pPr>
              <w:spacing w:before="30" w:after="30" w:line="252" w:lineRule="auto"/>
              <w:jc w:val="left"/>
            </w:pPr>
            <w:r>
              <w:rPr>
                <w:rFonts w:ascii="Arial" w:hAnsi="Arial" w:eastAsia="微软雅黑"/>
                <w:b w:val="0"/>
                <w:color w:val="222222"/>
                <w:sz w:val="16"/>
              </w:rPr>
              <w:t>5</w:t>
            </w:r>
          </w:p>
        </w:tc>
        <w:tc>
          <w:tcPr>
            <w:tcW w:type="dxa" w:w="7802"/>
            <w:vAlign w:val="center"/>
          </w:tcPr>
          <w:p>
            <w:pPr>
              <w:spacing w:before="30" w:after="30" w:line="252" w:lineRule="auto"/>
              <w:jc w:val="left"/>
            </w:pPr>
            <w:r>
              <w:rPr>
                <w:rFonts w:ascii="Arial" w:hAnsi="Arial" w:eastAsia="微软雅黑"/>
                <w:b w:val="0"/>
                <w:color w:val="222222"/>
                <w:sz w:val="16"/>
              </w:rPr>
              <w:t>所有权利要求特征在说明书中有直接支持，术语、状态、图号和引用关系一致。</w:t>
            </w:r>
          </w:p>
        </w:tc>
        <w:tc>
          <w:tcPr>
            <w:tcW w:type="dxa" w:w="576"/>
            <w:vAlign w:val="center"/>
          </w:tcPr>
          <w:p>
            <w:pPr>
              <w:spacing w:before="30" w:after="30" w:line="252" w:lineRule="auto"/>
              <w:jc w:val="left"/>
            </w:pPr>
            <w:r>
              <w:rPr>
                <w:rFonts w:ascii="Arial" w:hAnsi="Arial" w:eastAsia="微软雅黑"/>
                <w:b w:val="0"/>
                <w:color w:val="222222"/>
                <w:sz w:val="16"/>
              </w:rPr>
              <w:t>□</w:t>
            </w:r>
          </w:p>
        </w:tc>
      </w:tr>
      <w:tr>
        <w:tc>
          <w:tcPr>
            <w:tcW w:type="dxa" w:w="648"/>
            <w:shd w:fill="EFF6FB"/>
            <w:vAlign w:val="center"/>
          </w:tcPr>
          <w:p>
            <w:pPr>
              <w:spacing w:before="30" w:after="30" w:line="252" w:lineRule="auto"/>
              <w:jc w:val="left"/>
            </w:pPr>
            <w:r>
              <w:rPr>
                <w:rFonts w:ascii="Arial" w:hAnsi="Arial" w:eastAsia="微软雅黑"/>
                <w:b w:val="0"/>
                <w:color w:val="222222"/>
                <w:sz w:val="16"/>
              </w:rPr>
              <w:t>6</w:t>
            </w:r>
          </w:p>
        </w:tc>
        <w:tc>
          <w:tcPr>
            <w:tcW w:type="dxa" w:w="7802"/>
            <w:shd w:fill="EFF6FB"/>
            <w:vAlign w:val="center"/>
          </w:tcPr>
          <w:p>
            <w:pPr>
              <w:spacing w:before="30" w:after="30" w:line="252" w:lineRule="auto"/>
              <w:jc w:val="left"/>
            </w:pPr>
            <w:r>
              <w:rPr>
                <w:rFonts w:ascii="Arial" w:hAnsi="Arial" w:eastAsia="微软雅黑"/>
                <w:b w:val="0"/>
                <w:color w:val="222222"/>
                <w:sz w:val="16"/>
              </w:rPr>
              <w:t>未在交代理机构的材料中包含生产密钥、个人敏感信息、客户秘密或无关商业数据；必要代码采用脱敏只读快照。</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c>
          <w:tcPr>
            <w:tcW w:type="dxa" w:w="648"/>
            <w:vAlign w:val="center"/>
          </w:tcPr>
          <w:p>
            <w:pPr>
              <w:spacing w:before="30" w:after="30" w:line="252" w:lineRule="auto"/>
              <w:jc w:val="left"/>
            </w:pPr>
            <w:r>
              <w:rPr>
                <w:rFonts w:ascii="Arial" w:hAnsi="Arial" w:eastAsia="微软雅黑"/>
                <w:b w:val="0"/>
                <w:color w:val="222222"/>
                <w:sz w:val="16"/>
              </w:rPr>
              <w:t>7</w:t>
            </w:r>
          </w:p>
        </w:tc>
        <w:tc>
          <w:tcPr>
            <w:tcW w:type="dxa" w:w="7802"/>
            <w:vAlign w:val="center"/>
          </w:tcPr>
          <w:p>
            <w:pPr>
              <w:spacing w:before="30" w:after="30" w:line="252" w:lineRule="auto"/>
              <w:jc w:val="left"/>
            </w:pPr>
            <w:r>
              <w:rPr>
                <w:rFonts w:ascii="Arial" w:hAnsi="Arial" w:eastAsia="微软雅黑"/>
                <w:b w:val="0"/>
                <w:color w:val="222222"/>
                <w:sz w:val="16"/>
              </w:rPr>
              <w:t>正式查新已覆盖中文、英文、同族、非专利文献和项目自身公开；已按最接近现有技术修订权利要求。</w:t>
            </w:r>
          </w:p>
        </w:tc>
        <w:tc>
          <w:tcPr>
            <w:tcW w:type="dxa" w:w="576"/>
            <w:vAlign w:val="center"/>
          </w:tcPr>
          <w:p>
            <w:pPr>
              <w:spacing w:before="30" w:after="30" w:line="252" w:lineRule="auto"/>
              <w:jc w:val="left"/>
            </w:pPr>
            <w:r>
              <w:rPr>
                <w:rFonts w:ascii="Arial" w:hAnsi="Arial" w:eastAsia="微软雅黑"/>
                <w:b w:val="0"/>
                <w:color w:val="222222"/>
                <w:sz w:val="16"/>
              </w:rPr>
              <w:t>□</w:t>
            </w:r>
          </w:p>
        </w:tc>
      </w:tr>
      <w:tr>
        <w:tc>
          <w:tcPr>
            <w:tcW w:type="dxa" w:w="648"/>
            <w:shd w:fill="EFF6FB"/>
            <w:vAlign w:val="center"/>
          </w:tcPr>
          <w:p>
            <w:pPr>
              <w:spacing w:before="30" w:after="30" w:line="252" w:lineRule="auto"/>
              <w:jc w:val="left"/>
            </w:pPr>
            <w:r>
              <w:rPr>
                <w:rFonts w:ascii="Arial" w:hAnsi="Arial" w:eastAsia="微软雅黑"/>
                <w:b w:val="0"/>
                <w:color w:val="222222"/>
                <w:sz w:val="16"/>
              </w:rPr>
              <w:t>8</w:t>
            </w:r>
          </w:p>
        </w:tc>
        <w:tc>
          <w:tcPr>
            <w:tcW w:type="dxa" w:w="7802"/>
            <w:shd w:fill="EFF6FB"/>
            <w:vAlign w:val="center"/>
          </w:tcPr>
          <w:p>
            <w:pPr>
              <w:spacing w:before="30" w:after="30" w:line="252" w:lineRule="auto"/>
              <w:jc w:val="left"/>
            </w:pPr>
            <w:r>
              <w:rPr>
                <w:rFonts w:ascii="Arial" w:hAnsi="Arial" w:eastAsia="微软雅黑"/>
                <w:b w:val="0"/>
                <w:color w:val="222222"/>
                <w:sz w:val="16"/>
              </w:rPr>
              <w:t>请求书、说明书、权利要求书、摘要、附图、摘要附图的名称、项数、页数和图号完全一致。</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c>
          <w:tcPr>
            <w:tcW w:type="dxa" w:w="648"/>
            <w:vAlign w:val="center"/>
          </w:tcPr>
          <w:p>
            <w:pPr>
              <w:spacing w:before="30" w:after="30" w:line="252" w:lineRule="auto"/>
              <w:jc w:val="left"/>
            </w:pPr>
            <w:r>
              <w:rPr>
                <w:rFonts w:ascii="Arial" w:hAnsi="Arial" w:eastAsia="微软雅黑"/>
                <w:b w:val="0"/>
                <w:color w:val="222222"/>
                <w:sz w:val="16"/>
              </w:rPr>
              <w:t>9</w:t>
            </w:r>
          </w:p>
        </w:tc>
        <w:tc>
          <w:tcPr>
            <w:tcW w:type="dxa" w:w="7802"/>
            <w:vAlign w:val="center"/>
          </w:tcPr>
          <w:p>
            <w:pPr>
              <w:spacing w:before="30" w:after="30" w:line="252" w:lineRule="auto"/>
              <w:jc w:val="left"/>
            </w:pPr>
            <w:r>
              <w:rPr>
                <w:rFonts w:ascii="Arial" w:hAnsi="Arial" w:eastAsia="微软雅黑"/>
                <w:b w:val="0"/>
                <w:color w:val="222222"/>
                <w:sz w:val="16"/>
              </w:rPr>
              <w:t>提前公布、实审、延迟审查、优先权、宽限期、保密审查、PCT及费用减缴均有书面决定。</w:t>
            </w:r>
          </w:p>
        </w:tc>
        <w:tc>
          <w:tcPr>
            <w:tcW w:type="dxa" w:w="576"/>
            <w:vAlign w:val="center"/>
          </w:tcPr>
          <w:p>
            <w:pPr>
              <w:spacing w:before="30" w:after="30" w:line="252" w:lineRule="auto"/>
              <w:jc w:val="left"/>
            </w:pPr>
            <w:r>
              <w:rPr>
                <w:rFonts w:ascii="Arial" w:hAnsi="Arial" w:eastAsia="微软雅黑"/>
                <w:b w:val="0"/>
                <w:color w:val="222222"/>
                <w:sz w:val="16"/>
              </w:rPr>
              <w:t>□</w:t>
            </w:r>
          </w:p>
        </w:tc>
      </w:tr>
      <w:tr>
        <w:tc>
          <w:tcPr>
            <w:tcW w:type="dxa" w:w="648"/>
            <w:shd w:fill="EFF6FB"/>
            <w:vAlign w:val="center"/>
          </w:tcPr>
          <w:p>
            <w:pPr>
              <w:spacing w:before="30" w:after="30" w:line="252" w:lineRule="auto"/>
              <w:jc w:val="left"/>
            </w:pPr>
            <w:r>
              <w:rPr>
                <w:rFonts w:ascii="Arial" w:hAnsi="Arial" w:eastAsia="微软雅黑"/>
                <w:b w:val="0"/>
                <w:color w:val="222222"/>
                <w:sz w:val="16"/>
              </w:rPr>
              <w:t>10</w:t>
            </w:r>
          </w:p>
        </w:tc>
        <w:tc>
          <w:tcPr>
            <w:tcW w:type="dxa" w:w="7802"/>
            <w:shd w:fill="EFF6FB"/>
            <w:vAlign w:val="center"/>
          </w:tcPr>
          <w:p>
            <w:pPr>
              <w:spacing w:before="30" w:after="30" w:line="252" w:lineRule="auto"/>
              <w:jc w:val="left"/>
            </w:pPr>
            <w:r>
              <w:rPr>
                <w:rFonts w:ascii="Arial" w:hAnsi="Arial" w:eastAsia="微软雅黑"/>
                <w:b w:val="0"/>
                <w:color w:val="222222"/>
                <w:sz w:val="16"/>
              </w:rPr>
              <w:t>正式提交文本已经申请人、发明人和具有资质的专利代理师分别复核，并保存定稿版本和审批记录。</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H.6 V2完善版签收与下一步</w:t>
      </w:r>
    </w:p>
    <w:tbl>
      <w:tblPr>
        <w:tblW w:type="dxa" w:w="9026"/>
        <w:tblLayout w:type="fixed"/>
        <w:tblLook w:firstColumn="1" w:firstRow="1" w:lastColumn="0" w:lastRow="0" w:noHBand="0" w:noVBand="1" w:val="04A0"/>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Ind w:w="120" w:type="dxa"/>
      </w:tblPr>
      <w:tblGrid>
        <w:gridCol w:w="1727"/>
        <w:gridCol w:w="5254"/>
        <w:gridCol w:w="2045"/>
      </w:tblGrid>
      <w:tr>
        <w:trPr>
          <w:tblHeader w:val="true"/>
        </w:trPr>
        <w:tc>
          <w:tcPr>
            <w:tcW w:type="dxa" w:w="1727"/>
            <w:shd w:fill="1F4E78"/>
            <w:vAlign w:val="center"/>
          </w:tcPr>
          <w:p>
            <w:pPr>
              <w:spacing w:before="30" w:after="30" w:line="252" w:lineRule="auto"/>
              <w:jc w:val="center"/>
            </w:pPr>
            <w:r>
              <w:rPr>
                <w:rFonts w:ascii="Arial" w:hAnsi="Arial" w:eastAsia="微软雅黑"/>
                <w:b/>
                <w:color w:val="FFFFFF"/>
                <w:sz w:val="16"/>
              </w:rPr>
              <w:t>角色</w:t>
            </w:r>
          </w:p>
        </w:tc>
        <w:tc>
          <w:tcPr>
            <w:tcW w:type="dxa" w:w="5254"/>
            <w:shd w:fill="1F4E78"/>
            <w:vAlign w:val="center"/>
          </w:tcPr>
          <w:p>
            <w:pPr>
              <w:spacing w:before="30" w:after="30" w:line="252" w:lineRule="auto"/>
              <w:jc w:val="center"/>
            </w:pPr>
            <w:r>
              <w:rPr>
                <w:rFonts w:ascii="Arial" w:hAnsi="Arial" w:eastAsia="微软雅黑"/>
                <w:b/>
                <w:color w:val="FFFFFF"/>
                <w:sz w:val="16"/>
              </w:rPr>
              <w:t>确认内容</w:t>
            </w:r>
          </w:p>
        </w:tc>
        <w:tc>
          <w:tcPr>
            <w:tcW w:type="dxa" w:w="2045"/>
            <w:shd w:fill="1F4E78"/>
            <w:vAlign w:val="center"/>
          </w:tcPr>
          <w:p>
            <w:pPr>
              <w:spacing w:before="30" w:after="30" w:line="252" w:lineRule="auto"/>
              <w:jc w:val="center"/>
            </w:pPr>
            <w:r>
              <w:rPr>
                <w:rFonts w:ascii="Arial" w:hAnsi="Arial" w:eastAsia="微软雅黑"/>
                <w:b/>
                <w:color w:val="FFFFFF"/>
                <w:sz w:val="16"/>
              </w:rPr>
              <w:t>签字／日期</w:t>
            </w:r>
          </w:p>
        </w:tc>
      </w:tr>
      <w:tr>
        <w:tc>
          <w:tcPr>
            <w:tcW w:type="dxa" w:w="1727"/>
            <w:vAlign w:val="center"/>
          </w:tcPr>
          <w:p>
            <w:pPr>
              <w:spacing w:before="30" w:after="30" w:line="252" w:lineRule="auto"/>
              <w:jc w:val="left"/>
            </w:pPr>
            <w:r>
              <w:rPr>
                <w:rFonts w:ascii="Arial" w:hAnsi="Arial" w:eastAsia="微软雅黑"/>
                <w:b w:val="0"/>
                <w:color w:val="222222"/>
                <w:sz w:val="16"/>
              </w:rPr>
              <w:t>技术负责人</w:t>
            </w:r>
          </w:p>
        </w:tc>
        <w:tc>
          <w:tcPr>
            <w:tcW w:type="dxa" w:w="5254"/>
            <w:vAlign w:val="center"/>
          </w:tcPr>
          <w:p>
            <w:pPr>
              <w:spacing w:before="30" w:after="30" w:line="252" w:lineRule="auto"/>
              <w:jc w:val="left"/>
            </w:pPr>
            <w:r>
              <w:rPr>
                <w:rFonts w:ascii="Arial" w:hAnsi="Arial" w:eastAsia="微软雅黑"/>
                <w:b w:val="0"/>
                <w:color w:val="222222"/>
                <w:sz w:val="16"/>
              </w:rPr>
              <w:t>技术事实、替代方案、实施例、代码证据和测试结果真实完整。</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c>
          <w:tcPr>
            <w:tcW w:type="dxa" w:w="1727"/>
            <w:shd w:fill="EFF6FB"/>
            <w:vAlign w:val="center"/>
          </w:tcPr>
          <w:p>
            <w:pPr>
              <w:spacing w:before="30" w:after="30" w:line="252" w:lineRule="auto"/>
              <w:jc w:val="left"/>
            </w:pPr>
            <w:r>
              <w:rPr>
                <w:rFonts w:ascii="Arial" w:hAnsi="Arial" w:eastAsia="微软雅黑"/>
                <w:b w:val="0"/>
                <w:color w:val="222222"/>
                <w:sz w:val="16"/>
              </w:rPr>
              <w:t>发明人代表</w:t>
            </w:r>
          </w:p>
        </w:tc>
        <w:tc>
          <w:tcPr>
            <w:tcW w:type="dxa" w:w="5254"/>
            <w:shd w:fill="EFF6FB"/>
            <w:vAlign w:val="center"/>
          </w:tcPr>
          <w:p>
            <w:pPr>
              <w:spacing w:before="30" w:after="30" w:line="252" w:lineRule="auto"/>
              <w:jc w:val="left"/>
            </w:pPr>
            <w:r>
              <w:rPr>
                <w:rFonts w:ascii="Arial" w:hAnsi="Arial" w:eastAsia="微软雅黑"/>
                <w:b w:val="0"/>
                <w:color w:val="222222"/>
                <w:sz w:val="16"/>
              </w:rPr>
              <w:t>创造性贡献、形成时间及公开披露情况无重大遗漏。</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c>
          <w:tcPr>
            <w:tcW w:type="dxa" w:w="1727"/>
            <w:vAlign w:val="center"/>
          </w:tcPr>
          <w:p>
            <w:pPr>
              <w:spacing w:before="30" w:after="30" w:line="252" w:lineRule="auto"/>
              <w:jc w:val="left"/>
            </w:pPr>
            <w:r>
              <w:rPr>
                <w:rFonts w:ascii="Arial" w:hAnsi="Arial" w:eastAsia="微软雅黑"/>
                <w:b w:val="0"/>
                <w:color w:val="222222"/>
                <w:sz w:val="16"/>
              </w:rPr>
              <w:t>法务／知识产权负责人</w:t>
            </w:r>
          </w:p>
        </w:tc>
        <w:tc>
          <w:tcPr>
            <w:tcW w:type="dxa" w:w="5254"/>
            <w:vAlign w:val="center"/>
          </w:tcPr>
          <w:p>
            <w:pPr>
              <w:spacing w:before="30" w:after="30" w:line="252" w:lineRule="auto"/>
              <w:jc w:val="left"/>
            </w:pPr>
            <w:r>
              <w:rPr>
                <w:rFonts w:ascii="Arial" w:hAnsi="Arial" w:eastAsia="微软雅黑"/>
                <w:b w:val="0"/>
                <w:color w:val="222222"/>
                <w:sz w:val="16"/>
              </w:rPr>
              <w:t>申请主体、权属链、披露核查和申报策略已完成。</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c>
          <w:tcPr>
            <w:tcW w:type="dxa" w:w="1727"/>
            <w:shd w:fill="EFF6FB"/>
            <w:vAlign w:val="center"/>
          </w:tcPr>
          <w:p>
            <w:pPr>
              <w:spacing w:before="30" w:after="30" w:line="252" w:lineRule="auto"/>
              <w:jc w:val="left"/>
            </w:pPr>
            <w:r>
              <w:rPr>
                <w:rFonts w:ascii="Arial" w:hAnsi="Arial" w:eastAsia="微软雅黑"/>
                <w:b w:val="0"/>
                <w:color w:val="222222"/>
                <w:sz w:val="16"/>
              </w:rPr>
              <w:t>专利代理师</w:t>
            </w:r>
          </w:p>
        </w:tc>
        <w:tc>
          <w:tcPr>
            <w:tcW w:type="dxa" w:w="5254"/>
            <w:shd w:fill="EFF6FB"/>
            <w:vAlign w:val="center"/>
          </w:tcPr>
          <w:p>
            <w:pPr>
              <w:spacing w:before="30" w:after="30" w:line="252" w:lineRule="auto"/>
              <w:jc w:val="left"/>
            </w:pPr>
            <w:r>
              <w:rPr>
                <w:rFonts w:ascii="Arial" w:hAnsi="Arial" w:eastAsia="微软雅黑"/>
                <w:b w:val="0"/>
                <w:color w:val="222222"/>
                <w:sz w:val="16"/>
              </w:rPr>
              <w:t>完成正式查新、权利要求定稿、说明书支持性复核和形式核对。</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c>
          <w:tcPr>
            <w:tcW w:type="dxa" w:w="1727"/>
            <w:vAlign w:val="center"/>
          </w:tcPr>
          <w:p>
            <w:pPr>
              <w:spacing w:before="30" w:after="30" w:line="252" w:lineRule="auto"/>
              <w:jc w:val="left"/>
            </w:pPr>
            <w:r>
              <w:rPr>
                <w:rFonts w:ascii="Arial" w:hAnsi="Arial" w:eastAsia="微软雅黑"/>
                <w:b w:val="0"/>
                <w:color w:val="222222"/>
                <w:sz w:val="16"/>
              </w:rPr>
              <w:t>申请人批准人</w:t>
            </w:r>
          </w:p>
        </w:tc>
        <w:tc>
          <w:tcPr>
            <w:tcW w:type="dxa" w:w="5254"/>
            <w:vAlign w:val="center"/>
          </w:tcPr>
          <w:p>
            <w:pPr>
              <w:spacing w:before="30" w:after="30" w:line="252" w:lineRule="auto"/>
              <w:jc w:val="left"/>
            </w:pPr>
            <w:r>
              <w:rPr>
                <w:rFonts w:ascii="Arial" w:hAnsi="Arial" w:eastAsia="微软雅黑"/>
                <w:b w:val="0"/>
                <w:color w:val="222222"/>
                <w:sz w:val="16"/>
              </w:rPr>
              <w:t>批准按定稿申请文件提交并落实费用与期限台账。</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bl>
    <w:p>
      <w:pPr>
        <w:spacing w:after="20"/>
      </w:pPr>
    </w:p>
    <w:p>
      <w:pPr>
        <w:spacing w:before="240"/>
        <w:jc w:val="center"/>
      </w:pPr>
      <w:r>
        <w:rPr>
          <w:rFonts w:ascii="Arial" w:hAnsi="Arial" w:eastAsia="微软雅黑"/>
          <w:b/>
          <w:color w:val="666666"/>
          <w:sz w:val="18"/>
        </w:rPr>
        <w:t>— V2完善版文件结束 —</w:t>
      </w:r>
    </w:p>
    <w:sectPr w:rsidR="00FC693F" w:rsidRPr="0006063C" w:rsidSect="00034616">
      <w:headerReference w:type="default" r:id="rId9"/>
      <w:footerReference w:type="default" r:id="rId10"/>
      <w:pgSz w:w="11909" w:h="16834"/>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fldChar w:fldCharType="begin"/>
      <w:instrText xml:space="preserve"> PAGE </w:instrText>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eastAsia="宋体"/>
        <w:color w:val="666666"/>
        <w:sz w:val="17"/>
      </w:rPr>
      <w:t>INOGI AI Office System｜专利申请立项书｜内部资料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nipa.gov.cn/jact/front/mailpubdetail.do?sysid=6&amp;transactId=442860" TargetMode="External"/><Relationship Id="rId15" Type="http://schemas.openxmlformats.org/officeDocument/2006/relationships/hyperlink" Target="https://www.cnipa.gov.cn/art/2024/1/18/art_2199_189877.html" TargetMode="External"/><Relationship Id="rId16" Type="http://schemas.openxmlformats.org/officeDocument/2006/relationships/hyperlink" Target="https://www.cnipa.gov.cn/art/2024/12/31/art_66_196988.html" TargetMode="External"/><Relationship Id="rId17" Type="http://schemas.openxmlformats.org/officeDocument/2006/relationships/hyperlink" Target="https://www.cnipa.gov.cn/art/2025/11/13/art_74_202560.html" TargetMode="External"/><Relationship Id="rId18" Type="http://schemas.openxmlformats.org/officeDocument/2006/relationships/hyperlink" Target="https://patents.google.com/patent/US20250321768A1/en" TargetMode="External"/><Relationship Id="rId19" Type="http://schemas.openxmlformats.org/officeDocument/2006/relationships/hyperlink" Target="https://patents.google.com/patent/US20260093503A1/en" TargetMode="External"/><Relationship Id="rId20" Type="http://schemas.openxmlformats.org/officeDocument/2006/relationships/hyperlink" Target="https://patents.google.com/patent/US12524499B2/en" TargetMode="External"/><Relationship Id="rId21" Type="http://schemas.openxmlformats.org/officeDocument/2006/relationships/hyperlink" Target="https://patents.google.com/patent/US20250094549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INOGI AI Office 企业智能体权限约束式工具执行方法及系统—专利申请立项书V2完善版</dc:title>
  <dc:subject>中国发明专利立项、技术交底、权利要求讨论与申报前核对</dc:subject>
  <dc:creator>项目组</dc:creator>
  <cp:keywords>企业智能体, AI Agent, 工具调用, 权限同源, 失败关闭, 原子抢占, 确认卡, 审计回放</cp:keywords>
  <dc:description>V2完善版；正式申请前须由申请人、发明人及专利代理师复核。</dc:description>
  <cp:lastModifiedBy/>
  <cp:revision>1</cp:revision>
  <dcterms:created xsi:type="dcterms:W3CDTF">2026-08-25T00:00:00Z</dcterms:created>
  <dcterms:modified xsi:type="dcterms:W3CDTF">2013-12-23T23:15:00Z</dcterms:modified>
  <cp:category/>
</cp:coreProperties>
</file>