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9ECD" w14:textId="77777777" w:rsidR="00801A71" w:rsidRDefault="00801A71" w:rsidP="00801A71">
      <w:pPr>
        <w:rPr>
          <w:b/>
          <w:bCs/>
        </w:rPr>
      </w:pPr>
      <w:r w:rsidRPr="00742647">
        <w:rPr>
          <w:b/>
          <w:bCs/>
        </w:rPr>
        <w:t>Quantifying Net Load Variability and Ramping Risk Under Increasing Renewable Penetration in ERCOT</w:t>
      </w:r>
      <w:r>
        <w:rPr>
          <w:b/>
          <w:bCs/>
        </w:rPr>
        <w:t xml:space="preserve">   </w:t>
      </w:r>
    </w:p>
    <w:p w14:paraId="2965D8D8" w14:textId="6A338812" w:rsidR="00801A71" w:rsidRDefault="00801A71" w:rsidP="00801A71">
      <w:pPr>
        <w:rPr>
          <w:b/>
          <w:bCs/>
        </w:rPr>
      </w:pPr>
      <w:r>
        <w:rPr>
          <w:b/>
          <w:bCs/>
        </w:rPr>
        <w:t xml:space="preserve">-- </w:t>
      </w:r>
      <w:r w:rsidRPr="00742647">
        <w:rPr>
          <w:b/>
          <w:bCs/>
          <w:sz w:val="20"/>
          <w:szCs w:val="20"/>
        </w:rPr>
        <w:t xml:space="preserve">A Scenario-Based </w:t>
      </w:r>
      <w:proofErr w:type="spellStart"/>
      <w:r>
        <w:rPr>
          <w:b/>
          <w:bCs/>
          <w:sz w:val="20"/>
          <w:szCs w:val="20"/>
        </w:rPr>
        <w:t>Sensitiv</w:t>
      </w:r>
      <w:r w:rsidRPr="00742647">
        <w:rPr>
          <w:b/>
          <w:bCs/>
          <w:sz w:val="20"/>
          <w:szCs w:val="20"/>
        </w:rPr>
        <w:t>Analysis</w:t>
      </w:r>
      <w:proofErr w:type="spellEnd"/>
      <w:r w:rsidRPr="00742647">
        <w:rPr>
          <w:b/>
          <w:bCs/>
          <w:sz w:val="20"/>
          <w:szCs w:val="20"/>
        </w:rPr>
        <w:t xml:space="preserve"> Using Historical ERCOT Operational Data</w:t>
      </w:r>
    </w:p>
    <w:p w14:paraId="433C9D0D" w14:textId="43D0593B" w:rsidR="00801A71" w:rsidRPr="00742647" w:rsidRDefault="00801A71" w:rsidP="00801A71">
      <w:pPr>
        <w:rPr>
          <w:b/>
          <w:bCs/>
        </w:rPr>
      </w:pPr>
      <w:r w:rsidRPr="00742647">
        <w:rPr>
          <w:b/>
          <w:bCs/>
        </w:rPr>
        <w:t>1. SUMMARY</w:t>
      </w:r>
    </w:p>
    <w:p w14:paraId="0761D99D" w14:textId="77777777" w:rsidR="00801A71" w:rsidRPr="003C5D3E" w:rsidRDefault="00801A71" w:rsidP="00801A71">
      <w:r w:rsidRPr="003C5D3E">
        <w:t>Increasing penetration of renewable energy resources such as solar and wind has introduced new operational challenges for electric power systems due to their inherent variability and intermittency. This study investigates how increasing renewable penetration affects net load behavior and ramping risk in a power system context.</w:t>
      </w:r>
    </w:p>
    <w:p w14:paraId="4FE60000" w14:textId="77777777" w:rsidR="00801A71" w:rsidRPr="003C5D3E" w:rsidRDefault="00801A71" w:rsidP="00801A71">
      <w:r w:rsidRPr="003C5D3E">
        <w:t>We hypothesized that higher renewable penetration would increase the magnitude and frequency of extreme net load ramp events due to increased variability in solar and wind generation.</w:t>
      </w:r>
    </w:p>
    <w:p w14:paraId="459AE108" w14:textId="77777777" w:rsidR="00801A71" w:rsidRPr="003C5D3E" w:rsidRDefault="00801A71" w:rsidP="00801A71">
      <w:r w:rsidRPr="003C5D3E">
        <w:t>To test this hypothesis, historical hourly load, solar, and wind generation data were used to construct net load profiles under multiple renewable penetration scenarios. Solar and wind generation were scaled to represent low, medium, and high penetration cases while preserving historical variability patterns. Ramp rates were calculated from net load time series, and extreme ramp events were identified using percentile-based thresholds derived from the baseline scenario.</w:t>
      </w:r>
    </w:p>
    <w:p w14:paraId="61B7D25C" w14:textId="77777777" w:rsidR="00801A71" w:rsidRPr="003C5D3E" w:rsidRDefault="00801A71" w:rsidP="00801A71">
      <w:r w:rsidRPr="003C5D3E">
        <w:t>The results show that increasing renewable penetration leads to deeper midday net load reductions, steeper evening ramps, and increased variability in ramp behavior. Extreme ramp events occur more frequently under high renewable scenarios, and tail-risk metrics indicate increased exposure to rare but high-impact system stress events. The relationship between renewable penetration and ramping risk is observed to be nonlinear, with solar generation contributing more strongly to extreme upward ramp behavior than wind.</w:t>
      </w:r>
    </w:p>
    <w:p w14:paraId="640E072F" w14:textId="77777777" w:rsidR="00801A71" w:rsidRPr="003C5D3E" w:rsidRDefault="00801A71" w:rsidP="00801A71">
      <w:r w:rsidRPr="003C5D3E">
        <w:t>This study demonstrates that renewable growth fundamentally alters net load dynamics and increases system flexibility requirements, highlighting the importance of operational planning, flexible generation resources, and energy storage in future high-renewable power systems.</w:t>
      </w:r>
    </w:p>
    <w:p w14:paraId="09368845" w14:textId="77777777" w:rsidR="00801A71" w:rsidRDefault="00801A71" w:rsidP="00801A71"/>
    <w:p w14:paraId="2209F85C" w14:textId="77777777" w:rsidR="003D4EDD" w:rsidRDefault="003D4EDD"/>
    <w:sectPr w:rsidR="003D4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A71"/>
    <w:rsid w:val="001A50FC"/>
    <w:rsid w:val="001E7757"/>
    <w:rsid w:val="001F4783"/>
    <w:rsid w:val="002C4A9E"/>
    <w:rsid w:val="00362E6D"/>
    <w:rsid w:val="003D4EDD"/>
    <w:rsid w:val="00432FAB"/>
    <w:rsid w:val="00725707"/>
    <w:rsid w:val="00801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D9714"/>
  <w15:chartTrackingRefBased/>
  <w15:docId w15:val="{0A4BD1E6-1B9B-452A-B04C-A5C8E2AD6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A71"/>
  </w:style>
  <w:style w:type="paragraph" w:styleId="Heading1">
    <w:name w:val="heading 1"/>
    <w:basedOn w:val="Normal"/>
    <w:next w:val="Normal"/>
    <w:link w:val="Heading1Char"/>
    <w:uiPriority w:val="9"/>
    <w:qFormat/>
    <w:rsid w:val="00801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A71"/>
    <w:rPr>
      <w:rFonts w:eastAsiaTheme="majorEastAsia" w:cstheme="majorBidi"/>
      <w:color w:val="272727" w:themeColor="text1" w:themeTint="D8"/>
    </w:rPr>
  </w:style>
  <w:style w:type="paragraph" w:styleId="Title">
    <w:name w:val="Title"/>
    <w:basedOn w:val="Normal"/>
    <w:next w:val="Normal"/>
    <w:link w:val="TitleChar"/>
    <w:uiPriority w:val="10"/>
    <w:qFormat/>
    <w:rsid w:val="00801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A71"/>
    <w:pPr>
      <w:spacing w:before="160"/>
      <w:jc w:val="center"/>
    </w:pPr>
    <w:rPr>
      <w:i/>
      <w:iCs/>
      <w:color w:val="404040" w:themeColor="text1" w:themeTint="BF"/>
    </w:rPr>
  </w:style>
  <w:style w:type="character" w:customStyle="1" w:styleId="QuoteChar">
    <w:name w:val="Quote Char"/>
    <w:basedOn w:val="DefaultParagraphFont"/>
    <w:link w:val="Quote"/>
    <w:uiPriority w:val="29"/>
    <w:rsid w:val="00801A71"/>
    <w:rPr>
      <w:i/>
      <w:iCs/>
      <w:color w:val="404040" w:themeColor="text1" w:themeTint="BF"/>
    </w:rPr>
  </w:style>
  <w:style w:type="paragraph" w:styleId="ListParagraph">
    <w:name w:val="List Paragraph"/>
    <w:basedOn w:val="Normal"/>
    <w:uiPriority w:val="34"/>
    <w:qFormat/>
    <w:rsid w:val="00801A71"/>
    <w:pPr>
      <w:ind w:left="720"/>
      <w:contextualSpacing/>
    </w:pPr>
  </w:style>
  <w:style w:type="character" w:styleId="IntenseEmphasis">
    <w:name w:val="Intense Emphasis"/>
    <w:basedOn w:val="DefaultParagraphFont"/>
    <w:uiPriority w:val="21"/>
    <w:qFormat/>
    <w:rsid w:val="00801A71"/>
    <w:rPr>
      <w:i/>
      <w:iCs/>
      <w:color w:val="0F4761" w:themeColor="accent1" w:themeShade="BF"/>
    </w:rPr>
  </w:style>
  <w:style w:type="paragraph" w:styleId="IntenseQuote">
    <w:name w:val="Intense Quote"/>
    <w:basedOn w:val="Normal"/>
    <w:next w:val="Normal"/>
    <w:link w:val="IntenseQuoteChar"/>
    <w:uiPriority w:val="30"/>
    <w:qFormat/>
    <w:rsid w:val="00801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A71"/>
    <w:rPr>
      <w:i/>
      <w:iCs/>
      <w:color w:val="0F4761" w:themeColor="accent1" w:themeShade="BF"/>
    </w:rPr>
  </w:style>
  <w:style w:type="character" w:styleId="IntenseReference">
    <w:name w:val="Intense Reference"/>
    <w:basedOn w:val="DefaultParagraphFont"/>
    <w:uiPriority w:val="32"/>
    <w:qFormat/>
    <w:rsid w:val="00801A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302</Words>
  <Characters>1673</Characters>
  <Application>Microsoft Office Word</Application>
  <DocSecurity>0</DocSecurity>
  <Lines>46</Lines>
  <Paragraphs>34</Paragraphs>
  <ScaleCrop>false</ScaleCrop>
  <HeadingPairs>
    <vt:vector size="2" baseType="variant">
      <vt:variant>
        <vt:lpstr>Title</vt:lpstr>
      </vt:variant>
      <vt:variant>
        <vt:i4>1</vt:i4>
      </vt:variant>
    </vt:vector>
  </HeadingPairs>
  <TitlesOfParts>
    <vt:vector size="1" baseType="lpstr">
      <vt:lpstr/>
    </vt:vector>
  </TitlesOfParts>
  <Company>Vistra Corp</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Angie</dc:creator>
  <cp:keywords/>
  <dc:description/>
  <cp:lastModifiedBy>Zeng, Angie</cp:lastModifiedBy>
  <cp:revision>1</cp:revision>
  <dcterms:created xsi:type="dcterms:W3CDTF">2026-05-18T02:35:00Z</dcterms:created>
  <dcterms:modified xsi:type="dcterms:W3CDTF">2026-05-18T03:01:00Z</dcterms:modified>
</cp:coreProperties>
</file>