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19ECD" w14:textId="77777777" w:rsidR="00801A71" w:rsidRDefault="00801A71" w:rsidP="00801A71">
      <w:pPr>
        <w:rPr>
          <w:b/>
          <w:bCs/>
        </w:rPr>
      </w:pPr>
      <w:r w:rsidRPr="00742647">
        <w:rPr>
          <w:b/>
          <w:bCs/>
        </w:rPr>
        <w:t>Quantifying Net Load Variability and Ramping Risk Under Increasing Renewable Penetration in ERCOT</w:t>
      </w:r>
      <w:r>
        <w:rPr>
          <w:b/>
          <w:bCs/>
        </w:rPr>
        <w:t xml:space="preserve">   </w:t>
      </w:r>
    </w:p>
    <w:p w14:paraId="2965D8D8" w14:textId="5682E401" w:rsidR="00801A71" w:rsidRDefault="00801A71" w:rsidP="00801A71">
      <w:pPr>
        <w:rPr>
          <w:b/>
          <w:bCs/>
        </w:rPr>
      </w:pPr>
      <w:r>
        <w:rPr>
          <w:b/>
          <w:bCs/>
        </w:rPr>
        <w:t xml:space="preserve">-- </w:t>
      </w:r>
      <w:r w:rsidRPr="00742647">
        <w:rPr>
          <w:b/>
          <w:bCs/>
          <w:sz w:val="20"/>
          <w:szCs w:val="20"/>
        </w:rPr>
        <w:t xml:space="preserve">A Scenario-Based </w:t>
      </w:r>
      <w:r>
        <w:rPr>
          <w:b/>
          <w:bCs/>
          <w:sz w:val="20"/>
          <w:szCs w:val="20"/>
        </w:rPr>
        <w:t>Sensitiv</w:t>
      </w:r>
      <w:r w:rsidR="00800DA2">
        <w:rPr>
          <w:b/>
          <w:bCs/>
          <w:sz w:val="20"/>
          <w:szCs w:val="20"/>
        </w:rPr>
        <w:t xml:space="preserve">e </w:t>
      </w:r>
      <w:r w:rsidRPr="00742647">
        <w:rPr>
          <w:b/>
          <w:bCs/>
          <w:sz w:val="20"/>
          <w:szCs w:val="20"/>
        </w:rPr>
        <w:t>Analysis Using Historical ERCOT Operational Data</w:t>
      </w:r>
    </w:p>
    <w:p w14:paraId="05D8E74E" w14:textId="61DFA2E2" w:rsidR="002A24D2" w:rsidRDefault="002A24D2" w:rsidP="00801A71">
      <w:r>
        <w:t>As energy producers</w:t>
      </w:r>
      <w:r w:rsidR="00800DA2">
        <w:t xml:space="preserve"> rapidly</w:t>
      </w:r>
      <w:r>
        <w:t xml:space="preserve"> shift to</w:t>
      </w:r>
      <w:r w:rsidR="00800DA2">
        <w:t xml:space="preserve">wards </w:t>
      </w:r>
      <w:r>
        <w:t>renewable energy resources, such as solar and wind,</w:t>
      </w:r>
      <w:r w:rsidR="002B70C1">
        <w:t xml:space="preserve"> power grids are faced with new operational challenges due to the variability of intermittent weather-based generation. In this study we examine how increasing renewable penetration impacts net load dynamics and ramp risks within a power system.</w:t>
      </w:r>
    </w:p>
    <w:p w14:paraId="65073DED" w14:textId="7F36760D" w:rsidR="002B70C1" w:rsidRDefault="002B70C1" w:rsidP="00801A71">
      <w:r>
        <w:t xml:space="preserve">The hypothesis was that the increased renewable penetration would amplify both the magnitude and frequency of extreme net load ramp events due to the </w:t>
      </w:r>
      <w:r w:rsidR="00FB0B3C">
        <w:t>net variability of both solar and wind generation.</w:t>
      </w:r>
    </w:p>
    <w:p w14:paraId="666538AA" w14:textId="310E7350" w:rsidR="00150429" w:rsidRDefault="00150429" w:rsidP="00B55222">
      <w:r>
        <w:t xml:space="preserve">To test the hypothesis, we constructed net load profiles based on </w:t>
      </w:r>
      <w:proofErr w:type="gramStart"/>
      <w:r>
        <w:t>hypothetical</w:t>
      </w:r>
      <w:proofErr w:type="gramEnd"/>
      <w:r>
        <w:t xml:space="preserve"> constructed penetration scenarios</w:t>
      </w:r>
      <w:r w:rsidR="00D16BD8">
        <w:t>; ea</w:t>
      </w:r>
      <w:r>
        <w:t>ch scenario</w:t>
      </w:r>
      <w:r w:rsidR="00D16BD8">
        <w:t xml:space="preserve"> was derived from </w:t>
      </w:r>
      <w:r>
        <w:t>recent hourly load, solar, and wind generation data from the Electric Reliability Council of Texas (ERCOT). We scaled the solar and wind generation incrementally t</w:t>
      </w:r>
      <w:r>
        <w:t>o simulate each scenario effectively while maintaining historical weather patterns</w:t>
      </w:r>
      <w:r>
        <w:t>.</w:t>
      </w:r>
      <w:r w:rsidR="001F7D37">
        <w:t xml:space="preserve"> Finally, ramping risk is calculated via net load ramping rates, conditional tail expectation (CTE), and extreme ramp event magnitude.</w:t>
      </w:r>
    </w:p>
    <w:p w14:paraId="18579FD8" w14:textId="7CBCEAD9" w:rsidR="001F7D37" w:rsidRDefault="001F7D37" w:rsidP="00A05E31">
      <w:r>
        <w:t xml:space="preserve">From the results, we can conclude that higher renewable penetration </w:t>
      </w:r>
      <w:r w:rsidR="00A05E31">
        <w:t>leads to deeper midday net load reductions and increased net load ramp variability. Extreme ramping events occur more frequently with the increased capacity of renewable energy; as a result, tail-risk metrics reveal increased chances of rare, high-impact system stress events. Note that we observed the relationship between renewable penetration and ramping risk to be nonlinear; increased solar generation has a significantly greater impact on extreme net load ramps, especially during sunset hours.</w:t>
      </w:r>
    </w:p>
    <w:p w14:paraId="4905AFE7" w14:textId="6C623D20" w:rsidR="00D16BD8" w:rsidRDefault="00D16BD8" w:rsidP="00B05F2C">
      <w:r>
        <w:t>This study shows that the</w:t>
      </w:r>
      <w:r w:rsidR="00ED5AD1">
        <w:t xml:space="preserve"> growth of renewable energy has </w:t>
      </w:r>
      <w:r>
        <w:t xml:space="preserve">structurally </w:t>
      </w:r>
      <w:r w:rsidR="00ED5AD1">
        <w:t>altered net load dynamics</w:t>
      </w:r>
      <w:r>
        <w:t xml:space="preserve"> by </w:t>
      </w:r>
      <w:r w:rsidR="00ED5AD1">
        <w:t>increasing requirements for system flexibility.</w:t>
      </w:r>
      <w:r>
        <w:t xml:space="preserve"> Future power grids will require a higher level of flexible generation resources and energy storage systems to accommodate steeper ramping requirements, ensuring grid stability.</w:t>
      </w:r>
    </w:p>
    <w:p w14:paraId="224DC889" w14:textId="77777777" w:rsidR="00D16BD8" w:rsidRDefault="00D16BD8" w:rsidP="00B05F2C"/>
    <w:p w14:paraId="09C8A156" w14:textId="77777777" w:rsidR="00B05F2C" w:rsidRDefault="00B05F2C"/>
    <w:sectPr w:rsidR="00B05F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A71"/>
    <w:rsid w:val="00042E48"/>
    <w:rsid w:val="00094B71"/>
    <w:rsid w:val="00150429"/>
    <w:rsid w:val="001A50FC"/>
    <w:rsid w:val="001E7757"/>
    <w:rsid w:val="001F4783"/>
    <w:rsid w:val="001F7D37"/>
    <w:rsid w:val="00280822"/>
    <w:rsid w:val="00287E5D"/>
    <w:rsid w:val="002A24D2"/>
    <w:rsid w:val="002B70C1"/>
    <w:rsid w:val="002C4A9E"/>
    <w:rsid w:val="00310559"/>
    <w:rsid w:val="00316896"/>
    <w:rsid w:val="00341CF7"/>
    <w:rsid w:val="00362E6D"/>
    <w:rsid w:val="003D4EDD"/>
    <w:rsid w:val="003E2966"/>
    <w:rsid w:val="00432FAB"/>
    <w:rsid w:val="00466731"/>
    <w:rsid w:val="00484773"/>
    <w:rsid w:val="004D0EC1"/>
    <w:rsid w:val="00526D8C"/>
    <w:rsid w:val="005B5A8E"/>
    <w:rsid w:val="006B4902"/>
    <w:rsid w:val="006D4509"/>
    <w:rsid w:val="00725707"/>
    <w:rsid w:val="00755581"/>
    <w:rsid w:val="00800DA2"/>
    <w:rsid w:val="00801A71"/>
    <w:rsid w:val="009B3322"/>
    <w:rsid w:val="00A05E31"/>
    <w:rsid w:val="00B05F2C"/>
    <w:rsid w:val="00B55222"/>
    <w:rsid w:val="00C37859"/>
    <w:rsid w:val="00CD54D1"/>
    <w:rsid w:val="00D16BD8"/>
    <w:rsid w:val="00ED5AD1"/>
    <w:rsid w:val="00FB0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D9714"/>
  <w15:chartTrackingRefBased/>
  <w15:docId w15:val="{0A4BD1E6-1B9B-452A-B04C-A5C8E2AD6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1A71"/>
  </w:style>
  <w:style w:type="paragraph" w:styleId="Heading1">
    <w:name w:val="heading 1"/>
    <w:basedOn w:val="Normal"/>
    <w:next w:val="Normal"/>
    <w:link w:val="Heading1Char"/>
    <w:uiPriority w:val="9"/>
    <w:qFormat/>
    <w:rsid w:val="00801A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1A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1A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1A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1A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1A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1A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1A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1A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1A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1A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1A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1A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1A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1A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1A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1A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1A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1A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1A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1A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1A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1A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1A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1A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1A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1A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1A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1A7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D0EC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1820</TotalTime>
  <Pages>1</Pages>
  <Words>319</Words>
  <Characters>1822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Vistra Corp</Company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Zeng, Angie</dc:creator>
  <cp:keywords/>
  <dc:description/>
  <cp:lastModifiedBy>Kyle Lin</cp:lastModifiedBy>
  <cp:revision>15</cp:revision>
  <dcterms:created xsi:type="dcterms:W3CDTF">2026-05-18T02:35:00Z</dcterms:created>
  <dcterms:modified xsi:type="dcterms:W3CDTF">2026-06-04T04:08:00Z</dcterms:modified>
</cp:coreProperties>
</file>