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19ECD" w14:textId="77777777" w:rsidR="00801A71" w:rsidRDefault="00801A71" w:rsidP="00801A71">
      <w:pPr>
        <w:rPr>
          <w:b/>
          <w:bCs/>
        </w:rPr>
      </w:pPr>
      <w:r w:rsidRPr="00742647">
        <w:rPr>
          <w:b/>
          <w:bCs/>
        </w:rPr>
        <w:t>Quantifying Net Load Variability and Ramping Risk Under Increasing Renewable Penetration in ERCOT</w:t>
      </w:r>
      <w:r>
        <w:rPr>
          <w:b/>
          <w:bCs/>
        </w:rPr>
        <w:t xml:space="preserve">   </w:t>
      </w:r>
    </w:p>
    <w:p w14:paraId="2965D8D8" w14:textId="125999F6" w:rsidR="00801A71" w:rsidRDefault="00801A71" w:rsidP="00801A71">
      <w:pPr>
        <w:rPr>
          <w:b/>
          <w:bCs/>
        </w:rPr>
      </w:pPr>
      <w:r>
        <w:rPr>
          <w:b/>
          <w:bCs/>
        </w:rPr>
        <w:t xml:space="preserve">-- </w:t>
      </w:r>
      <w:r w:rsidRPr="00742647">
        <w:rPr>
          <w:b/>
          <w:bCs/>
          <w:sz w:val="20"/>
          <w:szCs w:val="20"/>
        </w:rPr>
        <w:t xml:space="preserve">A Scenario-Based </w:t>
      </w:r>
      <w:proofErr w:type="spellStart"/>
      <w:r>
        <w:rPr>
          <w:b/>
          <w:bCs/>
          <w:sz w:val="20"/>
          <w:szCs w:val="20"/>
        </w:rPr>
        <w:t>Sensitiv</w:t>
      </w:r>
      <w:proofErr w:type="spellEnd"/>
      <w:r w:rsidR="009B3322">
        <w:rPr>
          <w:b/>
          <w:bCs/>
          <w:sz w:val="20"/>
          <w:szCs w:val="20"/>
        </w:rPr>
        <w:t xml:space="preserve"> </w:t>
      </w:r>
      <w:r w:rsidRPr="00742647">
        <w:rPr>
          <w:b/>
          <w:bCs/>
          <w:sz w:val="20"/>
          <w:szCs w:val="20"/>
        </w:rPr>
        <w:t>Analysis Using Historical ERCOT Operational Data</w:t>
      </w:r>
    </w:p>
    <w:p w14:paraId="433C9D0D" w14:textId="43D0593B" w:rsidR="00801A71" w:rsidRPr="00742647" w:rsidRDefault="00801A71" w:rsidP="00801A71">
      <w:pPr>
        <w:rPr>
          <w:b/>
          <w:bCs/>
        </w:rPr>
      </w:pPr>
      <w:r w:rsidRPr="00742647">
        <w:rPr>
          <w:b/>
          <w:bCs/>
        </w:rPr>
        <w:t>1. SUMMARY</w:t>
      </w:r>
    </w:p>
    <w:p w14:paraId="0761D99D" w14:textId="191E2303" w:rsidR="00801A71" w:rsidRPr="003C5D3E" w:rsidRDefault="00801A71" w:rsidP="00801A71">
      <w:r w:rsidRPr="003C5D3E">
        <w:t xml:space="preserve">Increasing </w:t>
      </w:r>
      <w:r w:rsidR="005B5A8E">
        <w:t xml:space="preserve">penetration of </w:t>
      </w:r>
      <w:r w:rsidRPr="003C5D3E">
        <w:t xml:space="preserve">renewable energy </w:t>
      </w:r>
      <w:r w:rsidR="00755581">
        <w:t xml:space="preserve">resources </w:t>
      </w:r>
      <w:r w:rsidRPr="003C5D3E">
        <w:t xml:space="preserve">such as solar and wind has introduced new challenges </w:t>
      </w:r>
      <w:r w:rsidR="00755581">
        <w:t>to electricity power systems</w:t>
      </w:r>
      <w:r w:rsidRPr="003C5D3E">
        <w:t xml:space="preserve"> due to their variability and intermittency</w:t>
      </w:r>
      <w:r w:rsidR="00755581">
        <w:t xml:space="preserve"> nature</w:t>
      </w:r>
      <w:r w:rsidRPr="003C5D3E">
        <w:t xml:space="preserve">. </w:t>
      </w:r>
      <w:r w:rsidR="005B5A8E">
        <w:t>In this research we investigate</w:t>
      </w:r>
      <w:r w:rsidRPr="003C5D3E">
        <w:t xml:space="preserve"> how increasing renewable penetration </w:t>
      </w:r>
      <w:r w:rsidR="005B5A8E">
        <w:t>would impact</w:t>
      </w:r>
      <w:r w:rsidRPr="003C5D3E">
        <w:t xml:space="preserve"> net load behavior and ramping risk in a power system context.</w:t>
      </w:r>
    </w:p>
    <w:p w14:paraId="4FE60000" w14:textId="604646D3" w:rsidR="00801A71" w:rsidRPr="003C5D3E" w:rsidRDefault="00B55222" w:rsidP="00801A71">
      <w:r>
        <w:t xml:space="preserve">The </w:t>
      </w:r>
      <w:r w:rsidR="005B5A8E">
        <w:t>hypothesi</w:t>
      </w:r>
      <w:r>
        <w:t>s was</w:t>
      </w:r>
      <w:r w:rsidR="00801A71" w:rsidRPr="003C5D3E">
        <w:t xml:space="preserve"> that higher renewable penetration would increase </w:t>
      </w:r>
      <w:r w:rsidR="00755581">
        <w:t xml:space="preserve">both </w:t>
      </w:r>
      <w:r w:rsidR="00801A71" w:rsidRPr="003C5D3E">
        <w:t>the magnitude and frequency of extreme net load ramp events due to increased variability in solar and wind generation.</w:t>
      </w:r>
    </w:p>
    <w:p w14:paraId="459AE108" w14:textId="1C0178D2" w:rsidR="00801A71" w:rsidRPr="003C5D3E" w:rsidRDefault="00B55222" w:rsidP="00B55222">
      <w:r w:rsidRPr="00B55222">
        <w:t>We tested our hypothesis by developing net load profiles based upon different “what if” renewable penetration scenarios</w:t>
      </w:r>
      <w:r>
        <w:t>,</w:t>
      </w:r>
      <w:r w:rsidR="00CD54D1">
        <w:t xml:space="preserve"> using most recent year’s</w:t>
      </w:r>
      <w:r w:rsidR="00CD54D1" w:rsidRPr="003C5D3E">
        <w:t xml:space="preserve"> hourly load, solar, and wind generation data</w:t>
      </w:r>
      <w:r>
        <w:t xml:space="preserve"> published by ERCOT</w:t>
      </w:r>
      <w:r w:rsidR="00801A71" w:rsidRPr="003C5D3E">
        <w:t xml:space="preserve">. </w:t>
      </w:r>
      <w:r w:rsidR="00287E5D" w:rsidRPr="00287E5D">
        <w:t xml:space="preserve">Solar and wind generation were scaled incrementally to </w:t>
      </w:r>
      <w:r w:rsidR="004D0EC1" w:rsidRPr="004D0EC1">
        <w:t>simulate each “what if” renewable penetration scenario</w:t>
      </w:r>
      <w:r w:rsidR="004D0EC1">
        <w:t xml:space="preserve"> </w:t>
      </w:r>
      <w:r w:rsidR="00287E5D" w:rsidRPr="00287E5D">
        <w:t xml:space="preserve">while maintaining </w:t>
      </w:r>
      <w:r w:rsidR="00CD54D1">
        <w:t>variability</w:t>
      </w:r>
      <w:r w:rsidR="00287E5D" w:rsidRPr="00287E5D">
        <w:t xml:space="preserve"> patterns</w:t>
      </w:r>
      <w:r w:rsidR="009B3322" w:rsidRPr="009B3322">
        <w:t>.</w:t>
      </w:r>
      <w:r w:rsidR="006B4902">
        <w:t xml:space="preserve"> Ramping risk was quantified by calculating net load ramping rates, c</w:t>
      </w:r>
      <w:r w:rsidR="006B4902" w:rsidRPr="006B4902">
        <w:t xml:space="preserve">onditional </w:t>
      </w:r>
      <w:r w:rsidR="006B4902">
        <w:t>t</w:t>
      </w:r>
      <w:r w:rsidR="006B4902" w:rsidRPr="006B4902">
        <w:t xml:space="preserve">ail Expectation </w:t>
      </w:r>
      <w:r w:rsidR="00801A71" w:rsidRPr="003C5D3E">
        <w:t>and extreme ramp event</w:t>
      </w:r>
      <w:r w:rsidR="006B4902">
        <w:t>’s magnitude.</w:t>
      </w:r>
      <w:r w:rsidR="00801A71" w:rsidRPr="003C5D3E">
        <w:t xml:space="preserve"> </w:t>
      </w:r>
    </w:p>
    <w:p w14:paraId="61B7D25C" w14:textId="755BFF47" w:rsidR="00801A71" w:rsidRPr="003C5D3E" w:rsidRDefault="00801A71" w:rsidP="00801A71">
      <w:r w:rsidRPr="003C5D3E">
        <w:t xml:space="preserve">The results show that increasing renewable penetration leads to deeper midday net load reductions, increased </w:t>
      </w:r>
      <w:r w:rsidR="00466731">
        <w:t xml:space="preserve">overall </w:t>
      </w:r>
      <w:r w:rsidRPr="003C5D3E">
        <w:t xml:space="preserve">variability in </w:t>
      </w:r>
      <w:r w:rsidR="00466731">
        <w:t xml:space="preserve">net load </w:t>
      </w:r>
      <w:r w:rsidRPr="003C5D3E">
        <w:t xml:space="preserve">ramp behavior. Extreme ramp events occur more frequently under high renewable scenarios, and tail-risk metrics indicate increased exposure to rare but high-impact system stress events. The relationship between renewable penetration and ramping risk is observed to be nonlinear, with solar generation contributing more strongly to extreme upward </w:t>
      </w:r>
      <w:r w:rsidR="00287E5D">
        <w:t xml:space="preserve">net load </w:t>
      </w:r>
      <w:r w:rsidRPr="003C5D3E">
        <w:t>ramp behavior than wind</w:t>
      </w:r>
      <w:r w:rsidR="00466731">
        <w:t xml:space="preserve"> during sunset hours</w:t>
      </w:r>
      <w:r w:rsidRPr="003C5D3E">
        <w:t>.</w:t>
      </w:r>
    </w:p>
    <w:p w14:paraId="09368845" w14:textId="69F24D66" w:rsidR="00801A71" w:rsidRDefault="00C37859" w:rsidP="00801A71">
      <w:r w:rsidRPr="00C37859">
        <w:t xml:space="preserve">This </w:t>
      </w:r>
      <w:r w:rsidR="00094B71">
        <w:t>research</w:t>
      </w:r>
      <w:r w:rsidRPr="00C37859">
        <w:t xml:space="preserve"> demonstrates that renewable growth fundamentally alters net load dynamics and increases system flexibility requirements. More flexible generation resources and energy storage systems will be needed to accommodate steeper ramping requirements in </w:t>
      </w:r>
      <w:r w:rsidR="00094B71">
        <w:t xml:space="preserve">high </w:t>
      </w:r>
      <w:r w:rsidRPr="00C37859">
        <w:t>renewable power systems.</w:t>
      </w:r>
    </w:p>
    <w:p w14:paraId="2209F85C" w14:textId="30A9AF76" w:rsidR="003D4EDD" w:rsidRDefault="00B05F2C">
      <w:r w:rsidRPr="00B05F2C">
        <w:rPr>
          <w:highlight w:val="yellow"/>
        </w:rPr>
        <w:t>Version #</w:t>
      </w:r>
      <w:proofErr w:type="gramStart"/>
      <w:r w:rsidRPr="00B05F2C">
        <w:rPr>
          <w:highlight w:val="yellow"/>
        </w:rPr>
        <w:t>2 :</w:t>
      </w:r>
      <w:proofErr w:type="gramEnd"/>
    </w:p>
    <w:p w14:paraId="3A9F0166" w14:textId="77777777" w:rsidR="00B05F2C" w:rsidRPr="00B05F2C" w:rsidRDefault="00B05F2C" w:rsidP="00B05F2C">
      <w:r w:rsidRPr="00B05F2C">
        <w:t xml:space="preserve">The rapid integration of solar and wind resources introduces significant operational challenges to power grids, primarily due to the inherent variability and intermittency of weather-dependent generation. This study examines how increasing renewable penetration alters net load dynamics and exacerbates ramping risks within a power system framework. We hypothesized that higher shares of renewable energy would increase both </w:t>
      </w:r>
      <w:r w:rsidRPr="00B05F2C">
        <w:lastRenderedPageBreak/>
        <w:t>the magnitude and frequency of extreme net load ramp events, driven by the compounded variability of solar and wind outputs.</w:t>
      </w:r>
    </w:p>
    <w:p w14:paraId="01057928" w14:textId="77777777" w:rsidR="00B05F2C" w:rsidRPr="00B05F2C" w:rsidRDefault="00B05F2C" w:rsidP="00B05F2C">
      <w:r w:rsidRPr="00B05F2C">
        <w:t>To test this hypothesis, we constructed net load profiles across several hypothetical penetration scenarios. The models utilize recent hourly load, solar, and wind generation data from the Electric Reliability Council of Texas (ERCOT). To simulate these scenarios while preserving historical weather and volatility patterns, we scaled the solar and wind generation data incrementally. We then quantified ramping risk using three primary metrics: net load ramping rates, conditional tail expectation (CTE), and the absolute magnitude of extreme ramp events.</w:t>
      </w:r>
    </w:p>
    <w:p w14:paraId="4A059181" w14:textId="77777777" w:rsidR="00B05F2C" w:rsidRPr="00B05F2C" w:rsidRDefault="00B05F2C" w:rsidP="00B05F2C">
      <w:r w:rsidRPr="00B05F2C">
        <w:t>Our findings indicate that higher renewable penetration deepens the midday net load trough and increases overall ramp volatility. Extreme ramping events become more frequent as renewable capacity grows. Furthermore, tail-risk metrics reveal a heightened exposure to rare, high-impact system stress events. Notably, the relationship between renewable penetration and ramping risk is nonlinear; solar generation exerts a more pronounced influence on extreme upward net load ramps than wind, particularly during sunset hours.</w:t>
      </w:r>
    </w:p>
    <w:p w14:paraId="52ABCE84" w14:textId="77777777" w:rsidR="00B05F2C" w:rsidRPr="00B05F2C" w:rsidRDefault="00B05F2C" w:rsidP="00B05F2C">
      <w:r w:rsidRPr="00B05F2C">
        <w:t>Ultimately, this analysis demonstrates that renewable growth fundamentally alters net load dynamics, thereby increasing the demand for grid flexibility. To accommodate these steeper ramping requirements and ensure grid stability, future power systems will require a higher composition of flexible generation resources and utility-scale energy storage systems.</w:t>
      </w:r>
    </w:p>
    <w:p w14:paraId="09C8A156" w14:textId="77777777" w:rsidR="00B05F2C" w:rsidRDefault="00B05F2C"/>
    <w:sectPr w:rsidR="00B05F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A71"/>
    <w:rsid w:val="00094B71"/>
    <w:rsid w:val="001A50FC"/>
    <w:rsid w:val="001E7757"/>
    <w:rsid w:val="001F4783"/>
    <w:rsid w:val="00280822"/>
    <w:rsid w:val="00287E5D"/>
    <w:rsid w:val="002C4A9E"/>
    <w:rsid w:val="00310559"/>
    <w:rsid w:val="00316896"/>
    <w:rsid w:val="00341CF7"/>
    <w:rsid w:val="00362E6D"/>
    <w:rsid w:val="003D4EDD"/>
    <w:rsid w:val="003E2966"/>
    <w:rsid w:val="00432FAB"/>
    <w:rsid w:val="00466731"/>
    <w:rsid w:val="00484773"/>
    <w:rsid w:val="004D0EC1"/>
    <w:rsid w:val="00526D8C"/>
    <w:rsid w:val="005B5A8E"/>
    <w:rsid w:val="006B4902"/>
    <w:rsid w:val="00725707"/>
    <w:rsid w:val="00755581"/>
    <w:rsid w:val="00801A71"/>
    <w:rsid w:val="009B3322"/>
    <w:rsid w:val="00B05F2C"/>
    <w:rsid w:val="00B55222"/>
    <w:rsid w:val="00C37859"/>
    <w:rsid w:val="00CD54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D9714"/>
  <w15:chartTrackingRefBased/>
  <w15:docId w15:val="{0A4BD1E6-1B9B-452A-B04C-A5C8E2AD6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A71"/>
  </w:style>
  <w:style w:type="paragraph" w:styleId="Heading1">
    <w:name w:val="heading 1"/>
    <w:basedOn w:val="Normal"/>
    <w:next w:val="Normal"/>
    <w:link w:val="Heading1Char"/>
    <w:uiPriority w:val="9"/>
    <w:qFormat/>
    <w:rsid w:val="00801A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1A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1A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A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A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A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A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A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A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A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1A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1A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A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A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A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A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A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A71"/>
    <w:rPr>
      <w:rFonts w:eastAsiaTheme="majorEastAsia" w:cstheme="majorBidi"/>
      <w:color w:val="272727" w:themeColor="text1" w:themeTint="D8"/>
    </w:rPr>
  </w:style>
  <w:style w:type="paragraph" w:styleId="Title">
    <w:name w:val="Title"/>
    <w:basedOn w:val="Normal"/>
    <w:next w:val="Normal"/>
    <w:link w:val="TitleChar"/>
    <w:uiPriority w:val="10"/>
    <w:qFormat/>
    <w:rsid w:val="00801A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A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A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A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A71"/>
    <w:pPr>
      <w:spacing w:before="160"/>
      <w:jc w:val="center"/>
    </w:pPr>
    <w:rPr>
      <w:i/>
      <w:iCs/>
      <w:color w:val="404040" w:themeColor="text1" w:themeTint="BF"/>
    </w:rPr>
  </w:style>
  <w:style w:type="character" w:customStyle="1" w:styleId="QuoteChar">
    <w:name w:val="Quote Char"/>
    <w:basedOn w:val="DefaultParagraphFont"/>
    <w:link w:val="Quote"/>
    <w:uiPriority w:val="29"/>
    <w:rsid w:val="00801A71"/>
    <w:rPr>
      <w:i/>
      <w:iCs/>
      <w:color w:val="404040" w:themeColor="text1" w:themeTint="BF"/>
    </w:rPr>
  </w:style>
  <w:style w:type="paragraph" w:styleId="ListParagraph">
    <w:name w:val="List Paragraph"/>
    <w:basedOn w:val="Normal"/>
    <w:uiPriority w:val="34"/>
    <w:qFormat/>
    <w:rsid w:val="00801A71"/>
    <w:pPr>
      <w:ind w:left="720"/>
      <w:contextualSpacing/>
    </w:pPr>
  </w:style>
  <w:style w:type="character" w:styleId="IntenseEmphasis">
    <w:name w:val="Intense Emphasis"/>
    <w:basedOn w:val="DefaultParagraphFont"/>
    <w:uiPriority w:val="21"/>
    <w:qFormat/>
    <w:rsid w:val="00801A71"/>
    <w:rPr>
      <w:i/>
      <w:iCs/>
      <w:color w:val="0F4761" w:themeColor="accent1" w:themeShade="BF"/>
    </w:rPr>
  </w:style>
  <w:style w:type="paragraph" w:styleId="IntenseQuote">
    <w:name w:val="Intense Quote"/>
    <w:basedOn w:val="Normal"/>
    <w:next w:val="Normal"/>
    <w:link w:val="IntenseQuoteChar"/>
    <w:uiPriority w:val="30"/>
    <w:qFormat/>
    <w:rsid w:val="00801A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A71"/>
    <w:rPr>
      <w:i/>
      <w:iCs/>
      <w:color w:val="0F4761" w:themeColor="accent1" w:themeShade="BF"/>
    </w:rPr>
  </w:style>
  <w:style w:type="character" w:styleId="IntenseReference">
    <w:name w:val="Intense Reference"/>
    <w:basedOn w:val="DefaultParagraphFont"/>
    <w:uiPriority w:val="32"/>
    <w:qFormat/>
    <w:rsid w:val="00801A71"/>
    <w:rPr>
      <w:b/>
      <w:bCs/>
      <w:smallCaps/>
      <w:color w:val="0F4761" w:themeColor="accent1" w:themeShade="BF"/>
      <w:spacing w:val="5"/>
    </w:rPr>
  </w:style>
  <w:style w:type="paragraph" w:styleId="NormalWeb">
    <w:name w:val="Normal (Web)"/>
    <w:basedOn w:val="Normal"/>
    <w:uiPriority w:val="99"/>
    <w:semiHidden/>
    <w:unhideWhenUsed/>
    <w:rsid w:val="004D0EC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TotalTime>
  <Pages>2</Pages>
  <Words>563</Words>
  <Characters>3476</Characters>
  <Application>Microsoft Office Word</Application>
  <DocSecurity>0</DocSecurity>
  <Lines>56</Lines>
  <Paragraphs>18</Paragraphs>
  <ScaleCrop>false</ScaleCrop>
  <HeadingPairs>
    <vt:vector size="2" baseType="variant">
      <vt:variant>
        <vt:lpstr>Title</vt:lpstr>
      </vt:variant>
      <vt:variant>
        <vt:i4>1</vt:i4>
      </vt:variant>
    </vt:vector>
  </HeadingPairs>
  <TitlesOfParts>
    <vt:vector size="1" baseType="lpstr">
      <vt:lpstr/>
    </vt:vector>
  </TitlesOfParts>
  <Company>Vistra Corp</Company>
  <LinksUpToDate>false</LinksUpToDate>
  <CharactersWithSpaces>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Zeng, Angie</dc:creator>
  <cp:keywords/>
  <dc:description/>
  <cp:lastModifiedBy>Zeng, Angie</cp:lastModifiedBy>
  <cp:revision>14</cp:revision>
  <dcterms:created xsi:type="dcterms:W3CDTF">2026-05-18T02:35:00Z</dcterms:created>
  <dcterms:modified xsi:type="dcterms:W3CDTF">2026-05-18T21:37:00Z</dcterms:modified>
</cp:coreProperties>
</file>