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0972" w14:textId="77777777" w:rsidR="00C53A6D" w:rsidRPr="00A53984" w:rsidRDefault="00C53A6D" w:rsidP="00C53A6D">
      <w:pPr>
        <w:rPr>
          <w:b/>
          <w:bCs/>
        </w:rPr>
      </w:pPr>
      <w:r w:rsidRPr="00A53984">
        <w:rPr>
          <w:b/>
          <w:bCs/>
        </w:rPr>
        <w:t>2. INTRODUCTION</w:t>
      </w:r>
    </w:p>
    <w:p w14:paraId="41C42BB6" w14:textId="77777777" w:rsidR="00C53A6D" w:rsidRPr="00D71DBD" w:rsidRDefault="00C53A6D" w:rsidP="00C53A6D">
      <w:r w:rsidRPr="00D71DBD">
        <w:t>Renewable energy resources such as solar and wind are playing an increasingly important role in modern electric power systems. The rapid growth of renewable generation helps reduce greenhouse gas emissions and supports long-term energy sustainability. However, increasing renewable penetration also introduces operational challenges for grid reliability and balancing supply and demand (EIA, n.d.; ERCOT, 2025). Unlike conventional power plants, renewable generation depends strongly on meteorological conditions. Solar power output is influenced by solar irradiance, cloud cover, and sun angle, while wind power generation depends primarily on wind speed and wind direction. As these atmospheric conditions change, renewable generation can fluctuate significantly over short periods of time.</w:t>
      </w:r>
    </w:p>
    <w:p w14:paraId="1DCDC208" w14:textId="77777777" w:rsidR="00C53A6D" w:rsidRPr="00D71DBD" w:rsidRDefault="00C53A6D" w:rsidP="00C53A6D">
      <w:r w:rsidRPr="00D71DBD">
        <w:t>One important concept used to study these operational challenges is net load, which is defined as total electricity demand minus generation from renewable resources such as solar and wind. Net load represents the portion of electricity demand that must be supplied by dispatchable generation resources such as natural gas, hydroelectric power, or energy storage systems. As renewable penetration increases, net load profiles become more variable and can experience rapid changes over short time intervals.</w:t>
      </w:r>
    </w:p>
    <w:p w14:paraId="7999695F" w14:textId="77777777" w:rsidR="00C53A6D" w:rsidRPr="00D71DBD" w:rsidRDefault="00C53A6D" w:rsidP="00C53A6D">
      <w:r w:rsidRPr="00D71DBD">
        <w:t>In systems with high solar penetration, solar generation often reduces net load during midday hours when sunlight is strongest. However, near sunset, solar output can decrease rapidly while electricity demand remains elevated. This creates steep upward changes in net load, commonly referred to as the “duck curve,” a well-documented phenomenon in high solar penetration grids (CAISO, n.d.; Denholm et al., 2016). These rapid changes in net load create ramping requirements for dispatchable generation resources, increasing the need for system flexibility and operating reserves to maintain grid stability (Ela et al., 2011).</w:t>
      </w:r>
    </w:p>
    <w:p w14:paraId="0D6C51C2" w14:textId="77777777" w:rsidR="00C53A6D" w:rsidRPr="00D71DBD" w:rsidRDefault="00C53A6D" w:rsidP="00C53A6D">
      <w:r w:rsidRPr="00D71DBD">
        <w:t>Although previous studies have examined renewable integration and net load behavior, fewer studies have systematically quantified how increasing renewable penetration changes the frequency and magnitude of extreme net load ramp events using scenario-based analysis of historical operational data. In particular, the nonlinear relationship between renewable penetration and ramping risk under future high-renewable conditions remains insufficiently characterized.</w:t>
      </w:r>
    </w:p>
    <w:p w14:paraId="0F8936DA" w14:textId="77777777" w:rsidR="00C53A6D" w:rsidRDefault="00C53A6D" w:rsidP="00C53A6D">
      <w:r w:rsidRPr="00D71DBD">
        <w:t xml:space="preserve">This study investigates how increasing solar and wind penetration affects net load variability and ramping risk in the Electric Reliability Council of Texas system. Historical hourly load, solar, and wind generation data were used to construct multiple renewable penetration scenarios while preserving historical variability patterns. We hypothesized that increasing renewable penetration would increase both the magnitude and frequency of </w:t>
      </w:r>
      <w:r w:rsidRPr="00D71DBD">
        <w:lastRenderedPageBreak/>
        <w:t>extreme net load ramp events due to increased renewable variability, and that this relationship may exhibit nonlinear behavior under high penetration conditions.</w:t>
      </w:r>
    </w:p>
    <w:p w14:paraId="1E0A0597" w14:textId="77777777" w:rsidR="00C53A6D" w:rsidRPr="003C5D3E" w:rsidRDefault="00C53A6D" w:rsidP="00C53A6D">
      <w:r w:rsidRPr="003C5D3E">
        <w:t>This study contributes a quantitative, scenario-based framework for evaluating how increasing renewable penetration affects net load ramping risk. By combining historical operational data with controlled scaling of solar and wind generation, this work isolates the relationship between renewable growth and extreme ramp behavior. The results provide insight into how renewable-driven variability translates into system-level operational stress and identifies nonlinear increases in ramp risk under high penetration conditions.</w:t>
      </w:r>
    </w:p>
    <w:p w14:paraId="571C7F7C" w14:textId="77777777" w:rsidR="003D4EDD" w:rsidRDefault="003D4EDD"/>
    <w:p w14:paraId="644901FA" w14:textId="0C18425F" w:rsidR="00F614CF" w:rsidRDefault="00F614CF">
      <w:r>
        <w:t>Version #2:</w:t>
      </w:r>
    </w:p>
    <w:p w14:paraId="7012186D" w14:textId="77777777" w:rsidR="00F614CF" w:rsidRPr="00F614CF" w:rsidRDefault="00F614CF" w:rsidP="00F614CF">
      <w:r w:rsidRPr="00F614CF">
        <w:t>While the rapid expansion of solar and wind resources drives decarbonization and long-term energy sustainability, it simultaneously complicates grid reliability and supply-demand balancing (EIA, n.d.; ERCOT, 2025). Unlike conventional thermal plants, renewable generation is bound to meteorological variables. Solar output fluctuates with irradiance, cloud cover, and solar zenith angles, whereas wind generation responds directly to shifting wind speeds and directions. Consequently, these weather-dependent resources introduce significant short-term volatility into the power grid.</w:t>
      </w:r>
    </w:p>
    <w:p w14:paraId="01400AA8" w14:textId="77777777" w:rsidR="00F614CF" w:rsidRPr="00F614CF" w:rsidRDefault="00F614CF" w:rsidP="00F614CF">
      <w:r w:rsidRPr="00F614CF">
        <w:t>To analyze these operational strains, grid operators rely on the concept of net load—defined as total electricity demand minus non-dispatchable solar and wind generation. Net load reflects the actual burden placed on dispatchable resources, such as natural gas turbines, hydroelectric plants, and energy storage systems. As renewable capacity expands, net load profiles become increasingly volatile, characterized by sharp fluctuations over compressed intervals.</w:t>
      </w:r>
    </w:p>
    <w:p w14:paraId="10E588A8" w14:textId="77777777" w:rsidR="00F614CF" w:rsidRPr="00F614CF" w:rsidRDefault="00F614CF" w:rsidP="00F614CF">
      <w:r w:rsidRPr="00F614CF">
        <w:t>This dynamic is particularly pronounced in systems with high solar capacity. Midday solar peaks suppress the net load, creating a deep afternoon trough. However, as solar output drops precipitously near sunset while evening consumer demand peaks, the system experiences a steep upward net load trajectory. This phenomenon, widely known as the "duck curve," imposes severe ramping mandates on dispatchable generation fleets, escalating the demand for system flexibility and operational reserves to maintain grid frequency and stability (CAISO, n.d.; Denholm et al., 2016; Ela et al., 2011).</w:t>
      </w:r>
    </w:p>
    <w:p w14:paraId="50B83C4B" w14:textId="77777777" w:rsidR="00F614CF" w:rsidRPr="00F614CF" w:rsidRDefault="00F614CF" w:rsidP="00F614CF">
      <w:r w:rsidRPr="00F614CF">
        <w:t>Despite extensive literature on renewable integration, few studies systematically quantify how incremental penetration levels alter the frequency and magnitude of extreme net load ramp events through scenario-based historical analysis. Specifically, the potential nonlinear relationship between renewable scaling and tail-risk ramping events under high-penetration futures remains insufficiently characterized.</w:t>
      </w:r>
    </w:p>
    <w:p w14:paraId="46EDF57B" w14:textId="77777777" w:rsidR="00F614CF" w:rsidRPr="00F614CF" w:rsidRDefault="00F614CF" w:rsidP="00F614CF">
      <w:r w:rsidRPr="00F614CF">
        <w:lastRenderedPageBreak/>
        <w:t>This study addresses that gap by investigating the impacts of escalated solar and wind penetration on net load variability and ramping risk within the Electric Reliability Council of Texas (ERCOT) grid. Using historical hourly load and generation data, we modeled multiple penetration scenarios while preserving empirical weather and volatility patterns. We hypothesized that higher renewable penetration nonlinearly amplifies both the magnitude and frequency of extreme net load ramps. By combining historical baselines with controlled scaling, this framework isolates the relationship between renewable growth and operational stress, providing a clearer predictive outlook for grids transitioning to high-renewables mix.</w:t>
      </w:r>
    </w:p>
    <w:p w14:paraId="1A9FD08C" w14:textId="0AC2B90E" w:rsidR="00F614CF" w:rsidRDefault="00FB2A17">
      <w:r>
        <w:t xml:space="preserve">Version #3:  </w:t>
      </w:r>
    </w:p>
    <w:p w14:paraId="30500226" w14:textId="77777777" w:rsidR="00FB2A17" w:rsidRPr="00FB2A17" w:rsidRDefault="00FB2A17" w:rsidP="00FB2A17">
      <w:r w:rsidRPr="00FB2A17">
        <w:t>Solar and wind energy are playing a huge role in modern power grids because they help cut down greenhouse gas emissions and offer a sustainable alternative to fossil fuels. However, adding more renewables also makes it a lot harder for operators to keep the grid stable and balance electricity supply with demand (EIA, n.d.; ERCOT, 2025). Traditional power plants can turn on and off whenever they are needed, but solar and wind rely entirely on the weather. Solar power depends on sunlight, clouds, and the time of day, while wind power changes based on wind speed and direction. Because weather changes quickly, renewable power output can jump up or down in just a matter of minutes.</w:t>
      </w:r>
    </w:p>
    <w:p w14:paraId="086F26ED" w14:textId="77777777" w:rsidR="00FB2A17" w:rsidRPr="00FB2A17" w:rsidRDefault="00FB2A17" w:rsidP="00FB2A17">
      <w:r w:rsidRPr="00FB2A17">
        <w:t>To study these grid issues, researchers look at "net load." Net load is simply the total electricity demand minus the electricity generated by solar and wind. Essentially, it is the leftover demand that must be covered by traditional, dispatchable power sources like natural gas, hydro, or big battery storage systems. As more renewables are added to the grid, this net load profile becomes much more unpredictable and can swing wildly over short periods.</w:t>
      </w:r>
    </w:p>
    <w:p w14:paraId="2B3511A3" w14:textId="77777777" w:rsidR="00FB2A17" w:rsidRPr="00FB2A17" w:rsidRDefault="00FB2A17" w:rsidP="00FB2A17">
      <w:r w:rsidRPr="00FB2A17">
        <w:t>This issue shows up clearly in places with a lot of solar power. During the middle of the day, when the sun is brightest, solar generation takes care of a lot of the grid's needs, which drives the net load way down. But when the sun sets, solar power drops off fast right at the same time people are coming home and turning on appliances. This creates a massive, steep climb in net load known as the "duck curve" (CAISO, n.d.; Denholm et al., 2016). This rapid shift forces traditional power plants to ramp up their production incredibly fast, creating a huge need for grid flexibility and power reserves to avoid blackouts (Ela et al., 2011).</w:t>
      </w:r>
    </w:p>
    <w:p w14:paraId="2DF27541" w14:textId="77777777" w:rsidR="00FB2A17" w:rsidRPr="00FB2A17" w:rsidRDefault="00FB2A17" w:rsidP="00FB2A17">
      <w:r w:rsidRPr="00FB2A17">
        <w:t xml:space="preserve">While lots of researchers have looked at net load behavior before, not many have focused on measuring exactly how increasing renewables changes how often these extreme ramping events happen, or how big they get. On top of that, we still don't fully understand if </w:t>
      </w:r>
      <w:r w:rsidRPr="00FB2A17">
        <w:lastRenderedPageBreak/>
        <w:t>the relationship between higher renewable levels and ramping risk is linear, or if it gets much worse at a certain tipping point.</w:t>
      </w:r>
    </w:p>
    <w:p w14:paraId="49890CB0" w14:textId="77777777" w:rsidR="00FB2A17" w:rsidRPr="00FB2A17" w:rsidRDefault="00FB2A17" w:rsidP="00FB2A17">
      <w:r w:rsidRPr="00FB2A17">
        <w:t>This study looks at how higher solar and wind penetration affects net load swings and ramping risks in the ERCOT system in Texas. We used real, historical hourly data to build a few different "what-if" scenarios while keeping the real-world weather patterns intact. We hypothesized that adding more renewables would cause both the size and frequency of extreme net load ramps to go up, and that this risk might increase nonlinearly as penetration levels get really high. This project offers a simple, data-driven way to see how expanding green energy translates into real operational stress for the grid.</w:t>
      </w:r>
    </w:p>
    <w:p w14:paraId="6F0844A5" w14:textId="77777777" w:rsidR="00FB2A17" w:rsidRDefault="00FB2A17"/>
    <w:sectPr w:rsidR="00FB2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6D"/>
    <w:rsid w:val="001A50FC"/>
    <w:rsid w:val="002C4A9E"/>
    <w:rsid w:val="00362E6D"/>
    <w:rsid w:val="00373917"/>
    <w:rsid w:val="003D4EDD"/>
    <w:rsid w:val="00432FAB"/>
    <w:rsid w:val="00725707"/>
    <w:rsid w:val="00C53A6D"/>
    <w:rsid w:val="00F614CF"/>
    <w:rsid w:val="00FB2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785B"/>
  <w15:chartTrackingRefBased/>
  <w15:docId w15:val="{A5DF8994-F5F4-47E0-8C5D-DCEB8563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A6D"/>
  </w:style>
  <w:style w:type="paragraph" w:styleId="Heading1">
    <w:name w:val="heading 1"/>
    <w:basedOn w:val="Normal"/>
    <w:next w:val="Normal"/>
    <w:link w:val="Heading1Char"/>
    <w:uiPriority w:val="9"/>
    <w:qFormat/>
    <w:rsid w:val="00C53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A6D"/>
    <w:rPr>
      <w:rFonts w:eastAsiaTheme="majorEastAsia" w:cstheme="majorBidi"/>
      <w:color w:val="272727" w:themeColor="text1" w:themeTint="D8"/>
    </w:rPr>
  </w:style>
  <w:style w:type="paragraph" w:styleId="Title">
    <w:name w:val="Title"/>
    <w:basedOn w:val="Normal"/>
    <w:next w:val="Normal"/>
    <w:link w:val="TitleChar"/>
    <w:uiPriority w:val="10"/>
    <w:qFormat/>
    <w:rsid w:val="00C5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A6D"/>
    <w:pPr>
      <w:spacing w:before="160"/>
      <w:jc w:val="center"/>
    </w:pPr>
    <w:rPr>
      <w:i/>
      <w:iCs/>
      <w:color w:val="404040" w:themeColor="text1" w:themeTint="BF"/>
    </w:rPr>
  </w:style>
  <w:style w:type="character" w:customStyle="1" w:styleId="QuoteChar">
    <w:name w:val="Quote Char"/>
    <w:basedOn w:val="DefaultParagraphFont"/>
    <w:link w:val="Quote"/>
    <w:uiPriority w:val="29"/>
    <w:rsid w:val="00C53A6D"/>
    <w:rPr>
      <w:i/>
      <w:iCs/>
      <w:color w:val="404040" w:themeColor="text1" w:themeTint="BF"/>
    </w:rPr>
  </w:style>
  <w:style w:type="paragraph" w:styleId="ListParagraph">
    <w:name w:val="List Paragraph"/>
    <w:basedOn w:val="Normal"/>
    <w:uiPriority w:val="34"/>
    <w:qFormat/>
    <w:rsid w:val="00C53A6D"/>
    <w:pPr>
      <w:ind w:left="720"/>
      <w:contextualSpacing/>
    </w:pPr>
  </w:style>
  <w:style w:type="character" w:styleId="IntenseEmphasis">
    <w:name w:val="Intense Emphasis"/>
    <w:basedOn w:val="DefaultParagraphFont"/>
    <w:uiPriority w:val="21"/>
    <w:qFormat/>
    <w:rsid w:val="00C53A6D"/>
    <w:rPr>
      <w:i/>
      <w:iCs/>
      <w:color w:val="0F4761" w:themeColor="accent1" w:themeShade="BF"/>
    </w:rPr>
  </w:style>
  <w:style w:type="paragraph" w:styleId="IntenseQuote">
    <w:name w:val="Intense Quote"/>
    <w:basedOn w:val="Normal"/>
    <w:next w:val="Normal"/>
    <w:link w:val="IntenseQuoteChar"/>
    <w:uiPriority w:val="30"/>
    <w:qFormat/>
    <w:rsid w:val="00C53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A6D"/>
    <w:rPr>
      <w:i/>
      <w:iCs/>
      <w:color w:val="0F4761" w:themeColor="accent1" w:themeShade="BF"/>
    </w:rPr>
  </w:style>
  <w:style w:type="character" w:styleId="IntenseReference">
    <w:name w:val="Intense Reference"/>
    <w:basedOn w:val="DefaultParagraphFont"/>
    <w:uiPriority w:val="32"/>
    <w:qFormat/>
    <w:rsid w:val="00C53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1228</Words>
  <Characters>7888</Characters>
  <Application>Microsoft Office Word</Application>
  <DocSecurity>0</DocSecurity>
  <Lines>179</Lines>
  <Paragraphs>101</Paragraphs>
  <ScaleCrop>false</ScaleCrop>
  <Company>Vistra Corp</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Angie</dc:creator>
  <cp:keywords/>
  <dc:description/>
  <cp:lastModifiedBy>Zeng, Angie</cp:lastModifiedBy>
  <cp:revision>4</cp:revision>
  <dcterms:created xsi:type="dcterms:W3CDTF">2026-05-19T15:19:00Z</dcterms:created>
  <dcterms:modified xsi:type="dcterms:W3CDTF">2026-05-19T16:22:00Z</dcterms:modified>
</cp:coreProperties>
</file>