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4E79"/>
          <w:sz w:val="44"/>
        </w:rPr>
        <w:t>AI-Followable Studio Architecture</w:t>
      </w:r>
    </w:p>
    <w:p>
      <w:pPr>
        <w:spacing w:after="160"/>
        <w:jc w:val="left"/>
      </w:pPr>
      <w:r>
        <w:rPr>
          <w:color w:val="646464"/>
          <w:sz w:val="20"/>
        </w:rPr>
        <w:t>Self-orchestrating blueprint for Codex, Claude Code, or a comparable coding agent</w:t>
      </w:r>
    </w:p>
    <w:tbl>
      <w:tblPr>
        <w:tblW w:type="auto" w:w="0"/>
        <w:jc w:val="center"/>
        <w:tblLayout w:type="autofit"/>
        <w:tblLook w:firstColumn="1" w:firstRow="1" w:lastColumn="0" w:lastRow="0" w:noHBand="0" w:noVBand="1" w:val="04A0"/>
      </w:tblPr>
      <w:tblGrid>
        <w:gridCol w:w="9936"/>
      </w:tblGrid>
      <w:tr>
        <w:tc>
          <w:tcPr>
            <w:tcW w:type="dxa" w:w="9936"/>
            <w:vAlign w:val="center"/>
            <w:shd w:fill="EAF2F8"/>
            <w:tcMar>
              <w:top w:w="120" w:type="dxa"/>
              <w:start w:w="140" w:type="dxa"/>
              <w:bottom w:w="120" w:type="dxa"/>
              <w:end w:w="140" w:type="dxa"/>
            </w:tcMar>
          </w:tcPr>
          <w:p>
            <w:r>
              <w:rPr>
                <w:color w:val="2C3E50"/>
                <w:sz w:val="20"/>
              </w:rPr>
              <w:t>Design target: an AI-readable implementation document that can be executed incrementally by coding agents without inventing architecture on their own.</w:t>
            </w:r>
          </w:p>
        </w:tc>
      </w:tr>
    </w:tbl>
    <w:p/>
    <w:p>
      <w:pPr>
        <w:pStyle w:val="Heading1"/>
      </w:pPr>
      <w:r>
        <w:t>1. Executive summary</w:t>
      </w:r>
    </w:p>
    <w:p>
      <w:r>
        <w:t>This architecture defines a two-system studio platform. The Mac mini hosts the always-on Studio Brain for business operations, while the Mac Pro or main production workstation hosts the audio pipeline. The platform is organized into five modules with strict approval boundaries, explicit tool wrappers, and a repository structure designed for agentic build-out. The intended outcome is a practical system that automates assistant-heavy overhead, accelerates audio preparation and QC, and keeps humans in control of creative, public, and financial decisions.</w:t>
      </w:r>
    </w:p>
    <w:p>
      <w:pPr>
        <w:pStyle w:val="ListBullet"/>
      </w:pPr>
      <w:r>
        <w:t>Primary orchestration: OpenClaw.</w:t>
      </w:r>
    </w:p>
    <w:p>
      <w:pPr>
        <w:pStyle w:val="ListBullet"/>
      </w:pPr>
      <w:r>
        <w:t>Workflow/event engine: n8n.</w:t>
      </w:r>
    </w:p>
    <w:p>
      <w:pPr>
        <w:pStyle w:val="ListBullet"/>
      </w:pPr>
      <w:r>
        <w:t>Containment/runtime: Docker Compose.</w:t>
      </w:r>
    </w:p>
    <w:p>
      <w:pPr>
        <w:pStyle w:val="ListBullet"/>
      </w:pPr>
      <w:r>
        <w:t>Local LLM serving: Ollama.</w:t>
      </w:r>
    </w:p>
    <w:p>
      <w:pPr>
        <w:pStyle w:val="ListBullet"/>
      </w:pPr>
      <w:r>
        <w:t>Audio automation: SoundFlow, Pro Tools, and REAPER/ReaScript.</w:t>
      </w:r>
    </w:p>
    <w:p>
      <w:pPr>
        <w:pStyle w:val="ListBullet"/>
      </w:pPr>
      <w:r>
        <w:t>Agent execution target: Codex or Claude Code consuming this document plus the repo task files.</w:t>
      </w:r>
    </w:p>
    <w:p>
      <w:pPr>
        <w:pStyle w:val="Heading1"/>
      </w:pPr>
      <w:r>
        <w:t>2. Objectives and non-goals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4E79"/>
            <w:tcMar>
              <w:top w:w="110" w:type="dxa"/>
              <w:start w:w="110" w:type="dxa"/>
              <w:bottom w:w="110" w:type="dxa"/>
              <w:end w:w="110" w:type="dxa"/>
            </w:tcMar>
            <w:vAlign w:val="center"/>
          </w:tcPr>
          <w:p>
            <w:r>
              <w:rPr>
                <w:b/>
                <w:color w:val="FFFFFF"/>
                <w:sz w:val="20"/>
              </w:rPr>
              <w:t>Area</w:t>
            </w:r>
          </w:p>
        </w:tc>
        <w:tc>
          <w:tcPr>
            <w:tcW w:type="dxa" w:w="3312"/>
            <w:shd w:fill="1F4E79"/>
            <w:tcMar>
              <w:top w:w="110" w:type="dxa"/>
              <w:start w:w="110" w:type="dxa"/>
              <w:bottom w:w="110" w:type="dxa"/>
              <w:end w:w="110" w:type="dxa"/>
            </w:tcMar>
            <w:vAlign w:val="center"/>
          </w:tcPr>
          <w:p>
            <w:r>
              <w:rPr>
                <w:b/>
                <w:color w:val="FFFFFF"/>
                <w:sz w:val="20"/>
              </w:rPr>
              <w:t>In scope</w:t>
            </w:r>
          </w:p>
        </w:tc>
        <w:tc>
          <w:tcPr>
            <w:tcW w:type="dxa" w:w="3312"/>
            <w:shd w:fill="1F4E79"/>
            <w:tcMar>
              <w:top w:w="110" w:type="dxa"/>
              <w:start w:w="110" w:type="dxa"/>
              <w:bottom w:w="110" w:type="dxa"/>
              <w:end w:w="110" w:type="dxa"/>
            </w:tcMar>
            <w:vAlign w:val="center"/>
          </w:tcPr>
          <w:p>
            <w:r>
              <w:rPr>
                <w:b/>
                <w:color w:val="FFFFFF"/>
                <w:sz w:val="20"/>
              </w:rPr>
              <w:t>Out of scope</w:t>
            </w:r>
          </w:p>
        </w:tc>
      </w:tr>
      <w:tr>
        <w:tc>
          <w:tcPr>
            <w:tcW w:type="dxa" w:w="3312"/>
            <w:vAlign w:val="center"/>
            <w:tcMar>
              <w:top w:w="85" w:type="dxa"/>
              <w:start w:w="95" w:type="dxa"/>
              <w:bottom w:w="85" w:type="dxa"/>
              <w:end w:w="95" w:type="dxa"/>
            </w:tcMar>
            <w:shd w:fill="F8FBFE"/>
          </w:tcPr>
          <w:p>
            <w:r>
              <w:rPr>
                <w:color w:val="2C3E50"/>
                <w:sz w:val="19"/>
              </w:rPr>
              <w:t>Operations</w:t>
            </w:r>
          </w:p>
        </w:tc>
        <w:tc>
          <w:tcPr>
            <w:tcW w:type="dxa" w:w="3312"/>
            <w:vAlign w:val="center"/>
            <w:tcMar>
              <w:top w:w="85" w:type="dxa"/>
              <w:start w:w="95" w:type="dxa"/>
              <w:bottom w:w="85" w:type="dxa"/>
              <w:end w:w="95" w:type="dxa"/>
            </w:tcMar>
            <w:shd w:fill="F8FBFE"/>
          </w:tcPr>
          <w:p>
            <w:r>
              <w:rPr>
                <w:color w:val="2C3E50"/>
                <w:sz w:val="19"/>
              </w:rPr>
              <w:t>Lead intake, inbox triage, draft emails, reminders, social content, publishing queues, dashboarding, CRM sync, project follow-up.</w:t>
            </w:r>
          </w:p>
        </w:tc>
        <w:tc>
          <w:tcPr>
            <w:tcW w:type="dxa" w:w="3312"/>
            <w:vAlign w:val="center"/>
            <w:tcMar>
              <w:top w:w="85" w:type="dxa"/>
              <w:start w:w="95" w:type="dxa"/>
              <w:bottom w:w="85" w:type="dxa"/>
              <w:end w:w="95" w:type="dxa"/>
            </w:tcMar>
            <w:shd w:fill="F8FBFE"/>
          </w:tcPr>
          <w:p>
            <w:r>
              <w:rPr>
                <w:color w:val="2C3E50"/>
                <w:sz w:val="19"/>
              </w:rPr>
              <w:t>Unreviewed cold outreach at scale, autonomous client commitments, autonomous financial actions.</w:t>
            </w:r>
          </w:p>
        </w:tc>
      </w:tr>
      <w:tr>
        <w:tc>
          <w:tcPr>
            <w:tcW w:type="dxa" w:w="3312"/>
            <w:vAlign w:val="center"/>
            <w:tcMar>
              <w:top w:w="85" w:type="dxa"/>
              <w:start w:w="95" w:type="dxa"/>
              <w:bottom w:w="85" w:type="dxa"/>
              <w:end w:w="95" w:type="dxa"/>
            </w:tcMar>
            <w:shd w:fill="EDF3F9"/>
          </w:tcPr>
          <w:p>
            <w:r>
              <w:rPr>
                <w:color w:val="2C3E50"/>
                <w:sz w:val="19"/>
              </w:rPr>
              <w:t>Production</w:t>
            </w:r>
          </w:p>
        </w:tc>
        <w:tc>
          <w:tcPr>
            <w:tcW w:type="dxa" w:w="3312"/>
            <w:vAlign w:val="center"/>
            <w:tcMar>
              <w:top w:w="85" w:type="dxa"/>
              <w:start w:w="95" w:type="dxa"/>
              <w:bottom w:w="85" w:type="dxa"/>
              <w:end w:w="95" w:type="dxa"/>
            </w:tcMar>
            <w:shd w:fill="EDF3F9"/>
          </w:tcPr>
          <w:p>
            <w:r>
              <w:rPr>
                <w:color w:val="2C3E50"/>
                <w:sz w:val="19"/>
              </w:rPr>
              <w:t>Session prep, routing, template application, candidate mixes, mastering variants, QC, revision handling.</w:t>
            </w:r>
          </w:p>
        </w:tc>
        <w:tc>
          <w:tcPr>
            <w:tcW w:type="dxa" w:w="3312"/>
            <w:vAlign w:val="center"/>
            <w:tcMar>
              <w:top w:w="85" w:type="dxa"/>
              <w:start w:w="95" w:type="dxa"/>
              <w:bottom w:w="85" w:type="dxa"/>
              <w:end w:w="95" w:type="dxa"/>
            </w:tcMar>
            <w:shd w:fill="EDF3F9"/>
          </w:tcPr>
          <w:p>
            <w:r>
              <w:rPr>
                <w:color w:val="2C3E50"/>
                <w:sz w:val="19"/>
              </w:rPr>
              <w:t>A fully unsupervised final mix/master released without human approval.</w:t>
            </w:r>
          </w:p>
        </w:tc>
      </w:tr>
      <w:tr>
        <w:tc>
          <w:tcPr>
            <w:tcW w:type="dxa" w:w="3312"/>
            <w:vAlign w:val="center"/>
            <w:tcMar>
              <w:top w:w="85" w:type="dxa"/>
              <w:start w:w="95" w:type="dxa"/>
              <w:bottom w:w="85" w:type="dxa"/>
              <w:end w:w="95" w:type="dxa"/>
            </w:tcMar>
            <w:shd w:fill="F8FBFE"/>
          </w:tcPr>
          <w:p>
            <w:r>
              <w:rPr>
                <w:color w:val="2C3E50"/>
                <w:sz w:val="19"/>
              </w:rPr>
              <w:t>Security</w:t>
            </w:r>
          </w:p>
        </w:tc>
        <w:tc>
          <w:tcPr>
            <w:tcW w:type="dxa" w:w="3312"/>
            <w:vAlign w:val="center"/>
            <w:tcMar>
              <w:top w:w="85" w:type="dxa"/>
              <w:start w:w="95" w:type="dxa"/>
              <w:bottom w:w="85" w:type="dxa"/>
              <w:end w:w="95" w:type="dxa"/>
            </w:tcMar>
            <w:shd w:fill="F8FBFE"/>
          </w:tcPr>
          <w:p>
            <w:r>
              <w:rPr>
                <w:color w:val="2C3E50"/>
                <w:sz w:val="19"/>
              </w:rPr>
              <w:t>Scoped permissions, queue-based approvals, containerized services, audit logs.</w:t>
            </w:r>
          </w:p>
        </w:tc>
        <w:tc>
          <w:tcPr>
            <w:tcW w:type="dxa" w:w="3312"/>
            <w:vAlign w:val="center"/>
            <w:tcMar>
              <w:top w:w="85" w:type="dxa"/>
              <w:start w:w="95" w:type="dxa"/>
              <w:bottom w:w="85" w:type="dxa"/>
              <w:end w:w="95" w:type="dxa"/>
            </w:tcMar>
            <w:shd w:fill="F8FBFE"/>
          </w:tcPr>
          <w:p>
            <w:r>
              <w:rPr>
                <w:color w:val="2C3E50"/>
                <w:sz w:val="19"/>
              </w:rPr>
              <w:t>Granting the orchestrator blanket desktop, terminal, mailbox, or social platform access.</w:t>
            </w:r>
          </w:p>
        </w:tc>
      </w:tr>
    </w:tbl>
    <w:p/>
    <w:p>
      <w:pPr>
        <w:pStyle w:val="Heading1"/>
      </w:pPr>
      <w:r>
        <w:t>3. System topology</w:t>
      </w:r>
    </w:p>
    <w:tbl>
      <w:tblPr>
        <w:tblStyle w:val="TableGrid"/>
        <w:tblW w:type="auto" w:w="0"/>
        <w:jc w:val="center"/>
        <w:tblLook w:firstColumn="1" w:firstRow="1" w:lastColumn="0" w:lastRow="0" w:noHBand="0" w:noVBand="1" w:val="04A0"/>
      </w:tblPr>
      <w:tblGrid>
        <w:gridCol w:w="4968"/>
        <w:gridCol w:w="4968"/>
      </w:tblGrid>
      <w:tr>
        <w:tc>
          <w:tcPr>
            <w:tcW w:type="dxa" w:w="2448"/>
            <w:vAlign w:val="center"/>
            <w:tcMar>
              <w:top w:w="80" w:type="dxa"/>
              <w:start w:w="110" w:type="dxa"/>
              <w:bottom w:w="80" w:type="dxa"/>
              <w:end w:w="110" w:type="dxa"/>
            </w:tcMar>
            <w:shd w:fill="DCE6F1"/>
          </w:tcPr>
          <w:p>
            <w:r>
              <w:rPr>
                <w:b/>
                <w:color w:val="2C3E50"/>
              </w:rPr>
              <w:t>Mac mini - Studio Brain</w:t>
            </w:r>
          </w:p>
        </w:tc>
        <w:tc>
          <w:tcPr>
            <w:tcW w:type="dxa" w:w="7056"/>
            <w:vAlign w:val="center"/>
            <w:tcMar>
              <w:top w:w="80" w:type="dxa"/>
              <w:start w:w="110" w:type="dxa"/>
              <w:bottom w:w="80" w:type="dxa"/>
              <w:end w:w="110" w:type="dxa"/>
            </w:tcMar>
            <w:shd w:fill="F9FBFD"/>
          </w:tcPr>
          <w:p>
            <w:r>
              <w:t>Runs Docker services, OpenClaw, n8n, Ollama, vector/search helpers if needed, internal dashboard, approval queues, and business automation workflows. This machine should be always on.</w:t>
            </w:r>
          </w:p>
        </w:tc>
      </w:tr>
      <w:tr>
        <w:tc>
          <w:tcPr>
            <w:tcW w:type="dxa" w:w="2448"/>
            <w:vAlign w:val="center"/>
            <w:tcMar>
              <w:top w:w="80" w:type="dxa"/>
              <w:start w:w="110" w:type="dxa"/>
              <w:bottom w:w="80" w:type="dxa"/>
              <w:end w:w="110" w:type="dxa"/>
            </w:tcMar>
            <w:shd w:fill="DCE6F1"/>
          </w:tcPr>
          <w:p>
            <w:r>
              <w:rPr>
                <w:b/>
                <w:color w:val="2C3E50"/>
              </w:rPr>
              <w:t>Mac Pro / Production Workstation</w:t>
            </w:r>
          </w:p>
        </w:tc>
        <w:tc>
          <w:tcPr>
            <w:tcW w:type="dxa" w:w="7056"/>
            <w:vAlign w:val="center"/>
            <w:tcMar>
              <w:top w:w="80" w:type="dxa"/>
              <w:start w:w="110" w:type="dxa"/>
              <w:bottom w:w="80" w:type="dxa"/>
              <w:end w:w="110" w:type="dxa"/>
            </w:tcMar>
            <w:shd w:fill="F9FBFD"/>
          </w:tcPr>
          <w:p>
            <w:r>
              <w:t>Runs Pro Tools, REAPER, SoundFlow, plugin chains, analysis tools, rendering scripts, QC engine, and deliverables packaging. This machine performs the media-heavy workload.</w:t>
            </w:r>
          </w:p>
        </w:tc>
      </w:tr>
      <w:tr>
        <w:tc>
          <w:tcPr>
            <w:tcW w:type="dxa" w:w="2448"/>
            <w:vAlign w:val="center"/>
            <w:tcMar>
              <w:top w:w="80" w:type="dxa"/>
              <w:start w:w="110" w:type="dxa"/>
              <w:bottom w:w="80" w:type="dxa"/>
              <w:end w:w="110" w:type="dxa"/>
            </w:tcMar>
            <w:shd w:fill="DCE6F1"/>
          </w:tcPr>
          <w:p>
            <w:r>
              <w:rPr>
                <w:b/>
                <w:color w:val="2C3E50"/>
              </w:rPr>
              <w:t>Shared project storage</w:t>
            </w:r>
          </w:p>
        </w:tc>
        <w:tc>
          <w:tcPr>
            <w:tcW w:type="dxa" w:w="7056"/>
            <w:vAlign w:val="center"/>
            <w:tcMar>
              <w:top w:w="80" w:type="dxa"/>
              <w:start w:w="110" w:type="dxa"/>
              <w:bottom w:w="80" w:type="dxa"/>
              <w:end w:w="110" w:type="dxa"/>
            </w:tcMar>
            <w:shd w:fill="F9FBFD"/>
          </w:tcPr>
          <w:p>
            <w:r>
              <w:t>Holds watched folders, manifests, drafts, reports, exported deliverables, and handoff state. Can be local-first with optional backup/sync.</w:t>
            </w:r>
          </w:p>
        </w:tc>
      </w:tr>
      <w:tr>
        <w:tc>
          <w:tcPr>
            <w:tcW w:type="dxa" w:w="2448"/>
            <w:vAlign w:val="center"/>
            <w:tcMar>
              <w:top w:w="80" w:type="dxa"/>
              <w:start w:w="110" w:type="dxa"/>
              <w:bottom w:w="80" w:type="dxa"/>
              <w:end w:w="110" w:type="dxa"/>
            </w:tcMar>
            <w:shd w:fill="DCE6F1"/>
          </w:tcPr>
          <w:p>
            <w:r>
              <w:rPr>
                <w:b/>
                <w:color w:val="2C3E50"/>
              </w:rPr>
              <w:t>Human checkpoints</w:t>
            </w:r>
          </w:p>
        </w:tc>
        <w:tc>
          <w:tcPr>
            <w:tcW w:type="dxa" w:w="7056"/>
            <w:vAlign w:val="center"/>
            <w:tcMar>
              <w:top w:w="80" w:type="dxa"/>
              <w:start w:w="110" w:type="dxa"/>
              <w:bottom w:w="80" w:type="dxa"/>
              <w:end w:w="110" w:type="dxa"/>
            </w:tcMar>
            <w:shd w:fill="F9FBFD"/>
          </w:tcPr>
          <w:p>
            <w:r>
              <w:t>Review inbox drafts, review social drafts, approve booking language, approve candidate mix direction, approve final delivery and publishing.</w:t>
            </w:r>
          </w:p>
        </w:tc>
      </w:tr>
    </w:tbl>
    <w:p/>
    <w:p>
      <w:pPr>
        <w:pStyle w:val="Heading1"/>
      </w:pPr>
      <w:r>
        <w:t>4. Module definitions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1F4E79"/>
            <w:tcMar>
              <w:top w:w="110" w:type="dxa"/>
              <w:start w:w="110" w:type="dxa"/>
              <w:bottom w:w="110" w:type="dxa"/>
              <w:end w:w="110" w:type="dxa"/>
            </w:tcMar>
            <w:vAlign w:val="center"/>
          </w:tcPr>
          <w:p>
            <w:r>
              <w:rPr>
                <w:b/>
                <w:color w:val="FFFFFF"/>
                <w:sz w:val="20"/>
              </w:rPr>
              <w:t>Module</w:t>
            </w:r>
          </w:p>
        </w:tc>
        <w:tc>
          <w:tcPr>
            <w:tcW w:type="dxa" w:w="2484"/>
            <w:shd w:fill="1F4E79"/>
            <w:tcMar>
              <w:top w:w="110" w:type="dxa"/>
              <w:start w:w="110" w:type="dxa"/>
              <w:bottom w:w="110" w:type="dxa"/>
              <w:end w:w="110" w:type="dxa"/>
            </w:tcMar>
            <w:vAlign w:val="center"/>
          </w:tcPr>
          <w:p>
            <w:r>
              <w:rPr>
                <w:b/>
                <w:color w:val="FFFFFF"/>
                <w:sz w:val="20"/>
              </w:rPr>
              <w:t>Host</w:t>
            </w:r>
          </w:p>
        </w:tc>
        <w:tc>
          <w:tcPr>
            <w:tcW w:type="dxa" w:w="2484"/>
            <w:shd w:fill="1F4E79"/>
            <w:tcMar>
              <w:top w:w="110" w:type="dxa"/>
              <w:start w:w="110" w:type="dxa"/>
              <w:bottom w:w="110" w:type="dxa"/>
              <w:end w:w="110" w:type="dxa"/>
            </w:tcMar>
            <w:vAlign w:val="center"/>
          </w:tcPr>
          <w:p>
            <w:r>
              <w:rPr>
                <w:b/>
                <w:color w:val="FFFFFF"/>
                <w:sz w:val="20"/>
              </w:rPr>
              <w:t>Inputs</w:t>
            </w:r>
          </w:p>
        </w:tc>
        <w:tc>
          <w:tcPr>
            <w:tcW w:type="dxa" w:w="2484"/>
            <w:shd w:fill="1F4E79"/>
            <w:tcMar>
              <w:top w:w="110" w:type="dxa"/>
              <w:start w:w="110" w:type="dxa"/>
              <w:bottom w:w="110" w:type="dxa"/>
              <w:end w:w="110" w:type="dxa"/>
            </w:tcMar>
            <w:vAlign w:val="center"/>
          </w:tcPr>
          <w:p>
            <w:r>
              <w:rPr>
                <w:b/>
                <w:color w:val="FFFFFF"/>
                <w:sz w:val="20"/>
              </w:rPr>
              <w:t>Outputs</w:t>
            </w:r>
          </w:p>
        </w:tc>
      </w:tr>
      <w:tr>
        <w:tc>
          <w:tcPr>
            <w:tcW w:type="dxa" w:w="2484"/>
            <w:vAlign w:val="center"/>
            <w:tcMar>
              <w:top w:w="85" w:type="dxa"/>
              <w:start w:w="95" w:type="dxa"/>
              <w:bottom w:w="85" w:type="dxa"/>
              <w:end w:w="95" w:type="dxa"/>
            </w:tcMar>
            <w:shd w:fill="F8FBFE"/>
          </w:tcPr>
          <w:p>
            <w:r>
              <w:rPr>
                <w:color w:val="2C3E50"/>
                <w:sz w:val="19"/>
              </w:rPr>
              <w:t>1. Session Intake &amp; Prep</w:t>
            </w:r>
          </w:p>
        </w:tc>
        <w:tc>
          <w:tcPr>
            <w:tcW w:type="dxa" w:w="2484"/>
            <w:vAlign w:val="center"/>
            <w:tcMar>
              <w:top w:w="85" w:type="dxa"/>
              <w:start w:w="95" w:type="dxa"/>
              <w:bottom w:w="85" w:type="dxa"/>
              <w:end w:w="95" w:type="dxa"/>
            </w:tcMar>
            <w:shd w:fill="F8FBFE"/>
          </w:tcPr>
          <w:p>
            <w:r>
              <w:rPr>
                <w:color w:val="2C3E50"/>
                <w:sz w:val="19"/>
              </w:rPr>
              <w:t>Production workstation</w:t>
            </w:r>
          </w:p>
        </w:tc>
        <w:tc>
          <w:tcPr>
            <w:tcW w:type="dxa" w:w="2484"/>
            <w:vAlign w:val="center"/>
            <w:tcMar>
              <w:top w:w="85" w:type="dxa"/>
              <w:start w:w="95" w:type="dxa"/>
              <w:bottom w:w="85" w:type="dxa"/>
              <w:end w:w="95" w:type="dxa"/>
            </w:tcMar>
            <w:shd w:fill="F8FBFE"/>
          </w:tcPr>
          <w:p>
            <w:r>
              <w:rPr>
                <w:color w:val="2C3E50"/>
                <w:sz w:val="19"/>
              </w:rPr>
              <w:t>Stems, notes, references, project metadata</w:t>
            </w:r>
          </w:p>
        </w:tc>
        <w:tc>
          <w:tcPr>
            <w:tcW w:type="dxa" w:w="2484"/>
            <w:vAlign w:val="center"/>
            <w:tcMar>
              <w:top w:w="85" w:type="dxa"/>
              <w:start w:w="95" w:type="dxa"/>
              <w:bottom w:w="85" w:type="dxa"/>
              <w:end w:w="95" w:type="dxa"/>
            </w:tcMar>
            <w:shd w:fill="F8FBFE"/>
          </w:tcPr>
          <w:p>
            <w:r>
              <w:rPr>
                <w:color w:val="2C3E50"/>
                <w:sz w:val="19"/>
              </w:rPr>
              <w:t>Validated session, manifest, prep report</w:t>
            </w:r>
          </w:p>
        </w:tc>
      </w:tr>
      <w:tr>
        <w:tc>
          <w:tcPr>
            <w:tcW w:type="dxa" w:w="2484"/>
            <w:vAlign w:val="center"/>
            <w:tcMar>
              <w:top w:w="85" w:type="dxa"/>
              <w:start w:w="95" w:type="dxa"/>
              <w:bottom w:w="85" w:type="dxa"/>
              <w:end w:w="95" w:type="dxa"/>
            </w:tcMar>
            <w:shd w:fill="EDF3F9"/>
          </w:tcPr>
          <w:p>
            <w:r>
              <w:rPr>
                <w:color w:val="2C3E50"/>
                <w:sz w:val="19"/>
              </w:rPr>
              <w:t>2. AI Mix &amp; Master</w:t>
            </w:r>
          </w:p>
        </w:tc>
        <w:tc>
          <w:tcPr>
            <w:tcW w:type="dxa" w:w="2484"/>
            <w:vAlign w:val="center"/>
            <w:tcMar>
              <w:top w:w="85" w:type="dxa"/>
              <w:start w:w="95" w:type="dxa"/>
              <w:bottom w:w="85" w:type="dxa"/>
              <w:end w:w="95" w:type="dxa"/>
            </w:tcMar>
            <w:shd w:fill="EDF3F9"/>
          </w:tcPr>
          <w:p>
            <w:r>
              <w:rPr>
                <w:color w:val="2C3E50"/>
                <w:sz w:val="19"/>
              </w:rPr>
              <w:t>Production workstation</w:t>
            </w:r>
          </w:p>
        </w:tc>
        <w:tc>
          <w:tcPr>
            <w:tcW w:type="dxa" w:w="2484"/>
            <w:vAlign w:val="center"/>
            <w:tcMar>
              <w:top w:w="85" w:type="dxa"/>
              <w:start w:w="95" w:type="dxa"/>
              <w:bottom w:w="85" w:type="dxa"/>
              <w:end w:w="95" w:type="dxa"/>
            </w:tcMar>
            <w:shd w:fill="EDF3F9"/>
          </w:tcPr>
          <w:p>
            <w:r>
              <w:rPr>
                <w:color w:val="2C3E50"/>
                <w:sz w:val="19"/>
              </w:rPr>
              <w:t>Prepared session, references, mix plan</w:t>
            </w:r>
          </w:p>
        </w:tc>
        <w:tc>
          <w:tcPr>
            <w:tcW w:type="dxa" w:w="2484"/>
            <w:vAlign w:val="center"/>
            <w:tcMar>
              <w:top w:w="85" w:type="dxa"/>
              <w:start w:w="95" w:type="dxa"/>
              <w:bottom w:w="85" w:type="dxa"/>
              <w:end w:w="95" w:type="dxa"/>
            </w:tcMar>
            <w:shd w:fill="EDF3F9"/>
          </w:tcPr>
          <w:p>
            <w:r>
              <w:rPr>
                <w:color w:val="2C3E50"/>
                <w:sz w:val="19"/>
              </w:rPr>
              <w:t>Candidate mixes, mastering variants, issue flags</w:t>
            </w:r>
          </w:p>
        </w:tc>
      </w:tr>
      <w:tr>
        <w:tc>
          <w:tcPr>
            <w:tcW w:type="dxa" w:w="2484"/>
            <w:vAlign w:val="center"/>
            <w:tcMar>
              <w:top w:w="85" w:type="dxa"/>
              <w:start w:w="95" w:type="dxa"/>
              <w:bottom w:w="85" w:type="dxa"/>
              <w:end w:w="95" w:type="dxa"/>
            </w:tcMar>
            <w:shd w:fill="F8FBFE"/>
          </w:tcPr>
          <w:p>
            <w:r>
              <w:rPr>
                <w:color w:val="2C3E50"/>
                <w:sz w:val="19"/>
              </w:rPr>
              <w:t>3. QC &amp; Delivery</w:t>
            </w:r>
          </w:p>
        </w:tc>
        <w:tc>
          <w:tcPr>
            <w:tcW w:type="dxa" w:w="2484"/>
            <w:vAlign w:val="center"/>
            <w:tcMar>
              <w:top w:w="85" w:type="dxa"/>
              <w:start w:w="95" w:type="dxa"/>
              <w:bottom w:w="85" w:type="dxa"/>
              <w:end w:w="95" w:type="dxa"/>
            </w:tcMar>
            <w:shd w:fill="F8FBFE"/>
          </w:tcPr>
          <w:p>
            <w:r>
              <w:rPr>
                <w:color w:val="2C3E50"/>
                <w:sz w:val="19"/>
              </w:rPr>
              <w:t>Production workstation</w:t>
            </w:r>
          </w:p>
        </w:tc>
        <w:tc>
          <w:tcPr>
            <w:tcW w:type="dxa" w:w="2484"/>
            <w:vAlign w:val="center"/>
            <w:tcMar>
              <w:top w:w="85" w:type="dxa"/>
              <w:start w:w="95" w:type="dxa"/>
              <w:bottom w:w="85" w:type="dxa"/>
              <w:end w:w="95" w:type="dxa"/>
            </w:tcMar>
            <w:shd w:fill="F8FBFE"/>
          </w:tcPr>
          <w:p>
            <w:r>
              <w:rPr>
                <w:color w:val="2C3E50"/>
                <w:sz w:val="19"/>
              </w:rPr>
              <w:t>Mixes, stems, masters, delivery spec</w:t>
            </w:r>
          </w:p>
        </w:tc>
        <w:tc>
          <w:tcPr>
            <w:tcW w:type="dxa" w:w="2484"/>
            <w:vAlign w:val="center"/>
            <w:tcMar>
              <w:top w:w="85" w:type="dxa"/>
              <w:start w:w="95" w:type="dxa"/>
              <w:bottom w:w="85" w:type="dxa"/>
              <w:end w:w="95" w:type="dxa"/>
            </w:tcMar>
            <w:shd w:fill="F8FBFE"/>
          </w:tcPr>
          <w:p>
            <w:r>
              <w:rPr>
                <w:color w:val="2C3E50"/>
                <w:sz w:val="19"/>
              </w:rPr>
              <w:t>Pass/fail report, package bundle, release artifacts</w:t>
            </w:r>
          </w:p>
        </w:tc>
      </w:tr>
      <w:tr>
        <w:tc>
          <w:tcPr>
            <w:tcW w:type="dxa" w:w="2484"/>
            <w:vAlign w:val="center"/>
            <w:tcMar>
              <w:top w:w="85" w:type="dxa"/>
              <w:start w:w="95" w:type="dxa"/>
              <w:bottom w:w="85" w:type="dxa"/>
              <w:end w:w="95" w:type="dxa"/>
            </w:tcMar>
            <w:shd w:fill="EDF3F9"/>
          </w:tcPr>
          <w:p>
            <w:r>
              <w:rPr>
                <w:color w:val="2C3E50"/>
                <w:sz w:val="19"/>
              </w:rPr>
              <w:t>4. Studio Brain / Operations</w:t>
            </w:r>
          </w:p>
        </w:tc>
        <w:tc>
          <w:tcPr>
            <w:tcW w:type="dxa" w:w="2484"/>
            <w:vAlign w:val="center"/>
            <w:tcMar>
              <w:top w:w="85" w:type="dxa"/>
              <w:start w:w="95" w:type="dxa"/>
              <w:bottom w:w="85" w:type="dxa"/>
              <w:end w:w="95" w:type="dxa"/>
            </w:tcMar>
            <w:shd w:fill="EDF3F9"/>
          </w:tcPr>
          <w:p>
            <w:r>
              <w:rPr>
                <w:color w:val="2C3E50"/>
                <w:sz w:val="19"/>
              </w:rPr>
              <w:t>Mac mini</w:t>
            </w:r>
          </w:p>
        </w:tc>
        <w:tc>
          <w:tcPr>
            <w:tcW w:type="dxa" w:w="2484"/>
            <w:vAlign w:val="center"/>
            <w:tcMar>
              <w:top w:w="85" w:type="dxa"/>
              <w:start w:w="95" w:type="dxa"/>
              <w:bottom w:w="85" w:type="dxa"/>
              <w:end w:w="95" w:type="dxa"/>
            </w:tcMar>
            <w:shd w:fill="EDF3F9"/>
          </w:tcPr>
          <w:p>
            <w:r>
              <w:rPr>
                <w:color w:val="2C3E50"/>
                <w:sz w:val="19"/>
              </w:rPr>
              <w:t>Forms, email, CRM, content calendar, project status</w:t>
            </w:r>
          </w:p>
        </w:tc>
        <w:tc>
          <w:tcPr>
            <w:tcW w:type="dxa" w:w="2484"/>
            <w:vAlign w:val="center"/>
            <w:tcMar>
              <w:top w:w="85" w:type="dxa"/>
              <w:start w:w="95" w:type="dxa"/>
              <w:bottom w:w="85" w:type="dxa"/>
              <w:end w:w="95" w:type="dxa"/>
            </w:tcMar>
            <w:shd w:fill="EDF3F9"/>
          </w:tcPr>
          <w:p>
            <w:r>
              <w:rPr>
                <w:color w:val="2C3E50"/>
                <w:sz w:val="19"/>
              </w:rPr>
              <w:t>Draft replies, lead status, reminders, queued posts, dashboards</w:t>
            </w:r>
          </w:p>
        </w:tc>
      </w:tr>
      <w:tr>
        <w:tc>
          <w:tcPr>
            <w:tcW w:type="dxa" w:w="2484"/>
            <w:vAlign w:val="center"/>
            <w:tcMar>
              <w:top w:w="85" w:type="dxa"/>
              <w:start w:w="95" w:type="dxa"/>
              <w:bottom w:w="85" w:type="dxa"/>
              <w:end w:w="95" w:type="dxa"/>
            </w:tcMar>
            <w:shd w:fill="F8FBFE"/>
          </w:tcPr>
          <w:p>
            <w:r>
              <w:rPr>
                <w:color w:val="2C3E50"/>
                <w:sz w:val="19"/>
              </w:rPr>
              <w:t>5. Engineer Review &amp; Revision</w:t>
            </w:r>
          </w:p>
        </w:tc>
        <w:tc>
          <w:tcPr>
            <w:tcW w:type="dxa" w:w="2484"/>
            <w:vAlign w:val="center"/>
            <w:tcMar>
              <w:top w:w="85" w:type="dxa"/>
              <w:start w:w="95" w:type="dxa"/>
              <w:bottom w:w="85" w:type="dxa"/>
              <w:end w:w="95" w:type="dxa"/>
            </w:tcMar>
            <w:shd w:fill="F8FBFE"/>
          </w:tcPr>
          <w:p>
            <w:r>
              <w:rPr>
                <w:color w:val="2C3E50"/>
                <w:sz w:val="19"/>
              </w:rPr>
              <w:t>Production workstation + human</w:t>
            </w:r>
          </w:p>
        </w:tc>
        <w:tc>
          <w:tcPr>
            <w:tcW w:type="dxa" w:w="2484"/>
            <w:vAlign w:val="center"/>
            <w:tcMar>
              <w:top w:w="85" w:type="dxa"/>
              <w:start w:w="95" w:type="dxa"/>
              <w:bottom w:w="85" w:type="dxa"/>
              <w:end w:w="95" w:type="dxa"/>
            </w:tcMar>
            <w:shd w:fill="F8FBFE"/>
          </w:tcPr>
          <w:p>
            <w:r>
              <w:rPr>
                <w:color w:val="2C3E50"/>
                <w:sz w:val="19"/>
              </w:rPr>
              <w:t>Mix candidates, notes, QC status</w:t>
            </w:r>
          </w:p>
        </w:tc>
        <w:tc>
          <w:tcPr>
            <w:tcW w:type="dxa" w:w="2484"/>
            <w:vAlign w:val="center"/>
            <w:tcMar>
              <w:top w:w="85" w:type="dxa"/>
              <w:start w:w="95" w:type="dxa"/>
              <w:bottom w:w="85" w:type="dxa"/>
              <w:end w:w="95" w:type="dxa"/>
            </w:tcMar>
            <w:shd w:fill="F8FBFE"/>
          </w:tcPr>
          <w:p>
            <w:r>
              <w:rPr>
                <w:color w:val="2C3E50"/>
                <w:sz w:val="19"/>
              </w:rPr>
              <w:t>Approved changes, revision renders, client review exports</w:t>
            </w:r>
          </w:p>
        </w:tc>
      </w:tr>
    </w:tbl>
    <w:p/>
    <w:p>
      <w:pPr>
        <w:pStyle w:val="Heading1"/>
      </w:pPr>
      <w:r>
        <w:t>5. Control philosophy</w:t>
      </w:r>
    </w:p>
    <w:p>
      <w:pPr>
        <w:pStyle w:val="ListBullet"/>
      </w:pPr>
      <w:r>
        <w:t>OpenClaw decides which workflow or tool wrapper to invoke next, but it does not directly own broad OS control.</w:t>
      </w:r>
    </w:p>
    <w:p>
      <w:pPr>
        <w:pStyle w:val="ListBullet"/>
      </w:pPr>
      <w:r>
        <w:t>n8n handles event-driven automation, integrations, schedules, webhooks, and notification routing.</w:t>
      </w:r>
    </w:p>
    <w:p>
      <w:pPr>
        <w:pStyle w:val="ListBullet"/>
      </w:pPr>
      <w:r>
        <w:t>Docker Compose contains the services and makes the environment reproducible for coding agents.</w:t>
      </w:r>
    </w:p>
    <w:p>
      <w:pPr>
        <w:pStyle w:val="ListBullet"/>
      </w:pPr>
      <w:r>
        <w:t>Ollama hosts local models selected by role: a strong planner/drafter model and a smaller classifier/router model.</w:t>
      </w:r>
    </w:p>
    <w:p>
      <w:pPr>
        <w:pStyle w:val="ListBullet"/>
      </w:pPr>
      <w:r>
        <w:t>Every sensitive action is modeled as either read-only, draft-only, queue-only, or explicitly approved automation.</w:t>
      </w:r>
    </w:p>
    <w:p>
      <w:pPr>
        <w:pStyle w:val="Heading1"/>
      </w:pPr>
      <w:r>
        <w:t>6. Permission tiers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4E79"/>
            <w:tcMar>
              <w:top w:w="110" w:type="dxa"/>
              <w:start w:w="110" w:type="dxa"/>
              <w:bottom w:w="110" w:type="dxa"/>
              <w:end w:w="110" w:type="dxa"/>
            </w:tcMar>
            <w:vAlign w:val="center"/>
          </w:tcPr>
          <w:p>
            <w:r>
              <w:rPr>
                <w:b/>
                <w:color w:val="FFFFFF"/>
                <w:sz w:val="20"/>
              </w:rPr>
              <w:t>Tier</w:t>
            </w:r>
          </w:p>
        </w:tc>
        <w:tc>
          <w:tcPr>
            <w:tcW w:type="dxa" w:w="3312"/>
            <w:shd w:fill="1F4E79"/>
            <w:tcMar>
              <w:top w:w="110" w:type="dxa"/>
              <w:start w:w="110" w:type="dxa"/>
              <w:bottom w:w="110" w:type="dxa"/>
              <w:end w:w="110" w:type="dxa"/>
            </w:tcMar>
            <w:vAlign w:val="center"/>
          </w:tcPr>
          <w:p>
            <w:r>
              <w:rPr>
                <w:b/>
                <w:color w:val="FFFFFF"/>
                <w:sz w:val="20"/>
              </w:rPr>
              <w:t>Allowed actions</w:t>
            </w:r>
          </w:p>
        </w:tc>
        <w:tc>
          <w:tcPr>
            <w:tcW w:type="dxa" w:w="3312"/>
            <w:shd w:fill="1F4E79"/>
            <w:tcMar>
              <w:top w:w="110" w:type="dxa"/>
              <w:start w:w="110" w:type="dxa"/>
              <w:bottom w:w="110" w:type="dxa"/>
              <w:end w:w="110" w:type="dxa"/>
            </w:tcMar>
            <w:vAlign w:val="center"/>
          </w:tcPr>
          <w:p>
            <w:r>
              <w:rPr>
                <w:b/>
                <w:color w:val="FFFFFF"/>
                <w:sz w:val="20"/>
              </w:rPr>
              <w:t>Examples</w:t>
            </w:r>
          </w:p>
        </w:tc>
      </w:tr>
      <w:tr>
        <w:tc>
          <w:tcPr>
            <w:tcW w:type="dxa" w:w="3312"/>
            <w:vAlign w:val="center"/>
            <w:tcMar>
              <w:top w:w="85" w:type="dxa"/>
              <w:start w:w="95" w:type="dxa"/>
              <w:bottom w:w="85" w:type="dxa"/>
              <w:end w:w="95" w:type="dxa"/>
            </w:tcMar>
            <w:shd w:fill="F8FBFE"/>
          </w:tcPr>
          <w:p>
            <w:r>
              <w:rPr>
                <w:color w:val="2C3E50"/>
                <w:sz w:val="19"/>
              </w:rPr>
              <w:t>Tier 1 - Read</w:t>
            </w:r>
          </w:p>
        </w:tc>
        <w:tc>
          <w:tcPr>
            <w:tcW w:type="dxa" w:w="3312"/>
            <w:vAlign w:val="center"/>
            <w:tcMar>
              <w:top w:w="85" w:type="dxa"/>
              <w:start w:w="95" w:type="dxa"/>
              <w:bottom w:w="85" w:type="dxa"/>
              <w:end w:w="95" w:type="dxa"/>
            </w:tcMar>
            <w:shd w:fill="F8FBFE"/>
          </w:tcPr>
          <w:p>
            <w:r>
              <w:rPr>
                <w:color w:val="2C3E50"/>
                <w:sz w:val="19"/>
              </w:rPr>
              <w:t>Read approved inbox labels, project folders, CRM records, content calendar, manifests.</w:t>
            </w:r>
          </w:p>
        </w:tc>
        <w:tc>
          <w:tcPr>
            <w:tcW w:type="dxa" w:w="3312"/>
            <w:vAlign w:val="center"/>
            <w:tcMar>
              <w:top w:w="85" w:type="dxa"/>
              <w:start w:w="95" w:type="dxa"/>
              <w:bottom w:w="85" w:type="dxa"/>
              <w:end w:w="95" w:type="dxa"/>
            </w:tcMar>
            <w:shd w:fill="F8FBFE"/>
          </w:tcPr>
          <w:p>
            <w:r>
              <w:rPr>
                <w:color w:val="2C3E50"/>
                <w:sz w:val="19"/>
              </w:rPr>
              <w:t>Read client intake forms; inspect “Needs Reply” mailbox label.</w:t>
            </w:r>
          </w:p>
        </w:tc>
      </w:tr>
      <w:tr>
        <w:tc>
          <w:tcPr>
            <w:tcW w:type="dxa" w:w="3312"/>
            <w:vAlign w:val="center"/>
            <w:tcMar>
              <w:top w:w="85" w:type="dxa"/>
              <w:start w:w="95" w:type="dxa"/>
              <w:bottom w:w="85" w:type="dxa"/>
              <w:end w:w="95" w:type="dxa"/>
            </w:tcMar>
            <w:shd w:fill="EDF3F9"/>
          </w:tcPr>
          <w:p>
            <w:r>
              <w:rPr>
                <w:color w:val="2C3E50"/>
                <w:sz w:val="19"/>
              </w:rPr>
              <w:t>Tier 2 - Draft</w:t>
            </w:r>
          </w:p>
        </w:tc>
        <w:tc>
          <w:tcPr>
            <w:tcW w:type="dxa" w:w="3312"/>
            <w:vAlign w:val="center"/>
            <w:tcMar>
              <w:top w:w="85" w:type="dxa"/>
              <w:start w:w="95" w:type="dxa"/>
              <w:bottom w:w="85" w:type="dxa"/>
              <w:end w:w="95" w:type="dxa"/>
            </w:tcMar>
            <w:shd w:fill="EDF3F9"/>
          </w:tcPr>
          <w:p>
            <w:r>
              <w:rPr>
                <w:color w:val="2C3E50"/>
                <w:sz w:val="19"/>
              </w:rPr>
              <w:t>Write draft emails, draft social captions, draft reminders, draft project updates.</w:t>
            </w:r>
          </w:p>
        </w:tc>
        <w:tc>
          <w:tcPr>
            <w:tcW w:type="dxa" w:w="3312"/>
            <w:vAlign w:val="center"/>
            <w:tcMar>
              <w:top w:w="85" w:type="dxa"/>
              <w:start w:w="95" w:type="dxa"/>
              <w:bottom w:w="85" w:type="dxa"/>
              <w:end w:w="95" w:type="dxa"/>
            </w:tcMar>
            <w:shd w:fill="EDF3F9"/>
          </w:tcPr>
          <w:p>
            <w:r>
              <w:rPr>
                <w:color w:val="2C3E50"/>
                <w:sz w:val="19"/>
              </w:rPr>
              <w:t>Prepare a follow-up email without sending it.</w:t>
            </w:r>
          </w:p>
        </w:tc>
      </w:tr>
      <w:tr>
        <w:tc>
          <w:tcPr>
            <w:tcW w:type="dxa" w:w="3312"/>
            <w:vAlign w:val="center"/>
            <w:tcMar>
              <w:top w:w="85" w:type="dxa"/>
              <w:start w:w="95" w:type="dxa"/>
              <w:bottom w:w="85" w:type="dxa"/>
              <w:end w:w="95" w:type="dxa"/>
            </w:tcMar>
            <w:shd w:fill="F8FBFE"/>
          </w:tcPr>
          <w:p>
            <w:r>
              <w:rPr>
                <w:color w:val="2C3E50"/>
                <w:sz w:val="19"/>
              </w:rPr>
              <w:t>Tier 3 - Queue</w:t>
            </w:r>
          </w:p>
        </w:tc>
        <w:tc>
          <w:tcPr>
            <w:tcW w:type="dxa" w:w="3312"/>
            <w:vAlign w:val="center"/>
            <w:tcMar>
              <w:top w:w="85" w:type="dxa"/>
              <w:start w:w="95" w:type="dxa"/>
              <w:bottom w:w="85" w:type="dxa"/>
              <w:end w:w="95" w:type="dxa"/>
            </w:tcMar>
            <w:shd w:fill="F8FBFE"/>
          </w:tcPr>
          <w:p>
            <w:r>
              <w:rPr>
                <w:color w:val="2C3E50"/>
                <w:sz w:val="19"/>
              </w:rPr>
              <w:t>Place actions into an approval queue or scheduled queue.</w:t>
            </w:r>
          </w:p>
        </w:tc>
        <w:tc>
          <w:tcPr>
            <w:tcW w:type="dxa" w:w="3312"/>
            <w:vAlign w:val="center"/>
            <w:tcMar>
              <w:top w:w="85" w:type="dxa"/>
              <w:start w:w="95" w:type="dxa"/>
              <w:bottom w:w="85" w:type="dxa"/>
              <w:end w:w="95" w:type="dxa"/>
            </w:tcMar>
            <w:shd w:fill="F8FBFE"/>
          </w:tcPr>
          <w:p>
            <w:r>
              <w:rPr>
                <w:color w:val="2C3E50"/>
                <w:sz w:val="19"/>
              </w:rPr>
              <w:t>Queue an Instagram caption for Maggie review.</w:t>
            </w:r>
          </w:p>
        </w:tc>
      </w:tr>
      <w:tr>
        <w:tc>
          <w:tcPr>
            <w:tcW w:type="dxa" w:w="3312"/>
            <w:vAlign w:val="center"/>
            <w:tcMar>
              <w:top w:w="85" w:type="dxa"/>
              <w:start w:w="95" w:type="dxa"/>
              <w:bottom w:w="85" w:type="dxa"/>
              <w:end w:w="95" w:type="dxa"/>
            </w:tcMar>
            <w:shd w:fill="EDF3F9"/>
          </w:tcPr>
          <w:p>
            <w:r>
              <w:rPr>
                <w:color w:val="2C3E50"/>
                <w:sz w:val="19"/>
              </w:rPr>
              <w:t>Tier 4 - Narrow approved automation</w:t>
            </w:r>
          </w:p>
        </w:tc>
        <w:tc>
          <w:tcPr>
            <w:tcW w:type="dxa" w:w="3312"/>
            <w:vAlign w:val="center"/>
            <w:tcMar>
              <w:top w:w="85" w:type="dxa"/>
              <w:start w:w="95" w:type="dxa"/>
              <w:bottom w:w="85" w:type="dxa"/>
              <w:end w:w="95" w:type="dxa"/>
            </w:tcMar>
            <w:shd w:fill="EDF3F9"/>
          </w:tcPr>
          <w:p>
            <w:r>
              <w:rPr>
                <w:color w:val="2C3E50"/>
                <w:sz w:val="19"/>
              </w:rPr>
              <w:t>Execute a very specific preapproved action.</w:t>
            </w:r>
          </w:p>
        </w:tc>
        <w:tc>
          <w:tcPr>
            <w:tcW w:type="dxa" w:w="3312"/>
            <w:vAlign w:val="center"/>
            <w:tcMar>
              <w:top w:w="85" w:type="dxa"/>
              <w:start w:w="95" w:type="dxa"/>
              <w:bottom w:w="85" w:type="dxa"/>
              <w:end w:w="95" w:type="dxa"/>
            </w:tcMar>
            <w:shd w:fill="EDF3F9"/>
          </w:tcPr>
          <w:p>
            <w:r>
              <w:rPr>
                <w:color w:val="2C3E50"/>
                <w:sz w:val="19"/>
              </w:rPr>
              <w:t>Send a standard reminder from a locked template after human opt-in.</w:t>
            </w:r>
          </w:p>
        </w:tc>
      </w:tr>
    </w:tbl>
    <w:p/>
    <w:p>
      <w:pPr>
        <w:pStyle w:val="Heading1"/>
      </w:pPr>
      <w:r>
        <w:t>7. Reference repository layout</w:t>
      </w:r>
    </w:p>
    <w:tbl>
      <w:tblPr>
        <w:tblW w:type="auto" w:w="0"/>
        <w:jc w:val="center"/>
        <w:tblLayout w:type="autofit"/>
        <w:tblLook w:firstColumn="1" w:firstRow="1" w:lastColumn="0" w:lastRow="0" w:noHBand="0" w:noVBand="1" w:val="04A0"/>
      </w:tblPr>
      <w:tblGrid>
        <w:gridCol w:w="9936"/>
      </w:tblGrid>
      <w:tr>
        <w:tc>
          <w:tcPr>
            <w:tcW w:type="dxa" w:w="9936"/>
            <w:vAlign w:val="center"/>
            <w:shd w:fill="EAF2F8"/>
            <w:tcMar>
              <w:top w:w="120" w:type="dxa"/>
              <w:start w:w="140" w:type="dxa"/>
              <w:bottom w:w="120" w:type="dxa"/>
              <w:end w:w="140" w:type="dxa"/>
            </w:tcMar>
          </w:tcPr>
          <w:p>
            <w:r>
              <w:rPr>
                <w:color w:val="2C3E50"/>
                <w:sz w:val="20"/>
              </w:rPr>
              <w:t>This section is intentionally precise so a coding agent can create the project skeleton without guessing.</w:t>
            </w:r>
          </w:p>
        </w:tc>
      </w:tr>
    </w:tbl>
    <w:p/>
    <w:p>
      <w:pPr>
        <w:pStyle w:val="ListBullet"/>
      </w:pPr>
      <w:r>
        <w:t>Repo root: studio-ai-platform/</w:t>
      </w:r>
    </w:p>
    <w:p>
      <w:pPr>
        <w:pStyle w:val="ListBullet"/>
      </w:pPr>
      <w:r>
        <w:t>apps/studio-brain-ui/ - internal dashboard and approval queue UI.</w:t>
      </w:r>
    </w:p>
    <w:p>
      <w:pPr>
        <w:pStyle w:val="ListBullet"/>
      </w:pPr>
      <w:r>
        <w:t>services/openclaw-orchestrator/ - orchestration prompts, tool wrappers, policy checks.</w:t>
      </w:r>
    </w:p>
    <w:p>
      <w:pPr>
        <w:pStyle w:val="ListBullet"/>
      </w:pPr>
      <w:r>
        <w:t>services/n8n/ - exported workflows, credentials templates, webhook docs.</w:t>
      </w:r>
    </w:p>
    <w:p>
      <w:pPr>
        <w:pStyle w:val="ListBullet"/>
      </w:pPr>
      <w:r>
        <w:t>services/ollama/ - model manifests, pull scripts, runtime notes.</w:t>
      </w:r>
    </w:p>
    <w:p>
      <w:pPr>
        <w:pStyle w:val="ListBullet"/>
      </w:pPr>
      <w:r>
        <w:t>services/crm-api/ - lightweight internal lead/project service.</w:t>
      </w:r>
    </w:p>
    <w:p>
      <w:pPr>
        <w:pStyle w:val="ListBullet"/>
      </w:pPr>
      <w:r>
        <w:t>services/content-pipeline/ - caption generation, asset packaging, publishing queue logic.</w:t>
      </w:r>
    </w:p>
    <w:p>
      <w:pPr>
        <w:pStyle w:val="ListBullet"/>
      </w:pPr>
      <w:r>
        <w:t>services/audio-qc/ - loudness, peak, phase, render validation, report generation.</w:t>
      </w:r>
    </w:p>
    <w:p>
      <w:pPr>
        <w:pStyle w:val="ListBullet"/>
      </w:pPr>
      <w:r>
        <w:t>services/project-state/ - canonical job state, manifests, revision history.</w:t>
      </w:r>
    </w:p>
    <w:p>
      <w:pPr>
        <w:pStyle w:val="ListBullet"/>
      </w:pPr>
      <w:r>
        <w:t>workers/inbox-triage/</w:t>
      </w:r>
    </w:p>
    <w:p>
      <w:pPr>
        <w:pStyle w:val="ListBullet"/>
      </w:pPr>
      <w:r>
        <w:t>workers/lead-intake/</w:t>
      </w:r>
    </w:p>
    <w:p>
      <w:pPr>
        <w:pStyle w:val="ListBullet"/>
      </w:pPr>
      <w:r>
        <w:t>workers/social-drafting/</w:t>
      </w:r>
    </w:p>
    <w:p>
      <w:pPr>
        <w:pStyle w:val="ListBullet"/>
      </w:pPr>
      <w:r>
        <w:t>workers/session-prep/</w:t>
      </w:r>
    </w:p>
    <w:p>
      <w:pPr>
        <w:pStyle w:val="ListBullet"/>
      </w:pPr>
      <w:r>
        <w:t>workers/mix-planner/</w:t>
      </w:r>
    </w:p>
    <w:p>
      <w:pPr>
        <w:pStyle w:val="ListBullet"/>
      </w:pPr>
      <w:r>
        <w:t>workers/revision-parser/</w:t>
      </w:r>
    </w:p>
    <w:p>
      <w:pPr>
        <w:pStyle w:val="ListBullet"/>
      </w:pPr>
      <w:r>
        <w:t>workers/delivery-packager/</w:t>
      </w:r>
    </w:p>
    <w:p>
      <w:pPr>
        <w:pStyle w:val="ListBullet"/>
      </w:pPr>
      <w:r>
        <w:t>infra/docker-compose.yml - full local stack.</w:t>
      </w:r>
    </w:p>
    <w:p>
      <w:pPr>
        <w:pStyle w:val="ListBullet"/>
      </w:pPr>
      <w:r>
        <w:t>infra/env.example - required environment variables.</w:t>
      </w:r>
    </w:p>
    <w:p>
      <w:pPr>
        <w:pStyle w:val="ListBullet"/>
      </w:pPr>
      <w:r>
        <w:t>docs/architecture/ - this document, ADRs, diagrams, prompt contracts.</w:t>
      </w:r>
    </w:p>
    <w:p>
      <w:pPr>
        <w:pStyle w:val="ListBullet"/>
      </w:pPr>
      <w:r>
        <w:t>docs/runbooks/ - operator procedures and safety checklists.</w:t>
      </w:r>
    </w:p>
    <w:p>
      <w:pPr>
        <w:pStyle w:val="ListBullet"/>
      </w:pPr>
      <w:r>
        <w:t>tasks/ - AI-followable task files for Codex or Claude Code.</w:t>
      </w:r>
    </w:p>
    <w:p>
      <w:pPr>
        <w:pStyle w:val="ListBullet"/>
      </w:pPr>
      <w:r>
        <w:t>tests/ - unit, workflow, integration, and approval boundary tests.</w:t>
      </w:r>
    </w:p>
    <w:p>
      <w:pPr>
        <w:pStyle w:val="Heading1"/>
      </w:pPr>
      <w:r>
        <w:t>8. Task-file pattern for coding agents</w:t>
      </w:r>
    </w:p>
    <w:p>
      <w:r>
        <w:t>Every substantial implementation task should live in a dedicated markdown task file so the coding agent can work against explicit acceptance criteria. Each task file should include:</w:t>
      </w:r>
    </w:p>
    <w:p>
      <w:pPr>
        <w:pStyle w:val="ListNumber"/>
      </w:pPr>
      <w:r>
        <w:t>Purpose and scope.</w:t>
      </w:r>
    </w:p>
    <w:p>
      <w:pPr>
        <w:pStyle w:val="ListNumber"/>
      </w:pPr>
      <w:r>
        <w:t>Dependencies and required services.</w:t>
      </w:r>
    </w:p>
    <w:p>
      <w:pPr>
        <w:pStyle w:val="ListNumber"/>
      </w:pPr>
      <w:r>
        <w:t>Files expected to be created or modified.</w:t>
      </w:r>
    </w:p>
    <w:p>
      <w:pPr>
        <w:pStyle w:val="ListNumber"/>
      </w:pPr>
      <w:r>
        <w:t>Input and output contract.</w:t>
      </w:r>
    </w:p>
    <w:p>
      <w:pPr>
        <w:pStyle w:val="ListNumber"/>
      </w:pPr>
      <w:r>
        <w:t>Security constraints and forbidden shortcuts.</w:t>
      </w:r>
    </w:p>
    <w:p>
      <w:pPr>
        <w:pStyle w:val="ListNumber"/>
      </w:pPr>
      <w:r>
        <w:t>Acceptance tests.</w:t>
      </w:r>
    </w:p>
    <w:p>
      <w:pPr>
        <w:pStyle w:val="ListNumber"/>
      </w:pPr>
      <w:r>
        <w:t>Manual verification checklist.</w:t>
      </w:r>
    </w:p>
    <w:p>
      <w:pPr>
        <w:pStyle w:val="ListNumber"/>
      </w:pPr>
      <w:r>
        <w:t>Definition of done.</w:t>
      </w:r>
    </w:p>
    <w:tbl>
      <w:tblPr>
        <w:tblStyle w:val="TableGrid"/>
        <w:tblW w:type="auto" w:w="0"/>
        <w:jc w:val="center"/>
        <w:tblLook w:firstColumn="1" w:firstRow="1" w:lastColumn="0" w:lastRow="0" w:noHBand="0" w:noVBand="1" w:val="04A0"/>
      </w:tblPr>
      <w:tblGrid>
        <w:gridCol w:w="4968"/>
        <w:gridCol w:w="4968"/>
      </w:tblGrid>
      <w:tr>
        <w:tc>
          <w:tcPr>
            <w:tcW w:type="dxa" w:w="4968"/>
            <w:shd w:fill="1F4E79"/>
            <w:tcMar>
              <w:top w:w="110" w:type="dxa"/>
              <w:start w:w="110" w:type="dxa"/>
              <w:bottom w:w="110" w:type="dxa"/>
              <w:end w:w="110" w:type="dxa"/>
            </w:tcMar>
            <w:vAlign w:val="center"/>
          </w:tcPr>
          <w:p>
            <w:r>
              <w:rPr>
                <w:b/>
                <w:color w:val="FFFFFF"/>
                <w:sz w:val="20"/>
              </w:rPr>
              <w:t>Task file</w:t>
            </w:r>
          </w:p>
        </w:tc>
        <w:tc>
          <w:tcPr>
            <w:tcW w:type="dxa" w:w="4968"/>
            <w:shd w:fill="1F4E79"/>
            <w:tcMar>
              <w:top w:w="110" w:type="dxa"/>
              <w:start w:w="110" w:type="dxa"/>
              <w:bottom w:w="110" w:type="dxa"/>
              <w:end w:w="110" w:type="dxa"/>
            </w:tcMar>
            <w:vAlign w:val="center"/>
          </w:tcPr>
          <w:p>
            <w:r>
              <w:rPr>
                <w:b/>
                <w:color w:val="FFFFFF"/>
                <w:sz w:val="20"/>
              </w:rPr>
              <w:t>Agent objective</w:t>
            </w:r>
          </w:p>
        </w:tc>
      </w:tr>
      <w:tr>
        <w:tc>
          <w:tcPr>
            <w:tcW w:type="dxa" w:w="4968"/>
            <w:vAlign w:val="center"/>
            <w:tcMar>
              <w:top w:w="85" w:type="dxa"/>
              <w:start w:w="95" w:type="dxa"/>
              <w:bottom w:w="85" w:type="dxa"/>
              <w:end w:w="95" w:type="dxa"/>
            </w:tcMar>
            <w:shd w:fill="F8FBFE"/>
          </w:tcPr>
          <w:p>
            <w:r>
              <w:rPr>
                <w:color w:val="2C3E50"/>
                <w:sz w:val="19"/>
              </w:rPr>
              <w:t>tasks/001-bootstrap-stack.md</w:t>
            </w:r>
          </w:p>
        </w:tc>
        <w:tc>
          <w:tcPr>
            <w:tcW w:type="dxa" w:w="4968"/>
            <w:vAlign w:val="center"/>
            <w:tcMar>
              <w:top w:w="85" w:type="dxa"/>
              <w:start w:w="95" w:type="dxa"/>
              <w:bottom w:w="85" w:type="dxa"/>
              <w:end w:w="95" w:type="dxa"/>
            </w:tcMar>
            <w:shd w:fill="F8FBFE"/>
          </w:tcPr>
          <w:p>
            <w:r>
              <w:rPr>
                <w:color w:val="2C3E50"/>
                <w:sz w:val="19"/>
              </w:rPr>
              <w:t>Create Docker Compose stack, env templates, health checks, and service readmes.</w:t>
            </w:r>
          </w:p>
        </w:tc>
      </w:tr>
      <w:tr>
        <w:tc>
          <w:tcPr>
            <w:tcW w:type="dxa" w:w="4968"/>
            <w:vAlign w:val="center"/>
            <w:tcMar>
              <w:top w:w="85" w:type="dxa"/>
              <w:start w:w="95" w:type="dxa"/>
              <w:bottom w:w="85" w:type="dxa"/>
              <w:end w:w="95" w:type="dxa"/>
            </w:tcMar>
            <w:shd w:fill="EDF3F9"/>
          </w:tcPr>
          <w:p>
            <w:r>
              <w:rPr>
                <w:color w:val="2C3E50"/>
                <w:sz w:val="19"/>
              </w:rPr>
              <w:t>tasks/010-lead-intake.md</w:t>
            </w:r>
          </w:p>
        </w:tc>
        <w:tc>
          <w:tcPr>
            <w:tcW w:type="dxa" w:w="4968"/>
            <w:vAlign w:val="center"/>
            <w:tcMar>
              <w:top w:w="85" w:type="dxa"/>
              <w:start w:w="95" w:type="dxa"/>
              <w:bottom w:w="85" w:type="dxa"/>
              <w:end w:w="95" w:type="dxa"/>
            </w:tcMar>
            <w:shd w:fill="EDF3F9"/>
          </w:tcPr>
          <w:p>
            <w:r>
              <w:rPr>
                <w:color w:val="2C3E50"/>
                <w:sz w:val="19"/>
              </w:rPr>
              <w:t>Implement inbound lead parser, classification, and CRM write path.</w:t>
            </w:r>
          </w:p>
        </w:tc>
      </w:tr>
      <w:tr>
        <w:tc>
          <w:tcPr>
            <w:tcW w:type="dxa" w:w="4968"/>
            <w:vAlign w:val="center"/>
            <w:tcMar>
              <w:top w:w="85" w:type="dxa"/>
              <w:start w:w="95" w:type="dxa"/>
              <w:bottom w:w="85" w:type="dxa"/>
              <w:end w:w="95" w:type="dxa"/>
            </w:tcMar>
            <w:shd w:fill="F8FBFE"/>
          </w:tcPr>
          <w:p>
            <w:r>
              <w:rPr>
                <w:color w:val="2C3E50"/>
                <w:sz w:val="19"/>
              </w:rPr>
              <w:t>tasks/020-inbox-draft-queue.md</w:t>
            </w:r>
          </w:p>
        </w:tc>
        <w:tc>
          <w:tcPr>
            <w:tcW w:type="dxa" w:w="4968"/>
            <w:vAlign w:val="center"/>
            <w:tcMar>
              <w:top w:w="85" w:type="dxa"/>
              <w:start w:w="95" w:type="dxa"/>
              <w:bottom w:w="85" w:type="dxa"/>
              <w:end w:w="95" w:type="dxa"/>
            </w:tcMar>
            <w:shd w:fill="F8FBFE"/>
          </w:tcPr>
          <w:p>
            <w:r>
              <w:rPr>
                <w:color w:val="2C3E50"/>
                <w:sz w:val="19"/>
              </w:rPr>
              <w:t>Implement safe email triage and draft queue without send privileges.</w:t>
            </w:r>
          </w:p>
        </w:tc>
      </w:tr>
      <w:tr>
        <w:tc>
          <w:tcPr>
            <w:tcW w:type="dxa" w:w="4968"/>
            <w:vAlign w:val="center"/>
            <w:tcMar>
              <w:top w:w="85" w:type="dxa"/>
              <w:start w:w="95" w:type="dxa"/>
              <w:bottom w:w="85" w:type="dxa"/>
              <w:end w:w="95" w:type="dxa"/>
            </w:tcMar>
            <w:shd w:fill="EDF3F9"/>
          </w:tcPr>
          <w:p>
            <w:r>
              <w:rPr>
                <w:color w:val="2C3E50"/>
                <w:sz w:val="19"/>
              </w:rPr>
              <w:t>tasks/030-social-draft-pipeline.md</w:t>
            </w:r>
          </w:p>
        </w:tc>
        <w:tc>
          <w:tcPr>
            <w:tcW w:type="dxa" w:w="4968"/>
            <w:vAlign w:val="center"/>
            <w:tcMar>
              <w:top w:w="85" w:type="dxa"/>
              <w:start w:w="95" w:type="dxa"/>
              <w:bottom w:w="85" w:type="dxa"/>
              <w:end w:w="95" w:type="dxa"/>
            </w:tcMar>
            <w:shd w:fill="EDF3F9"/>
          </w:tcPr>
          <w:p>
            <w:r>
              <w:rPr>
                <w:color w:val="2C3E50"/>
                <w:sz w:val="19"/>
              </w:rPr>
              <w:t>Implement content idea extraction, caption drafting, asset queueing, and review workflow.</w:t>
            </w:r>
          </w:p>
        </w:tc>
      </w:tr>
      <w:tr>
        <w:tc>
          <w:tcPr>
            <w:tcW w:type="dxa" w:w="4968"/>
            <w:vAlign w:val="center"/>
            <w:tcMar>
              <w:top w:w="85" w:type="dxa"/>
              <w:start w:w="95" w:type="dxa"/>
              <w:bottom w:w="85" w:type="dxa"/>
              <w:end w:w="95" w:type="dxa"/>
            </w:tcMar>
            <w:shd w:fill="F8FBFE"/>
          </w:tcPr>
          <w:p>
            <w:r>
              <w:rPr>
                <w:color w:val="2C3E50"/>
                <w:sz w:val="19"/>
              </w:rPr>
              <w:t>tasks/040-project-state-service.md</w:t>
            </w:r>
          </w:p>
        </w:tc>
        <w:tc>
          <w:tcPr>
            <w:tcW w:type="dxa" w:w="4968"/>
            <w:vAlign w:val="center"/>
            <w:tcMar>
              <w:top w:w="85" w:type="dxa"/>
              <w:start w:w="95" w:type="dxa"/>
              <w:bottom w:w="85" w:type="dxa"/>
              <w:end w:w="95" w:type="dxa"/>
            </w:tcMar>
            <w:shd w:fill="F8FBFE"/>
          </w:tcPr>
          <w:p>
            <w:r>
              <w:rPr>
                <w:color w:val="2C3E50"/>
                <w:sz w:val="19"/>
              </w:rPr>
              <w:t>Implement canonical project/job state service and status transitions.</w:t>
            </w:r>
          </w:p>
        </w:tc>
      </w:tr>
      <w:tr>
        <w:tc>
          <w:tcPr>
            <w:tcW w:type="dxa" w:w="4968"/>
            <w:vAlign w:val="center"/>
            <w:tcMar>
              <w:top w:w="85" w:type="dxa"/>
              <w:start w:w="95" w:type="dxa"/>
              <w:bottom w:w="85" w:type="dxa"/>
              <w:end w:w="95" w:type="dxa"/>
            </w:tcMar>
            <w:shd w:fill="EDF3F9"/>
          </w:tcPr>
          <w:p>
            <w:r>
              <w:rPr>
                <w:color w:val="2C3E50"/>
                <w:sz w:val="19"/>
              </w:rPr>
              <w:t>tasks/050-session-prep.md</w:t>
            </w:r>
          </w:p>
        </w:tc>
        <w:tc>
          <w:tcPr>
            <w:tcW w:type="dxa" w:w="4968"/>
            <w:vAlign w:val="center"/>
            <w:tcMar>
              <w:top w:w="85" w:type="dxa"/>
              <w:start w:w="95" w:type="dxa"/>
              <w:bottom w:w="85" w:type="dxa"/>
              <w:end w:w="95" w:type="dxa"/>
            </w:tcMar>
            <w:shd w:fill="EDF3F9"/>
          </w:tcPr>
          <w:p>
            <w:r>
              <w:rPr>
                <w:color w:val="2C3E50"/>
                <w:sz w:val="19"/>
              </w:rPr>
              <w:t>Implement manifest creation, file validation, routing template selection, and prep report.</w:t>
            </w:r>
          </w:p>
        </w:tc>
      </w:tr>
      <w:tr>
        <w:tc>
          <w:tcPr>
            <w:tcW w:type="dxa" w:w="4968"/>
            <w:vAlign w:val="center"/>
            <w:tcMar>
              <w:top w:w="85" w:type="dxa"/>
              <w:start w:w="95" w:type="dxa"/>
              <w:bottom w:w="85" w:type="dxa"/>
              <w:end w:w="95" w:type="dxa"/>
            </w:tcMar>
            <w:shd w:fill="F8FBFE"/>
          </w:tcPr>
          <w:p>
            <w:r>
              <w:rPr>
                <w:color w:val="2C3E50"/>
                <w:sz w:val="19"/>
              </w:rPr>
              <w:t>tasks/060-audio-qc.md</w:t>
            </w:r>
          </w:p>
        </w:tc>
        <w:tc>
          <w:tcPr>
            <w:tcW w:type="dxa" w:w="4968"/>
            <w:vAlign w:val="center"/>
            <w:tcMar>
              <w:top w:w="85" w:type="dxa"/>
              <w:start w:w="95" w:type="dxa"/>
              <w:bottom w:w="85" w:type="dxa"/>
              <w:end w:w="95" w:type="dxa"/>
            </w:tcMar>
            <w:shd w:fill="F8FBFE"/>
          </w:tcPr>
          <w:p>
            <w:r>
              <w:rPr>
                <w:color w:val="2C3E50"/>
                <w:sz w:val="19"/>
              </w:rPr>
              <w:t>Implement loudness/peak/phase checks and export report generation.</w:t>
            </w:r>
          </w:p>
        </w:tc>
      </w:tr>
      <w:tr>
        <w:tc>
          <w:tcPr>
            <w:tcW w:type="dxa" w:w="4968"/>
            <w:vAlign w:val="center"/>
            <w:tcMar>
              <w:top w:w="85" w:type="dxa"/>
              <w:start w:w="95" w:type="dxa"/>
              <w:bottom w:w="85" w:type="dxa"/>
              <w:end w:w="95" w:type="dxa"/>
            </w:tcMar>
            <w:shd w:fill="EDF3F9"/>
          </w:tcPr>
          <w:p>
            <w:r>
              <w:rPr>
                <w:color w:val="2C3E50"/>
                <w:sz w:val="19"/>
              </w:rPr>
              <w:t>tasks/070-revision-parser.md</w:t>
            </w:r>
          </w:p>
        </w:tc>
        <w:tc>
          <w:tcPr>
            <w:tcW w:type="dxa" w:w="4968"/>
            <w:vAlign w:val="center"/>
            <w:tcMar>
              <w:top w:w="85" w:type="dxa"/>
              <w:start w:w="95" w:type="dxa"/>
              <w:bottom w:w="85" w:type="dxa"/>
              <w:end w:w="95" w:type="dxa"/>
            </w:tcMar>
            <w:shd w:fill="EDF3F9"/>
          </w:tcPr>
          <w:p>
            <w:r>
              <w:rPr>
                <w:color w:val="2C3E50"/>
                <w:sz w:val="19"/>
              </w:rPr>
              <w:t>Translate human revision notes into controlled change instructions.</w:t>
            </w:r>
          </w:p>
        </w:tc>
      </w:tr>
      <w:tr>
        <w:tc>
          <w:tcPr>
            <w:tcW w:type="dxa" w:w="4968"/>
            <w:vAlign w:val="center"/>
            <w:tcMar>
              <w:top w:w="85" w:type="dxa"/>
              <w:start w:w="95" w:type="dxa"/>
              <w:bottom w:w="85" w:type="dxa"/>
              <w:end w:w="95" w:type="dxa"/>
            </w:tcMar>
            <w:shd w:fill="F8FBFE"/>
          </w:tcPr>
          <w:p>
            <w:r>
              <w:rPr>
                <w:color w:val="2C3E50"/>
                <w:sz w:val="19"/>
              </w:rPr>
              <w:t>tasks/080-policy-guardrails.md</w:t>
            </w:r>
          </w:p>
        </w:tc>
        <w:tc>
          <w:tcPr>
            <w:tcW w:type="dxa" w:w="4968"/>
            <w:vAlign w:val="center"/>
            <w:tcMar>
              <w:top w:w="85" w:type="dxa"/>
              <w:start w:w="95" w:type="dxa"/>
              <w:bottom w:w="85" w:type="dxa"/>
              <w:end w:w="95" w:type="dxa"/>
            </w:tcMar>
            <w:shd w:fill="F8FBFE"/>
          </w:tcPr>
          <w:p>
            <w:r>
              <w:rPr>
                <w:color w:val="2C3E50"/>
                <w:sz w:val="19"/>
              </w:rPr>
              <w:t>Implement permission checks, audit logging, and approval queue enforcement.</w:t>
            </w:r>
          </w:p>
        </w:tc>
      </w:tr>
    </w:tbl>
    <w:p/>
    <w:p>
      <w:pPr>
        <w:pStyle w:val="Heading1"/>
      </w:pPr>
      <w:r>
        <w:t>9. Orchestration loop</w:t>
      </w:r>
    </w:p>
    <w:p>
      <w:pPr>
        <w:pStyle w:val="ListBullet"/>
      </w:pPr>
      <w:r>
        <w:t>Trigger enters system via webhook, mailbox watcher, scheduler, file watcher, or operator action.</w:t>
      </w:r>
    </w:p>
    <w:p>
      <w:pPr>
        <w:pStyle w:val="ListBullet"/>
      </w:pPr>
      <w:r>
        <w:t>n8n normalizes event into a job envelope.</w:t>
      </w:r>
    </w:p>
    <w:p>
      <w:pPr>
        <w:pStyle w:val="ListBullet"/>
      </w:pPr>
      <w:r>
        <w:t>OpenClaw reads the envelope, current project state, and policy context.</w:t>
      </w:r>
    </w:p>
    <w:p>
      <w:pPr>
        <w:pStyle w:val="ListBullet"/>
      </w:pPr>
      <w:r>
        <w:t>OpenClaw selects one tool wrapper or worker action.</w:t>
      </w:r>
    </w:p>
    <w:p>
      <w:pPr>
        <w:pStyle w:val="ListBullet"/>
      </w:pPr>
      <w:r>
        <w:t>Worker performs deterministic work and writes structured output.</w:t>
      </w:r>
    </w:p>
    <w:p>
      <w:pPr>
        <w:pStyle w:val="ListBullet"/>
      </w:pPr>
      <w:r>
        <w:t>Project-state service records status, artifacts, and next-action recommendations.</w:t>
      </w:r>
    </w:p>
    <w:p>
      <w:pPr>
        <w:pStyle w:val="ListBullet"/>
      </w:pPr>
      <w:r>
        <w:t>If human review is required, the job moves to an approval queue; otherwise the next bounded step runs.</w:t>
      </w:r>
    </w:p>
    <w:p>
      <w:pPr>
        <w:pStyle w:val="ListBullet"/>
      </w:pPr>
      <w:r>
        <w:t>Completion writes an audit entry and updates dashboards.</w:t>
      </w:r>
    </w:p>
    <w:p>
      <w:pPr>
        <w:pStyle w:val="Heading1"/>
      </w:pPr>
      <w:r>
        <w:t>10. Canonical job envelope</w:t>
      </w:r>
    </w:p>
    <w:tbl>
      <w:tblPr>
        <w:tblW w:type="auto" w:w="0"/>
        <w:jc w:val="center"/>
        <w:tblLayout w:type="autofit"/>
        <w:tblLook w:firstColumn="1" w:firstRow="1" w:lastColumn="0" w:lastRow="0" w:noHBand="0" w:noVBand="1" w:val="04A0"/>
      </w:tblPr>
      <w:tblGrid>
        <w:gridCol w:w="9936"/>
      </w:tblGrid>
      <w:tr>
        <w:tc>
          <w:tcPr>
            <w:tcW w:type="dxa" w:w="9936"/>
            <w:vAlign w:val="center"/>
            <w:shd w:fill="EAF2F8"/>
            <w:tcMar>
              <w:top w:w="120" w:type="dxa"/>
              <w:start w:w="140" w:type="dxa"/>
              <w:bottom w:w="120" w:type="dxa"/>
              <w:end w:w="140" w:type="dxa"/>
            </w:tcMar>
          </w:tcPr>
          <w:p>
            <w:r>
              <w:rPr>
                <w:color w:val="2C3E50"/>
                <w:sz w:val="20"/>
              </w:rPr>
              <w:t>Recommended JSON shape for events passed between orchestrator, workers, and queues.</w:t>
            </w:r>
          </w:p>
        </w:tc>
      </w:tr>
    </w:tbl>
    <w:p/>
    <w:tbl>
      <w:tblPr>
        <w:tblStyle w:val="TableGrid"/>
        <w:tblW w:type="auto" w:w="0"/>
        <w:tblLook w:firstColumn="1" w:firstRow="1" w:lastColumn="0" w:lastRow="0" w:noHBand="0" w:noVBand="1" w:val="04A0"/>
      </w:tblPr>
      <w:tblGrid>
        <w:gridCol w:w="9936"/>
      </w:tblGrid>
      <w:tr>
        <w:tc>
          <w:tcPr>
            <w:tcW w:type="dxa" w:w="9936"/>
            <w:shd w:fill="F3F6FA"/>
            <w:tcMar>
              <w:top w:w="120" w:type="dxa"/>
              <w:start w:w="140" w:type="dxa"/>
              <w:bottom w:w="120" w:type="dxa"/>
              <w:end w:w="140" w:type="dxa"/>
            </w:tcMar>
          </w:tcPr>
          <w:p>
            <w:r>
              <w:rPr>
                <w:rFonts w:ascii="Courier New" w:hAnsi="Courier New"/>
                <w:color w:val="2C3E50"/>
                <w:sz w:val="17"/>
              </w:rPr>
              <w:t>{</w:t>
            </w:r>
          </w:p>
          <w:p>
            <w:r>
              <w:rPr>
                <w:rFonts w:ascii="Courier New" w:hAnsi="Courier New"/>
                <w:color w:val="2C3E50"/>
                <w:sz w:val="17"/>
              </w:rPr>
              <w:t xml:space="preserve">  "job_id": "uuid",</w:t>
            </w:r>
          </w:p>
          <w:p>
            <w:r>
              <w:rPr>
                <w:rFonts w:ascii="Courier New" w:hAnsi="Courier New"/>
                <w:color w:val="2C3E50"/>
                <w:sz w:val="17"/>
              </w:rPr>
              <w:t xml:space="preserve">  "module": "studio_brain|session_prep|mix|qc|delivery",</w:t>
            </w:r>
          </w:p>
          <w:p>
            <w:r>
              <w:rPr>
                <w:rFonts w:ascii="Courier New" w:hAnsi="Courier New"/>
                <w:color w:val="2C3E50"/>
                <w:sz w:val="17"/>
              </w:rPr>
              <w:t xml:space="preserve">  "action": "lead_intake|draft_email|generate_mix_plan|run_qc",</w:t>
            </w:r>
          </w:p>
          <w:p>
            <w:r>
              <w:rPr>
                <w:rFonts w:ascii="Courier New" w:hAnsi="Courier New"/>
                <w:color w:val="2C3E50"/>
                <w:sz w:val="17"/>
              </w:rPr>
              <w:t xml:space="preserve">  "project_id": "optional-project-id",</w:t>
            </w:r>
          </w:p>
          <w:p>
            <w:r>
              <w:rPr>
                <w:rFonts w:ascii="Courier New" w:hAnsi="Courier New"/>
                <w:color w:val="2C3E50"/>
                <w:sz w:val="17"/>
              </w:rPr>
              <w:t xml:space="preserve">  "priority": "low|normal|high",</w:t>
            </w:r>
          </w:p>
          <w:p>
            <w:r>
              <w:rPr>
                <w:rFonts w:ascii="Courier New" w:hAnsi="Courier New"/>
                <w:color w:val="2C3E50"/>
                <w:sz w:val="17"/>
              </w:rPr>
              <w:t xml:space="preserve">  "inputs": {"...": "..."},</w:t>
            </w:r>
          </w:p>
          <w:p>
            <w:r>
              <w:rPr>
                <w:rFonts w:ascii="Courier New" w:hAnsi="Courier New"/>
                <w:color w:val="2C3E50"/>
                <w:sz w:val="17"/>
              </w:rPr>
              <w:t xml:space="preserve">  "required_permissions": ["read", "draft"],</w:t>
            </w:r>
          </w:p>
          <w:p>
            <w:r>
              <w:rPr>
                <w:rFonts w:ascii="Courier New" w:hAnsi="Courier New"/>
                <w:color w:val="2C3E50"/>
                <w:sz w:val="17"/>
              </w:rPr>
              <w:t xml:space="preserve">  "approval_required": true,</w:t>
            </w:r>
          </w:p>
          <w:p>
            <w:r>
              <w:rPr>
                <w:rFonts w:ascii="Courier New" w:hAnsi="Courier New"/>
                <w:color w:val="2C3E50"/>
                <w:sz w:val="17"/>
              </w:rPr>
              <w:t xml:space="preserve">  "artifacts": [],</w:t>
            </w:r>
          </w:p>
          <w:p>
            <w:r>
              <w:rPr>
                <w:rFonts w:ascii="Courier New" w:hAnsi="Courier New"/>
                <w:color w:val="2C3E50"/>
                <w:sz w:val="17"/>
              </w:rPr>
              <w:t xml:space="preserve">  "created_at": "ISO-8601",</w:t>
            </w:r>
          </w:p>
          <w:p>
            <w:r>
              <w:rPr>
                <w:rFonts w:ascii="Courier New" w:hAnsi="Courier New"/>
                <w:color w:val="2C3E50"/>
                <w:sz w:val="17"/>
              </w:rPr>
              <w:t xml:space="preserve">  "requested_by": "system|human|workflow"</w:t>
            </w:r>
          </w:p>
          <w:p>
            <w:r>
              <w:rPr>
                <w:rFonts w:ascii="Courier New" w:hAnsi="Courier New"/>
                <w:color w:val="2C3E50"/>
                <w:sz w:val="17"/>
              </w:rPr>
              <w:t>}</w:t>
            </w:r>
          </w:p>
        </w:tc>
      </w:tr>
    </w:tbl>
    <w:p/>
    <w:p>
      <w:pPr>
        <w:pStyle w:val="Heading1"/>
      </w:pPr>
      <w:r>
        <w:t>11. Model allocation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4E79"/>
            <w:tcMar>
              <w:top w:w="110" w:type="dxa"/>
              <w:start w:w="110" w:type="dxa"/>
              <w:bottom w:w="110" w:type="dxa"/>
              <w:end w:w="110" w:type="dxa"/>
            </w:tcMar>
            <w:vAlign w:val="center"/>
          </w:tcPr>
          <w:p>
            <w:r>
              <w:rPr>
                <w:b/>
                <w:color w:val="FFFFFF"/>
                <w:sz w:val="20"/>
              </w:rPr>
              <w:t>Role</w:t>
            </w:r>
          </w:p>
        </w:tc>
        <w:tc>
          <w:tcPr>
            <w:tcW w:type="dxa" w:w="3312"/>
            <w:shd w:fill="1F4E79"/>
            <w:tcMar>
              <w:top w:w="110" w:type="dxa"/>
              <w:start w:w="110" w:type="dxa"/>
              <w:bottom w:w="110" w:type="dxa"/>
              <w:end w:w="110" w:type="dxa"/>
            </w:tcMar>
            <w:vAlign w:val="center"/>
          </w:tcPr>
          <w:p>
            <w:r>
              <w:rPr>
                <w:b/>
                <w:color w:val="FFFFFF"/>
                <w:sz w:val="20"/>
              </w:rPr>
              <w:t>Recommended local model profile</w:t>
            </w:r>
          </w:p>
        </w:tc>
        <w:tc>
          <w:tcPr>
            <w:tcW w:type="dxa" w:w="3312"/>
            <w:shd w:fill="1F4E79"/>
            <w:tcMar>
              <w:top w:w="110" w:type="dxa"/>
              <w:start w:w="110" w:type="dxa"/>
              <w:bottom w:w="110" w:type="dxa"/>
              <w:end w:w="110" w:type="dxa"/>
            </w:tcMar>
            <w:vAlign w:val="center"/>
          </w:tcPr>
          <w:p>
            <w:r>
              <w:rPr>
                <w:b/>
                <w:color w:val="FFFFFF"/>
                <w:sz w:val="20"/>
              </w:rPr>
              <w:t>Reason</w:t>
            </w:r>
          </w:p>
        </w:tc>
      </w:tr>
      <w:tr>
        <w:tc>
          <w:tcPr>
            <w:tcW w:type="dxa" w:w="3312"/>
            <w:vAlign w:val="center"/>
            <w:tcMar>
              <w:top w:w="85" w:type="dxa"/>
              <w:start w:w="95" w:type="dxa"/>
              <w:bottom w:w="85" w:type="dxa"/>
              <w:end w:w="95" w:type="dxa"/>
            </w:tcMar>
            <w:shd w:fill="F8FBFE"/>
          </w:tcPr>
          <w:p>
            <w:r>
              <w:rPr>
                <w:color w:val="2C3E50"/>
                <w:sz w:val="19"/>
              </w:rPr>
              <w:t>Planner / drafter</w:t>
            </w:r>
          </w:p>
        </w:tc>
        <w:tc>
          <w:tcPr>
            <w:tcW w:type="dxa" w:w="3312"/>
            <w:vAlign w:val="center"/>
            <w:tcMar>
              <w:top w:w="85" w:type="dxa"/>
              <w:start w:w="95" w:type="dxa"/>
              <w:bottom w:w="85" w:type="dxa"/>
              <w:end w:w="95" w:type="dxa"/>
            </w:tcMar>
            <w:shd w:fill="F8FBFE"/>
          </w:tcPr>
          <w:p>
            <w:r>
              <w:rPr>
                <w:color w:val="2C3E50"/>
                <w:sz w:val="19"/>
              </w:rPr>
              <w:t>Qwen-adjacent instruct model</w:t>
            </w:r>
          </w:p>
        </w:tc>
        <w:tc>
          <w:tcPr>
            <w:tcW w:type="dxa" w:w="3312"/>
            <w:vAlign w:val="center"/>
            <w:tcMar>
              <w:top w:w="85" w:type="dxa"/>
              <w:start w:w="95" w:type="dxa"/>
              <w:bottom w:w="85" w:type="dxa"/>
              <w:end w:w="95" w:type="dxa"/>
            </w:tcMar>
            <w:shd w:fill="F8FBFE"/>
          </w:tcPr>
          <w:p>
            <w:r>
              <w:rPr>
                <w:color w:val="2C3E50"/>
                <w:sz w:val="19"/>
              </w:rPr>
              <w:t>Strong structured writing, decent reasoning, good local viability.</w:t>
            </w:r>
          </w:p>
        </w:tc>
      </w:tr>
      <w:tr>
        <w:tc>
          <w:tcPr>
            <w:tcW w:type="dxa" w:w="3312"/>
            <w:vAlign w:val="center"/>
            <w:tcMar>
              <w:top w:w="85" w:type="dxa"/>
              <w:start w:w="95" w:type="dxa"/>
              <w:bottom w:w="85" w:type="dxa"/>
              <w:end w:w="95" w:type="dxa"/>
            </w:tcMar>
            <w:shd w:fill="EDF3F9"/>
          </w:tcPr>
          <w:p>
            <w:r>
              <w:rPr>
                <w:color w:val="2C3E50"/>
                <w:sz w:val="19"/>
              </w:rPr>
              <w:t>Classifier / router</w:t>
            </w:r>
          </w:p>
        </w:tc>
        <w:tc>
          <w:tcPr>
            <w:tcW w:type="dxa" w:w="3312"/>
            <w:vAlign w:val="center"/>
            <w:tcMar>
              <w:top w:w="85" w:type="dxa"/>
              <w:start w:w="95" w:type="dxa"/>
              <w:bottom w:w="85" w:type="dxa"/>
              <w:end w:w="95" w:type="dxa"/>
            </w:tcMar>
            <w:shd w:fill="EDF3F9"/>
          </w:tcPr>
          <w:p>
            <w:r>
              <w:rPr>
                <w:color w:val="2C3E50"/>
                <w:sz w:val="19"/>
              </w:rPr>
              <w:t>Smaller fast local model</w:t>
            </w:r>
          </w:p>
        </w:tc>
        <w:tc>
          <w:tcPr>
            <w:tcW w:type="dxa" w:w="3312"/>
            <w:vAlign w:val="center"/>
            <w:tcMar>
              <w:top w:w="85" w:type="dxa"/>
              <w:start w:w="95" w:type="dxa"/>
              <w:bottom w:w="85" w:type="dxa"/>
              <w:end w:w="95" w:type="dxa"/>
            </w:tcMar>
            <w:shd w:fill="EDF3F9"/>
          </w:tcPr>
          <w:p>
            <w:r>
              <w:rPr>
                <w:color w:val="2C3E50"/>
                <w:sz w:val="19"/>
              </w:rPr>
              <w:t>Fast labeling, triage, urgency scoring, and routing decisions.</w:t>
            </w:r>
          </w:p>
        </w:tc>
      </w:tr>
      <w:tr>
        <w:tc>
          <w:tcPr>
            <w:tcW w:type="dxa" w:w="3312"/>
            <w:vAlign w:val="center"/>
            <w:tcMar>
              <w:top w:w="85" w:type="dxa"/>
              <w:start w:w="95" w:type="dxa"/>
              <w:bottom w:w="85" w:type="dxa"/>
              <w:end w:w="95" w:type="dxa"/>
            </w:tcMar>
            <w:shd w:fill="F8FBFE"/>
          </w:tcPr>
          <w:p>
            <w:r>
              <w:rPr>
                <w:color w:val="2C3E50"/>
                <w:sz w:val="19"/>
              </w:rPr>
              <w:t>Embeddings / retrieval</w:t>
            </w:r>
          </w:p>
        </w:tc>
        <w:tc>
          <w:tcPr>
            <w:tcW w:type="dxa" w:w="3312"/>
            <w:vAlign w:val="center"/>
            <w:tcMar>
              <w:top w:w="85" w:type="dxa"/>
              <w:start w:w="95" w:type="dxa"/>
              <w:bottom w:w="85" w:type="dxa"/>
              <w:end w:w="95" w:type="dxa"/>
            </w:tcMar>
            <w:shd w:fill="F8FBFE"/>
          </w:tcPr>
          <w:p>
            <w:r>
              <w:rPr>
                <w:color w:val="2C3E50"/>
                <w:sz w:val="19"/>
              </w:rPr>
              <w:t>Light embedding model</w:t>
            </w:r>
          </w:p>
        </w:tc>
        <w:tc>
          <w:tcPr>
            <w:tcW w:type="dxa" w:w="3312"/>
            <w:vAlign w:val="center"/>
            <w:tcMar>
              <w:top w:w="85" w:type="dxa"/>
              <w:start w:w="95" w:type="dxa"/>
              <w:bottom w:w="85" w:type="dxa"/>
              <w:end w:w="95" w:type="dxa"/>
            </w:tcMar>
            <w:shd w:fill="F8FBFE"/>
          </w:tcPr>
          <w:p>
            <w:r>
              <w:rPr>
                <w:color w:val="2C3E50"/>
                <w:sz w:val="19"/>
              </w:rPr>
              <w:t>Useful for project memory, templates, and CRM retrieval.</w:t>
            </w:r>
          </w:p>
        </w:tc>
      </w:tr>
      <w:tr>
        <w:tc>
          <w:tcPr>
            <w:tcW w:type="dxa" w:w="3312"/>
            <w:vAlign w:val="center"/>
            <w:tcMar>
              <w:top w:w="85" w:type="dxa"/>
              <w:start w:w="95" w:type="dxa"/>
              <w:bottom w:w="85" w:type="dxa"/>
              <w:end w:w="95" w:type="dxa"/>
            </w:tcMar>
            <w:shd w:fill="EDF3F9"/>
          </w:tcPr>
          <w:p>
            <w:r>
              <w:rPr>
                <w:color w:val="2C3E50"/>
                <w:sz w:val="19"/>
              </w:rPr>
              <w:t>Audio-adjacent language tasks</w:t>
            </w:r>
          </w:p>
        </w:tc>
        <w:tc>
          <w:tcPr>
            <w:tcW w:type="dxa" w:w="3312"/>
            <w:vAlign w:val="center"/>
            <w:tcMar>
              <w:top w:w="85" w:type="dxa"/>
              <w:start w:w="95" w:type="dxa"/>
              <w:bottom w:w="85" w:type="dxa"/>
              <w:end w:w="95" w:type="dxa"/>
            </w:tcMar>
            <w:shd w:fill="EDF3F9"/>
          </w:tcPr>
          <w:p>
            <w:r>
              <w:rPr>
                <w:color w:val="2C3E50"/>
                <w:sz w:val="19"/>
              </w:rPr>
              <w:t>Use planner sparingly</w:t>
            </w:r>
          </w:p>
        </w:tc>
        <w:tc>
          <w:tcPr>
            <w:tcW w:type="dxa" w:w="3312"/>
            <w:vAlign w:val="center"/>
            <w:tcMar>
              <w:top w:w="85" w:type="dxa"/>
              <w:start w:w="95" w:type="dxa"/>
              <w:bottom w:w="85" w:type="dxa"/>
              <w:end w:w="95" w:type="dxa"/>
            </w:tcMar>
            <w:shd w:fill="EDF3F9"/>
          </w:tcPr>
          <w:p>
            <w:r>
              <w:rPr>
                <w:color w:val="2C3E50"/>
                <w:sz w:val="19"/>
              </w:rPr>
              <w:t>Best for notes, plans, and summaries rather than sample-level DSP decisions.</w:t>
            </w:r>
          </w:p>
        </w:tc>
      </w:tr>
    </w:tbl>
    <w:p/>
    <w:p>
      <w:pPr>
        <w:pStyle w:val="Heading1"/>
      </w:pPr>
      <w:r>
        <w:t>12. Module 4 - Studio Brain implementation details</w:t>
      </w:r>
    </w:p>
    <w:p>
      <w:r>
        <w:t>Lead intake workflow</w:t>
      </w:r>
    </w:p>
    <w:p>
      <w:pPr>
        <w:pStyle w:val="ListBullet"/>
      </w:pPr>
      <w:r>
        <w:t>Accept forms, DMs converted to structured intake, or email inquiries.</w:t>
      </w:r>
    </w:p>
    <w:p>
      <w:pPr>
        <w:pStyle w:val="ListBullet"/>
      </w:pPr>
      <w:r>
        <w:t>Normalize fields: artist name, service requested, timeline, budget signal, deliverables, references, urgency.</w:t>
      </w:r>
    </w:p>
    <w:p>
      <w:pPr>
        <w:pStyle w:val="ListBullet"/>
      </w:pPr>
      <w:r>
        <w:t>Score fit and urgency using deterministic rules plus a lightweight classifier.</w:t>
      </w:r>
    </w:p>
    <w:p>
      <w:pPr>
        <w:pStyle w:val="ListBullet"/>
      </w:pPr>
      <w:r>
        <w:t>Draft a first response in Maggie’s tone and create a follow-up timer.</w:t>
      </w:r>
    </w:p>
    <w:p>
      <w:pPr>
        <w:pStyle w:val="ListBullet"/>
      </w:pPr>
      <w:r>
        <w:t>Write to CRM and dashboard; do not send without approval unless workflow is explicitly trusted.</w:t>
      </w:r>
    </w:p>
    <w:p>
      <w:r>
        <w:t>Inbox triage workflow</w:t>
      </w:r>
    </w:p>
    <w:p>
      <w:pPr>
        <w:pStyle w:val="ListBullet"/>
      </w:pPr>
      <w:r>
        <w:t>Only inspect approved labels or folders.</w:t>
      </w:r>
    </w:p>
    <w:p>
      <w:pPr>
        <w:pStyle w:val="ListBullet"/>
      </w:pPr>
      <w:r>
        <w:t>Classify message type: lead, revision request, scheduling, payment, admin, noise.</w:t>
      </w:r>
    </w:p>
    <w:p>
      <w:pPr>
        <w:pStyle w:val="ListBullet"/>
      </w:pPr>
      <w:r>
        <w:t>Draft responses where safe; escalate ambiguous or sensitive threads.</w:t>
      </w:r>
    </w:p>
    <w:p>
      <w:pPr>
        <w:pStyle w:val="ListBullet"/>
      </w:pPr>
      <w:r>
        <w:t>Never delete, archive destructively, or auto-send unless separately authorized.</w:t>
      </w:r>
    </w:p>
    <w:p>
      <w:r>
        <w:t>Social/content workflow</w:t>
      </w:r>
    </w:p>
    <w:p>
      <w:pPr>
        <w:pStyle w:val="ListBullet"/>
      </w:pPr>
      <w:r>
        <w:t>Generate post ideas from project milestones, testimonials, before/after moments, release dates, and studio updates.</w:t>
      </w:r>
    </w:p>
    <w:p>
      <w:pPr>
        <w:pStyle w:val="ListBullet"/>
      </w:pPr>
      <w:r>
        <w:t>Prepare platform-specific captions, short-form variants, hashtags, and asset manifests.</w:t>
      </w:r>
    </w:p>
    <w:p>
      <w:pPr>
        <w:pStyle w:val="ListBullet"/>
      </w:pPr>
      <w:r>
        <w:t>Queue for review and schedule via connector only after approval.</w:t>
      </w:r>
    </w:p>
    <w:p>
      <w:pPr>
        <w:pStyle w:val="Heading1"/>
      </w:pPr>
      <w:r>
        <w:t>13. Audio-side implementation details</w:t>
      </w:r>
    </w:p>
    <w:p>
      <w:pPr>
        <w:pStyle w:val="ListBullet"/>
      </w:pPr>
      <w:r>
        <w:t>Session Prep worker validates stems, length alignment, sample rate, bit depth, and naming before building a template session.</w:t>
      </w:r>
    </w:p>
    <w:p>
      <w:pPr>
        <w:pStyle w:val="ListBullet"/>
      </w:pPr>
      <w:r>
        <w:t>Mix Planner worker writes a structured plan: focal elements, low-end strategy, vocal stance, bus chain family, and risk flags.</w:t>
      </w:r>
    </w:p>
    <w:p>
      <w:pPr>
        <w:pStyle w:val="ListBullet"/>
      </w:pPr>
      <w:r>
        <w:t>Execution wrappers call SoundFlow macros or REAPER scripts rather than freeform UI clicking.</w:t>
      </w:r>
    </w:p>
    <w:p>
      <w:pPr>
        <w:pStyle w:val="ListBullet"/>
      </w:pPr>
      <w:r>
        <w:t>QC worker checks LUFS, true peak, clipping, phase/correlation, mono fold-down behavior, render length, and package completeness.</w:t>
      </w:r>
    </w:p>
    <w:p>
      <w:pPr>
        <w:pStyle w:val="ListBullet"/>
      </w:pPr>
      <w:r>
        <w:t>Revision Parser converts notes like “vocal up in chorus” into parameterized changes instead of vague instructions.</w:t>
      </w:r>
    </w:p>
    <w:p>
      <w:pPr>
        <w:pStyle w:val="Heading1"/>
      </w:pPr>
      <w:r>
        <w:t>14. Safety and audit requirements</w:t>
      </w:r>
    </w:p>
    <w:tbl>
      <w:tblPr>
        <w:tblStyle w:val="TableGrid"/>
        <w:tblW w:type="auto" w:w="0"/>
        <w:jc w:val="center"/>
        <w:tblLook w:firstColumn="1" w:firstRow="1" w:lastColumn="0" w:lastRow="0" w:noHBand="0" w:noVBand="1" w:val="04A0"/>
      </w:tblPr>
      <w:tblGrid>
        <w:gridCol w:w="4968"/>
        <w:gridCol w:w="4968"/>
      </w:tblGrid>
      <w:tr>
        <w:tc>
          <w:tcPr>
            <w:tcW w:type="dxa" w:w="4968"/>
            <w:shd w:fill="1F4E79"/>
            <w:tcMar>
              <w:top w:w="110" w:type="dxa"/>
              <w:start w:w="110" w:type="dxa"/>
              <w:bottom w:w="110" w:type="dxa"/>
              <w:end w:w="110" w:type="dxa"/>
            </w:tcMar>
            <w:vAlign w:val="center"/>
          </w:tcPr>
          <w:p>
            <w:r>
              <w:rPr>
                <w:b/>
                <w:color w:val="FFFFFF"/>
                <w:sz w:val="20"/>
              </w:rPr>
              <w:t>Requirement</w:t>
            </w:r>
          </w:p>
        </w:tc>
        <w:tc>
          <w:tcPr>
            <w:tcW w:type="dxa" w:w="4968"/>
            <w:shd w:fill="1F4E79"/>
            <w:tcMar>
              <w:top w:w="110" w:type="dxa"/>
              <w:start w:w="110" w:type="dxa"/>
              <w:bottom w:w="110" w:type="dxa"/>
              <w:end w:w="110" w:type="dxa"/>
            </w:tcMar>
            <w:vAlign w:val="center"/>
          </w:tcPr>
          <w:p>
            <w:r>
              <w:rPr>
                <w:b/>
                <w:color w:val="FFFFFF"/>
                <w:sz w:val="20"/>
              </w:rPr>
              <w:t>Implementation expectation</w:t>
            </w:r>
          </w:p>
        </w:tc>
      </w:tr>
      <w:tr>
        <w:tc>
          <w:tcPr>
            <w:tcW w:type="dxa" w:w="4968"/>
            <w:vAlign w:val="center"/>
            <w:tcMar>
              <w:top w:w="85" w:type="dxa"/>
              <w:start w:w="95" w:type="dxa"/>
              <w:bottom w:w="85" w:type="dxa"/>
              <w:end w:w="95" w:type="dxa"/>
            </w:tcMar>
            <w:shd w:fill="F8FBFE"/>
          </w:tcPr>
          <w:p>
            <w:r>
              <w:rPr>
                <w:color w:val="2C3E50"/>
                <w:sz w:val="19"/>
              </w:rPr>
              <w:t>Audit trail</w:t>
            </w:r>
          </w:p>
        </w:tc>
        <w:tc>
          <w:tcPr>
            <w:tcW w:type="dxa" w:w="4968"/>
            <w:vAlign w:val="center"/>
            <w:tcMar>
              <w:top w:w="85" w:type="dxa"/>
              <w:start w:w="95" w:type="dxa"/>
              <w:bottom w:w="85" w:type="dxa"/>
              <w:end w:w="95" w:type="dxa"/>
            </w:tcMar>
            <w:shd w:fill="F8FBFE"/>
          </w:tcPr>
          <w:p>
            <w:r>
              <w:rPr>
                <w:color w:val="2C3E50"/>
                <w:sz w:val="19"/>
              </w:rPr>
              <w:t>Every automated action and approval event is logged with timestamp, actor, and artifact references.</w:t>
            </w:r>
          </w:p>
        </w:tc>
      </w:tr>
      <w:tr>
        <w:tc>
          <w:tcPr>
            <w:tcW w:type="dxa" w:w="4968"/>
            <w:vAlign w:val="center"/>
            <w:tcMar>
              <w:top w:w="85" w:type="dxa"/>
              <w:start w:w="95" w:type="dxa"/>
              <w:bottom w:w="85" w:type="dxa"/>
              <w:end w:w="95" w:type="dxa"/>
            </w:tcMar>
            <w:shd w:fill="EDF3F9"/>
          </w:tcPr>
          <w:p>
            <w:r>
              <w:rPr>
                <w:color w:val="2C3E50"/>
                <w:sz w:val="19"/>
              </w:rPr>
              <w:t>Prompt isolation</w:t>
            </w:r>
          </w:p>
        </w:tc>
        <w:tc>
          <w:tcPr>
            <w:tcW w:type="dxa" w:w="4968"/>
            <w:vAlign w:val="center"/>
            <w:tcMar>
              <w:top w:w="85" w:type="dxa"/>
              <w:start w:w="95" w:type="dxa"/>
              <w:bottom w:w="85" w:type="dxa"/>
              <w:end w:w="95" w:type="dxa"/>
            </w:tcMar>
            <w:shd w:fill="EDF3F9"/>
          </w:tcPr>
          <w:p>
            <w:r>
              <w:rPr>
                <w:color w:val="2C3E50"/>
                <w:sz w:val="19"/>
              </w:rPr>
              <w:t>System prompts, user prompts, and tool outputs should be stored separately for debugging and evaluation.</w:t>
            </w:r>
          </w:p>
        </w:tc>
      </w:tr>
      <w:tr>
        <w:tc>
          <w:tcPr>
            <w:tcW w:type="dxa" w:w="4968"/>
            <w:vAlign w:val="center"/>
            <w:tcMar>
              <w:top w:w="85" w:type="dxa"/>
              <w:start w:w="95" w:type="dxa"/>
              <w:bottom w:w="85" w:type="dxa"/>
              <w:end w:w="95" w:type="dxa"/>
            </w:tcMar>
            <w:shd w:fill="F8FBFE"/>
          </w:tcPr>
          <w:p>
            <w:r>
              <w:rPr>
                <w:color w:val="2C3E50"/>
                <w:sz w:val="19"/>
              </w:rPr>
              <w:t>Secrets hygiene</w:t>
            </w:r>
          </w:p>
        </w:tc>
        <w:tc>
          <w:tcPr>
            <w:tcW w:type="dxa" w:w="4968"/>
            <w:vAlign w:val="center"/>
            <w:tcMar>
              <w:top w:w="85" w:type="dxa"/>
              <w:start w:w="95" w:type="dxa"/>
              <w:bottom w:w="85" w:type="dxa"/>
              <w:end w:w="95" w:type="dxa"/>
            </w:tcMar>
            <w:shd w:fill="F8FBFE"/>
          </w:tcPr>
          <w:p>
            <w:r>
              <w:rPr>
                <w:color w:val="2C3E50"/>
                <w:sz w:val="19"/>
              </w:rPr>
              <w:t>Use env vars or a secrets manager; never hardcode tokens in task files or prompts.</w:t>
            </w:r>
          </w:p>
        </w:tc>
      </w:tr>
      <w:tr>
        <w:tc>
          <w:tcPr>
            <w:tcW w:type="dxa" w:w="4968"/>
            <w:vAlign w:val="center"/>
            <w:tcMar>
              <w:top w:w="85" w:type="dxa"/>
              <w:start w:w="95" w:type="dxa"/>
              <w:bottom w:w="85" w:type="dxa"/>
              <w:end w:w="95" w:type="dxa"/>
            </w:tcMar>
            <w:shd w:fill="EDF3F9"/>
          </w:tcPr>
          <w:p>
            <w:r>
              <w:rPr>
                <w:color w:val="2C3E50"/>
                <w:sz w:val="19"/>
              </w:rPr>
              <w:t>Approval gating</w:t>
            </w:r>
          </w:p>
        </w:tc>
        <w:tc>
          <w:tcPr>
            <w:tcW w:type="dxa" w:w="4968"/>
            <w:vAlign w:val="center"/>
            <w:tcMar>
              <w:top w:w="85" w:type="dxa"/>
              <w:start w:w="95" w:type="dxa"/>
              <w:bottom w:w="85" w:type="dxa"/>
              <w:end w:w="95" w:type="dxa"/>
            </w:tcMar>
            <w:shd w:fill="EDF3F9"/>
          </w:tcPr>
          <w:p>
            <w:r>
              <w:rPr>
                <w:color w:val="2C3E50"/>
                <w:sz w:val="19"/>
              </w:rPr>
              <w:t>Sensitive tasks must fail closed and enter review if policy context is missing.</w:t>
            </w:r>
          </w:p>
        </w:tc>
      </w:tr>
      <w:tr>
        <w:tc>
          <w:tcPr>
            <w:tcW w:type="dxa" w:w="4968"/>
            <w:vAlign w:val="center"/>
            <w:tcMar>
              <w:top w:w="85" w:type="dxa"/>
              <w:start w:w="95" w:type="dxa"/>
              <w:bottom w:w="85" w:type="dxa"/>
              <w:end w:w="95" w:type="dxa"/>
            </w:tcMar>
            <w:shd w:fill="F8FBFE"/>
          </w:tcPr>
          <w:p>
            <w:r>
              <w:rPr>
                <w:color w:val="2C3E50"/>
                <w:sz w:val="19"/>
              </w:rPr>
              <w:t>Reproducibility</w:t>
            </w:r>
          </w:p>
        </w:tc>
        <w:tc>
          <w:tcPr>
            <w:tcW w:type="dxa" w:w="4968"/>
            <w:vAlign w:val="center"/>
            <w:tcMar>
              <w:top w:w="85" w:type="dxa"/>
              <w:start w:w="95" w:type="dxa"/>
              <w:bottom w:w="85" w:type="dxa"/>
              <w:end w:w="95" w:type="dxa"/>
            </w:tcMar>
            <w:shd w:fill="F8FBFE"/>
          </w:tcPr>
          <w:p>
            <w:r>
              <w:rPr>
                <w:color w:val="2C3E50"/>
                <w:sz w:val="19"/>
              </w:rPr>
              <w:t>All services should start from Docker Compose with documented volumes and health checks.</w:t>
            </w:r>
          </w:p>
        </w:tc>
      </w:tr>
    </w:tbl>
    <w:p/>
    <w:p>
      <w:pPr>
        <w:pStyle w:val="Heading1"/>
      </w:pPr>
      <w:r>
        <w:t>15. Build order for a coding agent</w:t>
      </w:r>
    </w:p>
    <w:p>
      <w:pPr>
        <w:pStyle w:val="ListNumber"/>
      </w:pPr>
      <w:r>
        <w:t>Bootstrap repo skeleton, Docker Compose, env templates, and service health checks.</w:t>
      </w:r>
    </w:p>
    <w:p>
      <w:pPr>
        <w:pStyle w:val="ListNumber"/>
      </w:pPr>
      <w:r>
        <w:t>Implement project-state service and approval queue UI.</w:t>
      </w:r>
    </w:p>
    <w:p>
      <w:pPr>
        <w:pStyle w:val="ListNumber"/>
      </w:pPr>
      <w:r>
        <w:t>Implement lead intake and inbox drafting workflows on the Mac mini.</w:t>
      </w:r>
    </w:p>
    <w:p>
      <w:pPr>
        <w:pStyle w:val="ListNumber"/>
      </w:pPr>
      <w:r>
        <w:t>Implement social draft pipeline and scheduled reminder engine.</w:t>
      </w:r>
    </w:p>
    <w:p>
      <w:pPr>
        <w:pStyle w:val="ListNumber"/>
      </w:pPr>
      <w:r>
        <w:t>Implement audio session prep worker and manifest generator.</w:t>
      </w:r>
    </w:p>
    <w:p>
      <w:pPr>
        <w:pStyle w:val="ListNumber"/>
      </w:pPr>
      <w:r>
        <w:t>Implement audio QC worker and reporting.</w:t>
      </w:r>
    </w:p>
    <w:p>
      <w:pPr>
        <w:pStyle w:val="ListNumber"/>
      </w:pPr>
      <w:r>
        <w:t>Implement mix-planner worker and revision parser.</w:t>
      </w:r>
    </w:p>
    <w:p>
      <w:pPr>
        <w:pStyle w:val="ListNumber"/>
      </w:pPr>
      <w:r>
        <w:t>Add policy guardrails, audit logging, and evaluation tests across all modules.</w:t>
      </w:r>
    </w:p>
    <w:p>
      <w:pPr>
        <w:pStyle w:val="ListNumber"/>
      </w:pPr>
      <w:r>
        <w:t>Run end-to-end scenario tests covering lead -&gt; booked project -&gt; delivery -&gt; follow-up.</w:t>
      </w:r>
    </w:p>
    <w:p>
      <w:pPr>
        <w:pStyle w:val="Heading1"/>
      </w:pPr>
      <w:r>
        <w:t>16. Acceptance criteria</w:t>
      </w:r>
    </w:p>
    <w:p>
      <w:pPr>
        <w:pStyle w:val="ListBullet"/>
      </w:pPr>
      <w:r>
        <w:t>A coding agent can stand up the full local stack from the repo readme and env example.</w:t>
      </w:r>
    </w:p>
    <w:p>
      <w:pPr>
        <w:pStyle w:val="ListBullet"/>
      </w:pPr>
      <w:r>
        <w:t>Lead intake creates a structured record, draft reply, and reminder without sending anything automatically.</w:t>
      </w:r>
    </w:p>
    <w:p>
      <w:pPr>
        <w:pStyle w:val="ListBullet"/>
      </w:pPr>
      <w:r>
        <w:t>Inbox triage produces a reviewable queue with no destructive actions.</w:t>
      </w:r>
    </w:p>
    <w:p>
      <w:pPr>
        <w:pStyle w:val="ListBullet"/>
      </w:pPr>
      <w:r>
        <w:t>A sample audio project can move through session prep, QC, and revision parsing with reproducible outputs.</w:t>
      </w:r>
    </w:p>
    <w:p>
      <w:pPr>
        <w:pStyle w:val="ListBullet"/>
      </w:pPr>
      <w:r>
        <w:t>Every sensitive action is blocked or queued when approval state is missing.</w:t>
      </w:r>
    </w:p>
    <w:p>
      <w:pPr>
        <w:pStyle w:val="ListBullet"/>
      </w:pPr>
      <w:r>
        <w:t>Operator documentation is sufficient for Maggie to understand where the human checkpoints live.</w:t>
      </w:r>
    </w:p>
    <w:p>
      <w:pPr>
        <w:pStyle w:val="Heading1"/>
      </w:pPr>
      <w:r>
        <w:t>17. Suggested next artifacts</w:t>
      </w:r>
    </w:p>
    <w:p>
      <w:pPr>
        <w:pStyle w:val="ListBullet"/>
      </w:pPr>
      <w:r>
        <w:t>A repository bootstrap package with placeholder services and task files.</w:t>
      </w:r>
    </w:p>
    <w:p>
      <w:pPr>
        <w:pStyle w:val="ListBullet"/>
      </w:pPr>
      <w:r>
        <w:t>An ADR set covering OpenClaw scope boundaries, approval policies, and model selection.</w:t>
      </w:r>
    </w:p>
    <w:p>
      <w:pPr>
        <w:pStyle w:val="ListBullet"/>
      </w:pPr>
      <w:r>
        <w:t>Sample n8n workflows for lead intake, inbox draft queue, and post scheduling.</w:t>
      </w:r>
    </w:p>
    <w:p>
      <w:pPr>
        <w:pStyle w:val="ListBullet"/>
      </w:pPr>
      <w:r>
        <w:t>A dashboard wireframe for the approval queue and project status view.</w:t>
      </w:r>
    </w:p>
    <w:sectPr w:rsidR="00FC693F" w:rsidRPr="0006063C" w:rsidSect="00034616">
      <w:footerReference w:type="default" r:id="rId9"/>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Prepared for Maggie - AI-followable studio architecture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color w:val="2C3E5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40"/>
      <w:outlineLvl w:val="1"/>
    </w:pPr>
    <w:rPr>
      <w:rFonts w:asciiTheme="majorHAnsi" w:eastAsiaTheme="majorEastAsia" w:hAnsiTheme="majorHAnsi" w:cstheme="majorBidi" w:ascii="Aptos" w:hAnsi="Aptos"/>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C3E5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contextualSpacing/>
    </w:pPr>
    <w:rPr>
      <w:rFonts w:asciiTheme="majorHAnsi" w:eastAsiaTheme="majorEastAsia" w:hAnsiTheme="majorHAnsi" w:cstheme="majorBidi" w:ascii="Aptos" w:hAnsi="Aptos"/>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