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Methods</w:t>
      </w:r>
    </w:p>
    <w:p>
      <w:r>
        <w:rPr>
          <w:i/>
        </w:rPr>
        <w:t>Prediction of incident diabetes at follow-up visits T2 and T3 from baseline (T1) clinical and demographic variables.</w:t>
      </w:r>
    </w:p>
    <w:p>
      <w:pPr>
        <w:pStyle w:val="Heading2"/>
      </w:pPr>
      <w:r>
        <w:t>Data Source and Cohort Definition</w:t>
      </w:r>
    </w:p>
    <w:p>
      <w:r>
        <w:t>Two separate predictive models were developed using the same baseline (T1) predictor definition but different outcomes and follow-up horizons: Model A predicts diabetes status at the second visit (T2), and Model B predicts diabetes status at the third visit (T3). Each model was supplied with its own pre-split training and test files, prepared upstream of this analysis and containing no missing values. No in-analysis train/test split was performed; the provided test files were held out entirely from model development and used only for final evaluation.</w:t>
      </w:r>
    </w:p>
    <w:p>
      <w:r>
        <w:t>For both models, the analytic cohort was restricted to participants without prevalent diabetes at baseline. Specifically, the following exclusion criteria were applied independently to each file: (1) participants with a missing baseline HbA1c value (HBAC_T1) were excluded; (2) participants with prevalent diabetes at baseline (defined as HbA1c &gt; 6.5%, encoded in the variable DIABETES_T1) were excluded, so that the prediction task reflects genuinely incident (new-onset) diabetes rather than persistence of an existing diagnosis; (3) participants with a missing outcome flag at the relevant follow-up visit were excluded. Model B's cohort construction and feature set never reference any T2-derived variable, so that predictions for the T1→T3 horizon rely exclusively on information available at baseline, with no intermediate (T2) data leakage.</w:t>
      </w:r>
    </w:p>
    <w:p>
      <w:pPr>
        <w:pStyle w:val="Heading2"/>
      </w:pPr>
      <w:r>
        <w:t>Outcome Definition</w:t>
      </w:r>
    </w:p>
    <w:p>
      <w:r>
        <w:t>The binary outcome for each model was diabetes status at the respective follow-up visit, defined as glycated hemoglobin (HbA1c) exceeding 6.5% (variables DIABETES_T2 and DIABETES_T3 for Models A and B, respectively). These flags were provided directly by the upstream data-preparation pipeline and were confirmed to correspond exactly to an HbA1c threshold of 6.5% in the available data; they were treated as the canonical outcome definition to remain consistent with any future refinement of upstream diabetes-ascertainment criteria (e.g., incorporation of diabetes medication use).</w:t>
      </w:r>
    </w:p>
    <w:p>
      <w:r>
        <w:t>After cohort exclusions, outcome prevalence was low: 1.0% in Model A (both train and test files) and approximately 2.7% in Model B (both train and test files), reflecting the intended focus on incident, relatively rare, disease onset.</w:t>
      </w:r>
    </w:p>
    <w:p>
      <w:pPr>
        <w:pStyle w:val="Heading2"/>
      </w:pPr>
      <w:r>
        <w:t>Predictor Variables</w:t>
      </w:r>
    </w:p>
    <w:p>
      <w:r>
        <w:t>All variables measured at baseline (T1) were used as candidate predictors, identified programmatically as every column whose name ends in the suffix “_T1”, together with its corresponding missingness-indicator companion column (suffix “_T1_MISSING”) where present. Baseline HbA1c (HBAC_T1) was retained as a continuous predictor. No manual curation of the baseline feature set was performed beyond this systematic rule, since predictor selection had already been performed upstream.</w:t>
      </w:r>
    </w:p>
    <w:p>
      <w:r>
        <w:t>One baseline variable, DIABETES_T1, was explicitly excluded from the predictor set: because the cohort was restricted to DIABETES_T1 = 0 by the exclusion criteria above, this variable is constant within the analytic cohort by construction and therefore carries no information. A generic zero-variance check was additionally applied to the training data of each model (with the same columns then removed from the corresponding test data) to catch any other structurally constant predictor. Static, non-time-indexed baseline variables (e.g. sex, smoking status, family history of diabetes, socioeconomic status) were excluded from the default predictor set to keep it restricted to explicitly baseline (T1) longitudinal measurements; this is a configurable option in the analysis code.</w:t>
      </w:r>
    </w:p>
    <w:p>
      <w:r>
        <w:t>Model A and Model B used an identical predictor set (verified programmatically), differing only in their cohort membership and outcome. After the exclusions above, 23 predictor variables were used per model.</w:t>
      </w:r>
    </w:p>
    <w:p>
      <w:pPr>
        <w:pStyle w:val="Heading2"/>
      </w:pPr>
      <w:r>
        <w:t>Data Preprocessing</w:t>
      </w:r>
    </w:p>
    <w:p>
      <w:r>
        <w:t>The provided training and test files contained no missing values. Each model pipeline nonetheless included a preprocessing step, implemented as a column transformer fitted separately within each cross-validation fold: numeric predictors were standardized (zero mean, unit variance) for the logistic regression model, and passed through unmodified for the tree-based models, which do not require feature scaling; any non-numeric (categorical) predictor would be one-hot encoded automatically, with unseen categories at prediction time handled gracefully. In the dataset analyzed here all baseline predictors were numeric, so the categorical-encoding branch of the pipeline was not exercised, but the pipeline is designed to generalize to categorical baseline predictors without modification.</w:t>
      </w:r>
    </w:p>
    <w:p>
      <w:pPr>
        <w:pStyle w:val="Heading2"/>
      </w:pPr>
      <w:r>
        <w:t>Class Imbalance Handling</w:t>
      </w:r>
    </w:p>
    <w:p>
      <w:r>
        <w:t>Given the low outcome prevalence in both cohorts, the Synthetic Minority Oversampling Technique (SMOTE) was applied to the training data within each model pipeline. SMOTE was integrated as a pipeline step that is applied only during model fitting and is automatically bypassed at prediction time, so that validation and test data were never synthetically resampled. The number of nearest neighbors used by SMOTE was capped adaptively based on the number of minority-class observations available in each training fold, to remain valid when fold-level minority counts were small.</w:t>
      </w:r>
    </w:p>
    <w:p>
      <w:pPr>
        <w:pStyle w:val="Heading2"/>
      </w:pPr>
      <w:r>
        <w:t>Model Development</w:t>
      </w:r>
    </w:p>
    <w:p>
      <w:r>
        <w:t>Three classification algorithms were evaluated for each outcome: (1) logistic regression with elastic-net regularization (saga solver), (2) random forest, and (3) gradient-boosted trees (XGBoost). Each algorithm was wrapped in an identical preprocessing → SMOTE → classifier pipeline, differing only in the final estimator and its preprocessing requirements as described above.</w:t>
      </w:r>
    </w:p>
    <w:p>
      <w:pPr>
        <w:pStyle w:val="Heading2"/>
      </w:pPr>
      <w:r>
        <w:t>Hyperparameter Optimization</w:t>
      </w:r>
    </w:p>
    <w:p>
      <w:r>
        <w:t>Hyperparameters for each algorithm were tuned using Bayesian optimization (Optuna, Tree-structured Parzen Estimator sampler) with a median pruner to terminate unpromising trials early. For each model/algorithm combination, the search was evaluated using 5-fold stratified cross-validation within the training file only, with the mean area under the precision-recall curve (AUPRC) across folds as the optimization objective — chosen over AUROC given the low outcome prevalence. Twenty optimization trials were run per model/algorithm combination (configurable). The tuned hyperparameters were then used to refit each model on the entirety of its training file.</w:t>
      </w:r>
    </w:p>
    <w:p>
      <w:r>
        <w:rPr>
          <w:b/>
        </w:rPr>
        <w:t xml:space="preserve">Search spaces. </w:t>
      </w:r>
      <w:r>
        <w:t>Logistic regression: inverse regularization strength C (log-uniform, 0.001–100) and elastic-net mixing ratio l1_ratio (uniform, 0–1). Random forest: number of trees (100–500), maximum depth (2–20), minimum samples per leaf (1–20), and the fraction of features considered per split (0.3–1.0). XGBoost: number of trees (100–500), maximum depth (2–10), learning rate (log-uniform, 0.001–0.3), row subsample ratio (0.5–1.0), column subsample ratio per tree (0.5–1.0), and L2 regularization strength (log-uniform, 0.001–10).</w:t>
      </w:r>
    </w:p>
    <w:p>
      <w:pPr>
        <w:pStyle w:val="Heading2"/>
      </w:pPr>
      <w:r>
        <w:t>Decision Threshold Selection</w:t>
      </w:r>
    </w:p>
    <w:p>
      <w:r>
        <w:t>Because precision and recall require a classification threshold, and a default threshold of 0.5 would be inappropriate given the low outcome prevalence observed, a threshold was instead selected to maximize the F1 score. This threshold was derived from out-of-fold predicted probabilities generated via 5-fold stratified cross-validation on the training data only, using the tuned hyperparameters; the test file was never used in threshold selection.</w:t>
      </w:r>
    </w:p>
    <w:p>
      <w:pPr>
        <w:pStyle w:val="Heading2"/>
      </w:pPr>
      <w:r>
        <w:t>Model Evaluation</w:t>
      </w:r>
    </w:p>
    <w:p>
      <w:r>
        <w:t>Each tuned, fully trained model was evaluated exactly once, on its corresponding held-out test file, which was not used at any stage of training, hyperparameter tuning, or threshold selection. Reported performance metrics were the area under the receiver operating characteristic curve (AUROC) and the area under the precision-recall curve (AUPRC), both threshold-independent, together with precision and recall computed at the F1-optimal threshold. Ninety-five percent confidence intervals for all four metrics were obtained by bootstrap resampling (500 resamples, stratified by class where applicable) of the test-set predictions.</w:t>
      </w:r>
    </w:p>
    <w:p>
      <w:pPr>
        <w:pStyle w:val="Heading2"/>
      </w:pPr>
      <w:r>
        <w:t>Model Interpretation</w:t>
      </w:r>
    </w:p>
    <w:p>
      <w:r>
        <w:t>Feature importance was assessed using SHAP (SHapley Additive exPlanations) values, computed on the preprocessed test-set predictors of the final, fully trained model for each model/algorithm combination. TreeExplainer was used for the random forest and XGBoost models; LinearExplainer was used for the logistic regression model. Results are visualized as beeswarm summary plots, ranking predictors by their mean absolute contribution to the predicted probability of the outcome.</w:t>
      </w:r>
    </w:p>
    <w:p>
      <w:pPr>
        <w:pStyle w:val="Heading2"/>
      </w:pPr>
      <w:r>
        <w:t>Calibration Assessment</w:t>
      </w:r>
    </w:p>
    <w:p>
      <w:r>
        <w:t>Calibration of predicted probabilities was assessed on the test-set predictions for each model/algorithm combination using calibration curves (ten quantile-based bins) and the Brier score, to evaluate whether predicted probabilities were consistent with observed outcome frequencies.</w:t>
      </w:r>
    </w:p>
    <w:p>
      <w:pPr>
        <w:pStyle w:val="Heading2"/>
      </w:pPr>
      <w:r>
        <w:t>Software Implementation</w:t>
      </w:r>
    </w:p>
    <w:p>
      <w:r>
        <w:t>All analyses were implemented in Python 3.12 using pandas for data handling; scikit-learn for preprocessing, cross-validation, and the logistic regression and random forest models; imbalanced-learn for SMOTE-based resampling pipelines; XGBoost for gradient-boosted tree models; Optuna for Bayesian hyperparameter optimization; and SHAP for model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