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Helvetica" w:hAnsi="Helvetica" w:cs="Helvetica" w:eastAsia="Helvetica"/>
          <w:b/>
          <w:color w:val="142A4B"/>
          <w:sz w:val="52"/>
        </w:rPr>
        <w:t>ALDER CREEK TRANSIT DISTRICT</w:t>
      </w:r>
    </w:p>
    <w:p>
      <w:pPr>
        <w:spacing w:before="0" w:after="40" w:line="264" w:lineRule="auto"/>
        <w:jc w:val="center"/>
      </w:pPr>
      <w:r>
        <w:rPr>
          <w:rFonts w:ascii="Helvetica" w:hAnsi="Helvetica" w:cs="Helvetica" w:eastAsia="Helvetica"/>
          <w:b/>
          <w:i/>
          <w:color w:val="B8862E"/>
          <w:sz w:val="22"/>
        </w:rPr>
        <w:t>A Public Agency</w:t>
      </w:r>
    </w:p>
    <w:p>
      <w:pPr>
        <w:spacing w:before="0" w:after="280" w:line="288" w:lineRule="auto"/>
        <w:jc w:val="center"/>
      </w:pPr>
      <w:r>
        <w:rPr>
          <w:rFonts w:ascii="Helvetica" w:hAnsi="Helvetica" w:cs="Helvetica" w:eastAsia="Helvetica"/>
          <w:color w:val="5B6B7D"/>
          <w:sz w:val="18"/>
        </w:rPr>
        <w:t>1200 Alder Creek Way, Rivergate, CA 91766   ·   (626) 555-0100</w:t>
      </w:r>
    </w:p>
    <w:p>
      <w:pPr>
        <w:spacing w:before="0" w:after="360" w:line="264" w:lineRule="auto"/>
        <w:jc w:val="center"/>
        <w:pBdr>
          <w:bottom w:val="single" w:sz="14" w:space="6" w:color="142A4B"/>
        </w:pBdr>
      </w:pPr>
      <w:r>
        <w:rPr>
          <w:rFonts w:ascii="Helvetica" w:hAnsi="Helvetica" w:cs="Helvetica" w:eastAsia="Helvetica"/>
          <w:b/>
          <w:i/>
          <w:color w:val="142A4B"/>
          <w:sz w:val="20"/>
        </w:rPr>
        <w:t>Human Resources Department</w:t>
      </w:r>
    </w:p>
    <w:p>
      <w:pPr>
        <w:pBdr>
          <w:bottom w:val="single" w:sz="8" w:space="1" w:color="000000"/>
        </w:pBdr>
        <w:spacing w:before="0" w:after="0" w:line="300" w:lineRule="auto"/>
      </w:pPr>
    </w:p>
    <w:p>
      <w:pPr>
        <w:spacing w:before="0" w:after="40" w:line="240" w:lineRule="auto"/>
        <w:jc w:val="center"/>
        <w:pBdr>
          <w:top w:val="single" w:sz="18" w:space="4" w:color="B8862E"/>
        </w:pBdr>
        <w:pBdr>
          <w:bottom w:val="single" w:sz="6" w:space="6" w:color="142A4B"/>
        </w:pBdr>
      </w:pPr>
      <w:r>
        <w:rPr>
          <w:rFonts w:ascii="Helvetica" w:hAnsi="Helvetica" w:cs="Helvetica" w:eastAsia="Helvetica"/>
          <w:b/>
          <w:color w:val="142A4B"/>
          <w:sz w:val="36"/>
        </w:rPr>
        <w:t>PERSONNEL FILE SUMMARY</w:t>
      </w:r>
    </w:p>
    <w:p>
      <w:pPr>
        <w:spacing w:after="0" w:before="0" w:line="264" w:lineRule="auto"/>
        <w:jc w:val="center"/>
        <w:shd w:val="clear" w:color="auto" w:fill="8A1C1C"/>
        <w:ind w:left="120" w:right="120"/>
      </w:pPr>
      <w:r>
        <w:rPr>
          <w:rFonts w:ascii="Helvetica" w:hAnsi="Helvetica" w:cs="Helvetica" w:eastAsia="Helvetica"/>
          <w:b/>
          <w:color w:val="FFFFFF"/>
          <w:sz w:val="19"/>
        </w:rPr>
        <w:t>CONFIDENTIAL — INTERNAL HR USE ONLY</w:t>
      </w:r>
    </w:p>
    <w:p>
      <w:pPr>
        <w:spacing w:after="280" w:before="0" w:line="288" w:lineRule="auto"/>
        <w:jc w:val="center"/>
      </w:pPr>
      <w:r>
        <w:rPr>
          <w:rFonts w:ascii="Helvetica" w:hAnsi="Helvetica" w:cs="Helvetica" w:eastAsia="Helvetica"/>
          <w:i/>
          <w:color w:val="5B6B7D"/>
          <w:sz w:val="17"/>
        </w:rPr>
        <w:t>Do not release without written authorization from ACTD General Counsel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Employee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Raymond T. Keeler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Badge Number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4417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Date of Birth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04/11/1979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Home Address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1837 Alameda Street, Apt 4C, Rivergate, CA 91766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Classification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Bus Operator — Owl service qualified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Current Bid / Assignment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 (block ID 512-OWL)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Reporting Division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Operations — Rivergate Yard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Prepared By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ACTD Human Resources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Date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 as of 10/24/2025</w:t>
            </w:r>
          </w:p>
        </w:tc>
      </w:tr>
    </w:tbl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1.  Employment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777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Event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03/2019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Hired — Bus Operator (Trainee), Operator Class 45 cohort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06/2019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Completed initial operator training academy; released to line service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07/2019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Passed 90-day probationary review (satisfactory)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Owl-service qualified after completion of night-service module and supervised road check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Route 227 (weekday afternoon)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Owl Route 511 (nights)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Most recent bid awarded —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(nights, current assignment)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Continuous service since date of hire; no breaks in employment. Position and title unchanged since release from probation (Bus Operator, Step 6 of 8 as of the current fiscal year).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2.  Licensing &amp; Medical Certification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547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California commercial driver's license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Class B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,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Endorsements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Passenger (P) endorsement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Restrictions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Corrective lenses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CDL issue / expiry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Original issue 02/2019; current renewal cycle expires 04/11/2028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DOT medical examiner's certificate (49 CFR § 391.43)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2-year card, examined by an FMCSA-listed certified medical examiner; next re-examination due within the standard interval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employer pull-notice enrollment (Veh.C. § 1808.1)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Enrolled continuously since date of hire; reports on file per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pull-notice program (the Keeler DMV Driving Record)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DMV pull-notice record and CDL/medical card copies are maintained in the licensing subfolder of this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3.  Training Records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Annual and recurrent training is tracked on the operator learning-management dashboard. The following courses have been completed in each calendar year since date of hire (2019 through 2025):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Drug &amp; Alcohol Awareness — Reasonable-Suspicion / DUI-Awareness for Safety-Sensitive Employees</w:t>
      </w:r>
      <w:r>
        <w:rPr>
          <w:rFonts w:ascii="Helvetica" w:hAnsi="Helvetica" w:cs="Helvetica" w:eastAsia="Helvetica"/>
          <w:color w:val="1F2A37"/>
          <w:sz w:val="20"/>
        </w:rPr>
        <w:t xml:space="preserve"> (49 CFR § 382.601 supervisor curriculum, employee module) — completed annually, most recent completion within the current year.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Defensive driving refresher (Smith System)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Passenger-assist and mobility-device securement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Bloodborne pathogens / exposure control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evacuation &amp; fire extinguisher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ADA sensitivity — biennially.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Fatigue management and hours-of-service awareness — completed at Owl-service qualification (2021) and repeated with each Owl bid.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training deficiencies or lapsed certifications are recorded.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4.  Performance Reviews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Cycle</w:t>
            </w:r>
          </w:p>
        </w:tc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Rating</w:t>
            </w:r>
          </w:p>
        </w:tc>
        <w:tc>
          <w:tcPr>
            <w:tcW w:type="dxa" w:w="403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2019 (probationary)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Satisfactory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Released from probation on schedule.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2020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On-time performance within division mean.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qualification granted.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2023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Expectations, with note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Written warning issued for tardiness (see Section 5).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 repeat tardiness in reporting year.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 (interim)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Passenger commendations on file: two (2), both for courteous fare-mediation handling.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5.  Discipline History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complete disciplinary record consists of: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Written warning — tardiness (issued 04/12/2023).</w:t>
      </w:r>
      <w:r>
        <w:rPr>
          <w:rFonts w:ascii="Helvetica" w:hAnsi="Helvetica" w:cs="Helvetica" w:eastAsia="Helvetica"/>
          <w:color w:val="1F2A37"/>
          <w:sz w:val="20"/>
        </w:rPr>
        <w:t xml:space="preserve"> Cumulative late clock-in incidents over the prior 60-day window exceeded the divisional threshold under the collective-bargaining discipline matrix. Warning issued by Operations Supervisor. Progressive-discipline clock ran and cleared without further tardiness incidents; no follow-on action required.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other written discipline of any kind is on file. There are no safety terminations, no preventable-collision suspensions, no fitness-for-duty removals, and no prior DUI or alcohol-related incidents on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6.  DOT § 655 Compliance History (49 CFR Part 655)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Keeler is a covered safety-sensitive employee under the FTA drug-and-alcohol testing rule.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Test type</w:t>
            </w:r>
          </w:p>
        </w:tc>
        <w:tc>
          <w:tcPr>
            <w:tcW w:type="dxa" w:w="633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History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Pre-employment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Conducted 02/2019 — Negative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(alcohol)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(below 0.02 g/210L threshold)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Reasonable-suspicion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Return-to-duty / follow-up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Post-accident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See separate compliance file (the DOT Post-Accident Test Record)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All random selections prior to the collision of 10/18/2025 resulted in verified-negative results. Chain-of-custody forms, MRO verifications, and BAT/STT records for each event are retained by ACTD Compliance in the § 655 archive.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7.  Emergency Contact &amp; Personal Data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Home address:</w:t>
      </w:r>
      <w:r>
        <w:rPr>
          <w:rFonts w:ascii="Helvetica" w:hAnsi="Helvetica" w:cs="Helvetica" w:eastAsia="Helvetica"/>
          <w:color w:val="1F2A37"/>
          <w:sz w:val="20"/>
        </w:rPr>
        <w:t xml:space="preserve"> 1837 Alameda Street, Apt 4C, Rivergate, CA 91766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Date of birth:</w:t>
      </w:r>
      <w:r>
        <w:rPr>
          <w:rFonts w:ascii="Helvetica" w:hAnsi="Helvetica" w:cs="Helvetica" w:eastAsia="Helvetica"/>
          <w:color w:val="1F2A37"/>
          <w:sz w:val="20"/>
        </w:rPr>
        <w:t xml:space="preserve"> 04/11/1979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contact information and dependent enrollment are maintained on the confidential HR insert page and are omitted from this summary.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8.  Custody &amp; Handling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Original file custody: ACTD Human Resources, Records Room 2B.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Access log required for any external release. Any request for production of this file, including subpoena, third-party discovery, or public-records request, must be routed to ACTD General Counsel before response.</w:t>
      </w:r>
    </w:p>
    <w:p>
      <w:pPr>
        <w:spacing w:before="280" w:after="0" w:line="300" w:lineRule="auto"/>
        <w:jc w:val="center"/>
      </w:pPr>
      <w:r>
        <w:rPr>
          <w:rFonts w:ascii="Helvetica" w:hAnsi="Helvetica" w:cs="Helvetica" w:eastAsia="Helvetica"/>
          <w:b/>
          <w:i/>
          <w:color w:val="5B6B7D"/>
          <w:sz w:val="18"/>
        </w:rPr>
        <w:t>— End of Summary —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