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The internal investigation finds that Operator Keeler was operating his assigned Owl Route 512 block per the official Fall 2025 Sign run schedule, and that the AVL/GPS telemetry places the coach on the published route and at the published S. Main / Third timepoint at the moment of the collision. The course-and-scope determination is therefore that Operator Keeler was operating his assigned Owl Route 512 block at the time of the collision, consistent with the official run schedule and AVL/GPS telemetry. 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 pre-trip yard sheet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 EMS run sheets</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pre-trip yard sheet, the fleet dispatch log, and the Fleet Maintenance daily assignment record;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coincident with the published S. Main / Third control-point timepoint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the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the APC/farebox export and on-scene EMS run sheets for the passenger roster,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val="0"/>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Div. 3 pre-trip yard sheet, the fleet dispatch log, the daily block assignment sheet, and Operator Keeler's bid award (Owl Sr. Board Line 12). Bus-to-block assignment for Block 512-OWL on this service night reconciles to the Div. 3 pre-trip yard sheet, the fleet dispatch log, and the daily block assignment sheet.</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and pre-trip yard sheet,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