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The internal investigation finds that Operator Keeler was operating his assigned Owl Route 512 block per the official Fall 2025 Sign run schedule, and that the AVL/GPS telemetry places the coach on the published route and at the published S. Main / Third timepoint at the moment of the collision. The course-and-scope determination is therefore that Operator Keeler was operating his assigned Owl Route 512 block at the time of the collision, consistent with the official run schedule and AVL/GPS telemetry. This Final Incident Report is the report of record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 pre-trip yard sheet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 EMS run sheets</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pre-trip yard sheet, the fleet dispatch log, and the Fleet Maintenance daily assignment record;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coincident with the published S. Main / Third control-point timepoint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the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the APC/farebox export and on-scene EMS run sheets for the passenger roster,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val="0"/>
          <w:sz w:val="21"/>
        </w:rPr>
        <w:t>Precipitating factor — operator impairment (alcohol).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sz w:val="21"/>
        </w:rPr>
        <w:t>The operational records for the 10/17/2025 → 10/18/2025 service night include the Fall 2025 Sign run schedule, the AVL/GPS track from Bus #4177, the Div. 3 pre-trip yard sheet, the fleet dispatch log, the daily block assignment sheet, and Operator Keeler's bid award (Owl Sr. Board Line 12). Bus-to-block assignment for Block 512-OWL on this service night reconciles to the Div. 3 pre-trip yard sheet, the fleet dispatch log, and the daily block assignment sheet.</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and pre-trip yard sheet,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video (forward-facing and cabin-facing), Bus #4177, 10/18/2025 01:59–02:07 (preserved).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of record for Incident No. ACTD-IR-2025-1018, that it has been prepared following completion of the internal safety investigation and after receipt of the certified evidentiary blood-BAC result from the Los Angeles County Sheriff's Department Scientific Services Bureau.</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