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at the moment of the collision, running ahead of the published S. Main / Third control-point timepoint.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01:31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01:31–02:04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fleet dispatch log (which records the pre-trip completion entry)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Bus #4177's Fleet Maintenance history at Div. 3, most recently serviced 10/10/2025 (eight days before the collision), reflects no open or pre-existing steering, braking, suspension, tire, or lighting defect that would have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approximately 4 minutes ahead of the published S. Main / Third control-point timepoint (02:09) for Trip 06.</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fleet dispatch log, the daily block assignment sheet, and Operator Keeler's bid award (Owl Sr. Board Line 12). Bus-to-block assignment for Block 512-OWL on this service night reconciles to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(same workbook as above, 'Authorized Owl Routes' tab;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Fleet Maintenance service and inspection history (Div. 3; most recent service 10/10/2025).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01:30–02:07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