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1" w:lineRule="auto" w:before="40" w:after="200"/>
        <w:jc w:val="center"/>
        <w:pBdr>
          <w:bottom w:val="single" w:sz="6" w:space="1" w:color="000000"/>
        </w:pBd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p>
      <w:pPr>
        <w:spacing w:before="120" w:after="40" w:line="341" w:lineRule="auto"/>
        <w:jc w:val="center"/>
      </w:pPr>
      <w:r>
        <w:rPr>
          <w:rFonts w:ascii="Helvetica" w:hAnsi="Helvetica" w:cs="Helvetica" w:eastAsia="Helvetica"/>
          <w:b/>
          <w:i w:val="0"/>
          <w:color w:val="1B2A4E"/>
          <w:sz w:val="40"/>
          <w:spacing w:val="20"/>
        </w:rPr>
        <w:t>ALDER CREEK TRANSIT DISTRICT — RISK &amp; CLAIMS</w:t>
      </w:r>
    </w:p>
    <w:p>
      <w:pPr>
        <w:spacing w:after="120" w:line="341" w:lineRule="auto" w:before="0"/>
        <w:jc w:val="center"/>
        <w:pBdr>
          <w:bottom w:val="single" w:sz="8" w:space="6" w:color="C9B58A"/>
        </w:pBdr>
      </w:pPr>
      <w:r>
        <w:rPr>
          <w:rFonts w:ascii="Helvetica" w:hAnsi="Helvetica" w:cs="Helvetica" w:eastAsia="Helvetica"/>
          <w:b w:val="0"/>
          <w:i w:val="0"/>
          <w:color w:val="5C6370"/>
          <w:sz w:val="19"/>
          <w:spacing w:val="30"/>
        </w:rPr>
        <w:t>1200 Alder Creek Way, Rivergate, CA 91766</w:t>
      </w:r>
    </w:p>
    <w:p>
      <w:pPr>
        <w:spacing w:before="200" w:line="341" w:lineRule="auto" w:after="280"/>
        <w:jc w:val="center"/>
        <w:pBdr>
          <w:bottom w:val="single" w:sz="6" w:space="1" w:color="000000"/>
        </w:pBdr>
      </w:pPr>
      <w:r>
        <w:rPr>
          <w:rFonts w:ascii="Helvetica" w:hAnsi="Helvetica" w:cs="Helvetica" w:eastAsia="Helvetica"/>
          <w:b/>
          <w:i w:val="0"/>
          <w:color w:val="A86A2D"/>
          <w:sz w:val="26"/>
          <w:spacing w:val="80"/>
        </w:rPr>
        <w:t>PRELIMINARY LIABILITY &amp; RESERVE NOTE</w:t>
      </w:r>
    </w:p>
    <w:tbl>
      <w:tblPr>
        <w:tblW w:type="auto" w:w="0"/>
        <w:tblLayout w:type="fixed"/>
        <w:tblLook w:firstColumn="1" w:firstRow="1" w:lastColumn="0" w:lastRow="0" w:noHBand="0" w:noVBand="1" w:val="04A0"/>
        <w:tblBorders>
          <w:top w:val="single" w:sz="4" w:space="0" w:color="C9B58A"/>
          <w:left w:val="nil"/>
          <w:bottom w:val="single" w:sz="4" w:space="0" w:color="C9B58A"/>
          <w:right w:val="nil"/>
          <w:insideH w:val="nil"/>
          <w:insideV w:val="nil"/>
        </w:tblBorders>
      </w:tblPr>
      <w:tblGrid>
        <w:gridCol w:w="2736"/>
        <w:gridCol w:w="6624"/>
      </w:tblGrid>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File / Claim No.:</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ACTD-2025-1018-KEELER (matter file). Individual claim nos. not yet assigned; no Gov. Code § 910 claims presented as of this writing.</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Date: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10/18/2025 (Sat), ~02:05 a.m.</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Location:</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S. Main Street at Third Avenue, Rivergate</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Insured / Operator:</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Alder Creek Transit District / Raymond T. Keeler, Badge #4417</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Unit:</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 Bus #4177 (Owl service, Route 512 block 512-OWL)</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Prepared by:</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Kendra Briggs, Junior Claims Adjuster</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Date of note: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10/28/2025</w:t>
            </w:r>
          </w:p>
        </w:tc>
      </w:tr>
    </w:tbl>
    <w:p>
      <w:pPr>
        <w:spacing w:after="140" w:line="341" w:lineRule="auto" w:before="0"/>
        <w:pBdr>
          <w:bottom w:val="single" w:sz="6" w:space="1" w:color="000000"/>
        </w:pBdr>
      </w:pP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1. Purpose</w:t>
      </w:r>
    </w:p>
    <w:p>
      <w:pPr>
        <w:spacing w:after="140" w:line="341" w:lineRule="auto" w:before="0"/>
      </w:pPr>
      <w:r>
        <w:rPr>
          <w:rFonts w:ascii="Helvetica" w:hAnsi="Helvetica" w:cs="Helvetica" w:eastAsia="Helvetica"/>
          <w:b w:val="0"/>
          <w:i w:val="0"/>
          <w:color w:val="21252B"/>
          <w:sz w:val="21"/>
        </w:rPr>
        <w:t>This is a first-pass liability and reserve note opened in the ordinary course of the claims file, pending receipt of the lab-confirmed evidentiary blood BAC, the completed District safety investigation, and any workup of the pedestrian's long-term medical picture. The purpose is to seat an opening reserve so the file can be tracked in the claims system and reported up at month-end.</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2. Sources reviewed</w:t>
      </w:r>
    </w:p>
    <w:p>
      <w:pPr>
        <w:pStyle w:val="ListBullet"/>
        <w:spacing w:after="140" w:line="341" w:lineRule="auto" w:before="0"/>
      </w:pPr>
      <w:r>
        <w:rPr>
          <w:rFonts w:ascii="Helvetica" w:hAnsi="Helvetica" w:cs="Helvetica" w:eastAsia="Helvetica"/>
          <w:b w:val="0"/>
          <w:i w:val="0"/>
          <w:color w:val="21252B"/>
          <w:sz w:val="21"/>
        </w:rPr>
        <w:t>Rivergate PD Traffic Collision Report No. TC-2025-1018 (Ofc. R. Delacruz #2814) — reviewed in draft form as provided by RPD Records on 10/24/2025.</w:t>
      </w:r>
    </w:p>
    <w:p>
      <w:pPr>
        <w:pStyle w:val="ListBullet"/>
        <w:spacing w:after="140" w:line="341" w:lineRule="auto" w:before="0"/>
      </w:pPr>
      <w:r>
        <w:rPr>
          <w:rFonts w:ascii="Helvetica" w:hAnsi="Helvetica" w:cs="Helvetica" w:eastAsia="Helvetica"/>
          <w:b w:val="0"/>
          <w:i w:val="0"/>
          <w:color w:val="21252B"/>
          <w:sz w:val="21"/>
        </w:rPr>
        <w:t>On-scene EMS run sheets (Rivergate FD paramedics) — three occupants of Bus #4177 identified; two transported for evaluation, one refused transport.</w:t>
      </w:r>
    </w:p>
    <w:p>
      <w:pPr>
        <w:pStyle w:val="ListBullet"/>
        <w:spacing w:after="140" w:line="341" w:lineRule="auto" w:before="0"/>
      </w:pPr>
      <w:r>
        <w:rPr>
          <w:rFonts w:ascii="Helvetica" w:hAnsi="Helvetica" w:cs="Helvetica" w:eastAsia="Helvetica"/>
          <w:b w:val="0"/>
          <w:i w:val="0"/>
          <w:color w:val="21252B"/>
          <w:sz w:val="21"/>
        </w:rPr>
        <w:t>Airlift transport record for the struck pedestrian (Y. Reyes) to Rivergate Regional Trauma Center — patient status critical on transport; no discharge or diagnostic summary yet in file.</w:t>
      </w:r>
    </w:p>
    <w:p>
      <w:pPr>
        <w:pStyle w:val="ListBullet"/>
        <w:spacing w:after="140" w:line="341" w:lineRule="auto" w:before="0"/>
      </w:pPr>
      <w:r>
        <w:rPr>
          <w:rFonts w:ascii="Helvetica" w:hAnsi="Helvetica" w:cs="Helvetica" w:eastAsia="Helvetica"/>
          <w:b w:val="0"/>
          <w:i w:val="0"/>
          <w:color w:val="21252B"/>
          <w:sz w:val="21"/>
        </w:rPr>
        <w:t>Dispatch call-log excerpt (10/18/2025, 02:07–02:40 a.m.) provided by night desk.</w:t>
      </w:r>
    </w:p>
    <w:p>
      <w:pPr>
        <w:pStyle w:val="ListBullet"/>
        <w:spacing w:after="140" w:line="341" w:lineRule="auto" w:before="0"/>
      </w:pPr>
      <w:r>
        <w:rPr>
          <w:rFonts w:ascii="Helvetica" w:hAnsi="Helvetica" w:cs="Helvetica" w:eastAsia="Helvetica"/>
          <w:b w:val="0"/>
          <w:i w:val="0"/>
          <w:color w:val="21252B"/>
          <w:sz w:val="21"/>
        </w:rPr>
        <w:t>ACTD Bus #4177 assignment printout for the shift (pull-out 10/17/2025 22:15).</w:t>
      </w:r>
    </w:p>
    <w:p>
      <w:pPr>
        <w:spacing w:after="140" w:line="341" w:lineRule="auto" w:before="0"/>
      </w:pPr>
      <w:r>
        <w:rPr>
          <w:rFonts w:ascii="Helvetica" w:hAnsi="Helvetica" w:cs="Helvetica" w:eastAsia="Helvetica"/>
          <w:b w:val="0"/>
          <w:i w:val="0"/>
          <w:color w:val="21252B"/>
          <w:sz w:val="21"/>
        </w:rPr>
        <w:t xml:space="preserve">Items </w:t>
      </w:r>
      <w:r>
        <w:rPr>
          <w:rFonts w:ascii="Helvetica" w:hAnsi="Helvetica" w:cs="Helvetica" w:eastAsia="Helvetica"/>
          <w:b w:val="0"/>
          <w:i w:val="0"/>
          <w:color w:val="21252B"/>
          <w:sz w:val="21"/>
        </w:rPr>
        <w:t>not yet</w:t>
      </w:r>
      <w:r>
        <w:rPr>
          <w:rFonts w:ascii="Helvetica" w:hAnsi="Helvetica" w:cs="Helvetica" w:eastAsia="Helvetica"/>
          <w:b w:val="0"/>
          <w:i w:val="0"/>
          <w:color w:val="21252B"/>
          <w:sz w:val="21"/>
        </w:rPr>
        <w:t xml:space="preserve"> in file at this writing: certified County Crime Lab blood BAC report (drawn ~03:10 a.m. 10/18; lab turnaround pending); final supervisor-reviewed District incident report; Director of Safety course-and-scope determination; any life-care or vocational workup for Reyes; itemized medical bills or paid-loss figures for any claimant; Government Code § 910 claim presentations.</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3. Facts as presently understood</w:t>
      </w:r>
    </w:p>
    <w:p>
      <w:pPr>
        <w:pStyle w:val="ListBullet"/>
        <w:spacing w:after="140" w:line="341" w:lineRule="auto" w:before="0"/>
      </w:pPr>
      <w:r>
        <w:rPr>
          <w:rFonts w:ascii="Helvetica" w:hAnsi="Helvetica" w:cs="Helvetica" w:eastAsia="Helvetica"/>
          <w:b w:val="0"/>
          <w:i w:val="0"/>
          <w:color w:val="21252B"/>
          <w:sz w:val="21"/>
        </w:rPr>
        <w:t>Operator condition. Roadside preliminary alcohol screening (PBT) administered by RPD at the scene at approximately 02:15 a.m. produced a reading of 0.11% BrAC. Operator was placed under arrest at approximately 02:35 a.m. and transported for an evidentiary blood draw. Certified lab result not yet available.</w:t>
      </w:r>
      <w:r>
        <w:rPr>
          <w:rFonts w:ascii="Helvetica" w:hAnsi="Helvetica" w:cs="Helvetica" w:eastAsia="Helvetica"/>
          <w:b w:val="0"/>
          <w:i w:val="0"/>
          <w:color w:val="21252B"/>
          <w:sz w:val="21"/>
        </w:rPr>
      </w:r>
      <w:r>
        <w:rPr>
          <w:rFonts w:ascii="Helvetica" w:hAnsi="Helvetica" w:cs="Helvetica" w:eastAsia="Helvetica"/>
          <w:b w:val="0"/>
          <w:i w:val="0"/>
          <w:color w:val="21252B"/>
          <w:sz w:val="21"/>
        </w:rPr>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Sequence. Per the RPD narrative, the bus departed the northbound curb lane of S. Main Street, struck a City-owned street-light standard at the northeast corner of Main and Third (fixture de-energized on impact), and then struck a pedestrian standing at the ACTD bus stop approximately 40 ft north of the Third Avenue north curb line.</w:t>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Occupancy.</w:t>
      </w:r>
      <w:r>
        <w:rPr>
          <w:rFonts w:ascii="Helvetica" w:hAnsi="Helvetica" w:cs="Helvetica" w:eastAsia="Helvetica"/>
          <w:b w:val="0"/>
          <w:i w:val="0"/>
          <w:color w:val="21252B"/>
          <w:sz w:val="21"/>
        </w:rPr>
        <w:t xml:space="preserve"> EMS and the responding RPD officer report </w:t>
      </w:r>
      <w:r>
        <w:rPr>
          <w:rFonts w:ascii="Helvetica" w:hAnsi="Helvetica" w:cs="Helvetica" w:eastAsia="Helvetica"/>
          <w:b w:val="0"/>
          <w:i w:val="0"/>
          <w:color w:val="21252B"/>
          <w:sz w:val="21"/>
        </w:rPr>
        <w:t>three (3) aboard</w:t>
      </w:r>
      <w:r>
        <w:rPr>
          <w:rFonts w:ascii="Helvetica" w:hAnsi="Helvetica" w:cs="Helvetica" w:eastAsia="Helvetica"/>
          <w:b w:val="0"/>
          <w:i w:val="0"/>
          <w:color w:val="21252B"/>
          <w:sz w:val="21"/>
        </w:rPr>
        <w:t xml:space="preserve"> the bus at the time of collision, of whom </w:t>
      </w:r>
      <w:r>
        <w:rPr>
          <w:rFonts w:ascii="Helvetica" w:hAnsi="Helvetica" w:cs="Helvetica" w:eastAsia="Helvetica"/>
          <w:b w:val="0"/>
          <w:i w:val="0"/>
          <w:color w:val="21252B"/>
          <w:sz w:val="21"/>
        </w:rPr>
        <w:t>two (2)</w:t>
      </w:r>
      <w:r>
        <w:rPr>
          <w:rFonts w:ascii="Helvetica" w:hAnsi="Helvetica" w:cs="Helvetica" w:eastAsia="Helvetica"/>
          <w:b w:val="0"/>
          <w:i w:val="0"/>
          <w:color w:val="21252B"/>
          <w:sz w:val="21"/>
        </w:rPr>
        <w:t xml:space="preserve"> were transported with reported injuries (one lower-extremity fracture consistent with an ORIF workup; one cervical/lumbar strain and contusions treated and released same day). The third occupant declined transport and gave a brief on-scene statement.</w:t>
      </w:r>
    </w:p>
    <w:p>
      <w:pPr>
        <w:pStyle w:val="ListBullet"/>
        <w:spacing w:after="140" w:line="341" w:lineRule="auto" w:before="0"/>
      </w:pPr>
      <w:r>
        <w:rPr>
          <w:rFonts w:ascii="Helvetica" w:hAnsi="Helvetica" w:cs="Helvetica" w:eastAsia="Helvetica"/>
          <w:b w:val="0"/>
          <w:i w:val="0"/>
          <w:color w:val="21252B"/>
          <w:sz w:val="21"/>
        </w:rPr>
        <w:t>Pedestrian.</w:t>
      </w:r>
      <w:r>
        <w:rPr>
          <w:rFonts w:ascii="Helvetica" w:hAnsi="Helvetica" w:cs="Helvetica" w:eastAsia="Helvetica"/>
          <w:b w:val="0"/>
          <w:i w:val="0"/>
          <w:color w:val="21252B"/>
          <w:sz w:val="21"/>
        </w:rPr>
        <w:t xml:space="preserve"> The struck pedestrian sustained apparently severe injuries and was airlifted; no admission summary or imaging is in file. Magnitude of injury is uncertain at this stage and could range broadly.</w:t>
      </w:r>
    </w:p>
    <w:p>
      <w:pPr>
        <w:pStyle w:val="ListBullet"/>
        <w:spacing w:after="140" w:line="341" w:lineRule="auto" w:before="0"/>
      </w:pPr>
      <w:r>
        <w:rPr>
          <w:rFonts w:ascii="Helvetica" w:hAnsi="Helvetica" w:cs="Helvetica" w:eastAsia="Helvetica"/>
          <w:b w:val="0"/>
          <w:i w:val="0"/>
          <w:color w:val="21252B"/>
          <w:sz w:val="21"/>
        </w:rPr>
        <w:t>Route / assignment.</w:t>
      </w:r>
      <w:r>
        <w:rPr>
          <w:rFonts w:ascii="Helvetica" w:hAnsi="Helvetica" w:cs="Helvetica" w:eastAsia="Helvetica"/>
          <w:b w:val="0"/>
          <w:i w:val="0"/>
          <w:color w:val="21252B"/>
          <w:sz w:val="21"/>
        </w:rPr>
        <w:t xml:space="preserve"> The block printout shows Bus #4177 assigned to Owl Route 512, operated by Badge #4417 (Keeler), with a scheduled pull-out of 22:15 on 10/17/2025. Dispatch has flagged questions about whether the unit was on the scheduled routing at the time of the collision; the District's internal investigation has not yet issued its course-and-scope determination.</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4. Preliminary liability posture</w:t>
      </w:r>
    </w:p>
    <w:p>
      <w:pPr>
        <w:spacing w:after="140" w:line="341" w:lineRule="auto" w:before="0"/>
      </w:pPr>
      <w:r>
        <w:rPr>
          <w:rFonts w:ascii="Helvetica" w:hAnsi="Helvetica" w:cs="Helvetica" w:eastAsia="Helvetica"/>
          <w:b w:val="0"/>
          <w:i w:val="0"/>
          <w:color w:val="21252B"/>
          <w:sz w:val="21"/>
        </w:rPr>
        <w:t>Assuming (a) the pending evidentiary lab draw confirms alcohol at or above the per-se threshold and (b) the District safety investigation places Keeler within course and scope, the working exposure profile is a Vehicle Code § 23152 negligence-per-se theory against Keeler with respondeat superior imputation to the District under Gov. Code § 815.2. Preliminary comparative-fault posture against the City of Rivergate (as owner of the struck standard / darkened fixture) appears weak on the RPD sequence, because the bus is reported to have struck the standard first and the pedestrian second; that will be revisited when the final report is issued.</w:t>
      </w:r>
    </w:p>
    <w:p>
      <w:pPr>
        <w:spacing w:after="140" w:line="341" w:lineRule="auto" w:before="0"/>
      </w:pPr>
      <w:r>
        <w:rPr>
          <w:rFonts w:ascii="Helvetica" w:hAnsi="Helvetica" w:cs="Helvetica" w:eastAsia="Helvetica"/>
          <w:b w:val="0"/>
          <w:i w:val="0"/>
          <w:color w:val="21252B"/>
          <w:sz w:val="21"/>
        </w:rPr>
        <w:t>Both aboard-passenger claims presently read as soft-tissue / moderate orthopedic in nature. The pedestrian claim is the driver of exposure and cannot be sized at this time.</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5. Initial reserve</w:t>
      </w:r>
    </w:p>
    <w:p>
      <w:pPr>
        <w:spacing w:after="140" w:line="341" w:lineRule="auto" w:before="0"/>
      </w:pPr>
      <w:r>
        <w:rPr>
          <w:rFonts w:ascii="Helvetica" w:hAnsi="Helvetica" w:cs="Helvetica" w:eastAsia="Helvetica"/>
          <w:b w:val="0"/>
          <w:i w:val="0"/>
          <w:color w:val="21252B"/>
          <w:sz w:val="21"/>
        </w:rPr>
        <w:t xml:space="preserve">Based on the limited pre-lab, pre-final-report facts summarized above — roadside PBT of 0.11%, three aboard with two injured per EMS, no certified BAC yet available, no life-care or economic workup yet obtained on the pedestrian, and assuming § 23152 negligence-per-se exposure with respondeat superior, moderate soft-tissue injuries to passengers, and uncertain magnitude of pedestrian injuries at this stage — I am opening the file at an initial indemnity </w:t>
      </w:r>
      <w:r>
        <w:rPr>
          <w:rFonts w:ascii="Helvetica" w:hAnsi="Helvetica" w:cs="Helvetica" w:eastAsia="Helvetica"/>
          <w:b w:val="0"/>
          <w:i w:val="0"/>
          <w:color w:val="21252B"/>
          <w:sz w:val="21"/>
        </w:rPr>
        <w:t>reserve of $250,000</w:t>
      </w:r>
      <w:r>
        <w:rPr>
          <w:rFonts w:ascii="Helvetica" w:hAnsi="Helvetica" w:cs="Helvetica" w:eastAsia="Helvetica"/>
          <w:b w:val="0"/>
          <w:i w:val="0"/>
          <w:color w:val="21252B"/>
          <w:sz w:val="21"/>
        </w:rPr>
        <w:t>, allocated indicatively as follows:</w:t>
      </w:r>
    </w:p>
    <w:tbl>
      <w:tblPr>
        <w:tblStyle w:val="LightGrid-Accent1"/>
        <w:tblW w:type="auto" w:w="0"/>
        <w:tblLayout w:type="fixed"/>
        <w:tblLook w:firstColumn="1" w:firstRow="1" w:lastColumn="0" w:lastRow="0" w:noHBand="0" w:noVBand="1" w:val="04A0"/>
        <w:tblBorders>
          <w:top w:val="single" w:sz="4" w:space="0" w:color="C9B58A"/>
          <w:left w:val="nil" w:sz="4" w:space="0" w:color="000000"/>
          <w:bottom w:val="single" w:sz="4" w:space="0" w:color="C9B58A"/>
          <w:right w:val="nil" w:sz="4" w:space="0" w:color="000000"/>
          <w:insideH w:val="nil" w:sz="4" w:space="0" w:color="000000"/>
          <w:insideV w:val="nil" w:sz="4" w:space="0" w:color="000000"/>
        </w:tblBorders>
      </w:tblPr>
      <w:tblGrid>
        <w:gridCol w:w="6624"/>
        <w:gridCol w:w="2016"/>
      </w:tblGrid>
      <w:tr>
        <w:tc>
          <w:tcPr>
            <w:tcW w:type="dxa" w:w="6336"/>
            <w:shd w:val="clear" w:color="auto" w:fill="1B2A4E"/>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Component</w:t>
            </w:r>
          </w:p>
        </w:tc>
        <w:tc>
          <w:tcPr>
            <w:tcW w:type="dxa" w:w="3024"/>
            <w:shd w:val="clear" w:color="auto" w:fill="1B2A4E"/>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Amount</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Pedestrian (Reyes) — opening estimate pending medical workup</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$190,000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(Cho) — orthopedic / concussion</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$45,000</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(Mowbray) — soft-tissue strain</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Allocated expense reserve</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$5,000</w:t>
            </w:r>
          </w:p>
        </w:tc>
      </w:tr>
      <w:tr>
        <w:tc>
          <w:tcPr>
            <w:tcW w:type="dxa" w:w="6336"/>
            <w:shd w:val="clear" w:color="auto" w:fill="E8DFC9"/>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1B2A4E"/>
                <w:sz w:val="21"/>
              </w:rPr>
            </w:r>
            <w:r>
              <w:rPr>
                <w:rFonts w:ascii="Helvetica" w:hAnsi="Helvetica" w:cs="Helvetica" w:eastAsia="Helvetica"/>
                <w:b/>
                <w:i w:val="0"/>
                <w:color w:val="1B2A4E"/>
                <w:sz w:val="21"/>
              </w:rPr>
              <w:t>Total initial reserve</w:t>
            </w:r>
          </w:p>
        </w:tc>
        <w:tc>
          <w:tcPr>
            <w:tcW w:type="dxa" w:w="3024"/>
            <w:shd w:val="clear" w:color="auto" w:fill="E8DFC9"/>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1B2A4E"/>
                <w:sz w:val="21"/>
              </w:rPr>
            </w:r>
            <w:r>
              <w:rPr>
                <w:rFonts w:ascii="Helvetica" w:hAnsi="Helvetica" w:cs="Helvetica" w:eastAsia="Helvetica"/>
                <w:b/>
                <w:i w:val="0"/>
                <w:color w:val="1B2A4E"/>
                <w:sz w:val="21"/>
              </w:rPr>
              <w:t>$250,000</w:t>
            </w:r>
          </w:p>
        </w:tc>
      </w:tr>
    </w:tbl>
    <w:p>
      <w:pPr>
        <w:spacing w:line="341" w:lineRule="auto" w:before="0" w:after="140"/>
      </w:pPr>
    </w:p>
    <w:p>
      <w:pPr>
        <w:spacing w:after="140" w:line="341" w:lineRule="auto" w:before="0"/>
      </w:pPr>
      <w:r>
        <w:rPr>
          <w:rFonts w:ascii="Helvetica" w:hAnsi="Helvetica" w:cs="Helvetica" w:eastAsia="Helvetica"/>
          <w:b w:val="0"/>
          <w:i w:val="0"/>
          <w:color w:val="21252B"/>
          <w:sz w:val="21"/>
        </w:rPr>
        <w:t>The pedestrian figure above is expressly a book-opening estimate and is expected to move materially once (i) the trauma center produces an admission and course summary, (ii) any prognosis or rehabilitation plan is available, and (iii) the certified lab BAC is on file. The reserve should be revisited on receipt of any of those items and, in any event, at the routine 60-day file review.</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6. Next steps</w:t>
      </w:r>
    </w:p>
    <w:p>
      <w:pPr>
        <w:pStyle w:val="ListBullet"/>
        <w:spacing w:after="140" w:line="341" w:lineRule="auto" w:before="0"/>
      </w:pPr>
      <w:r>
        <w:rPr>
          <w:rFonts w:ascii="Helvetica" w:hAnsi="Helvetica" w:cs="Helvetica" w:eastAsia="Helvetica"/>
          <w:b w:val="0"/>
          <w:i w:val="0"/>
          <w:color w:val="21252B"/>
          <w:sz w:val="21"/>
        </w:rPr>
        <w:t>Tickler set for arrival of County Crime Lab evidentiary blood BAC (expected within 2–3 weeks of the 10/18 draw).</w:t>
      </w:r>
    </w:p>
    <w:p>
      <w:pPr>
        <w:pStyle w:val="ListBullet"/>
        <w:spacing w:after="140" w:line="341" w:lineRule="auto" w:before="0"/>
      </w:pPr>
      <w:r>
        <w:rPr>
          <w:rFonts w:ascii="Helvetica" w:hAnsi="Helvetica" w:cs="Helvetica" w:eastAsia="Helvetica"/>
          <w:b w:val="0"/>
          <w:i w:val="0"/>
          <w:color w:val="21252B"/>
          <w:sz w:val="21"/>
        </w:rPr>
        <w:t>Request final supervisor-reviewed District incident report and the Director of Safety course-and-scope determination when issued.</w:t>
      </w:r>
    </w:p>
    <w:p>
      <w:pPr>
        <w:pStyle w:val="ListBullet"/>
        <w:spacing w:after="140" w:line="341" w:lineRule="auto" w:before="0"/>
      </w:pPr>
      <w:r>
        <w:rPr>
          <w:rFonts w:ascii="Helvetica" w:hAnsi="Helvetica" w:cs="Helvetica" w:eastAsia="Helvetica"/>
          <w:b w:val="0"/>
          <w:i w:val="0"/>
          <w:color w:val="21252B"/>
          <w:sz w:val="21"/>
        </w:rPr>
        <w:t>Open medical-records requests to Rivergate Regional Trauma Center for Reyes on receipt of a HIPAA authorization or conservator authorization.</w:t>
      </w:r>
    </w:p>
    <w:p>
      <w:pPr>
        <w:pStyle w:val="ListBullet"/>
        <w:spacing w:after="140" w:line="341" w:lineRule="auto" w:before="0"/>
      </w:pPr>
      <w:r>
        <w:rPr>
          <w:rFonts w:ascii="Helvetica" w:hAnsi="Helvetica" w:cs="Helvetica" w:eastAsia="Helvetica"/>
          <w:b w:val="0"/>
          <w:i w:val="0"/>
          <w:color w:val="21252B"/>
          <w:sz w:val="21"/>
        </w:rPr>
        <w:t>Docket the six-month Government Code § 911.2 claim-presentation window for each potential claimant (accrual 10/18/2025).</w:t>
      </w:r>
    </w:p>
    <w:p>
      <w:pPr>
        <w:pStyle w:val="ListBullet"/>
        <w:spacing w:after="140" w:line="341" w:lineRule="auto" w:before="0"/>
      </w:pPr>
      <w:r>
        <w:rPr>
          <w:rFonts w:ascii="Helvetica" w:hAnsi="Helvetica" w:cs="Helvetica" w:eastAsia="Helvetica"/>
          <w:b w:val="0"/>
          <w:i w:val="0"/>
          <w:color w:val="21252B"/>
          <w:sz w:val="21"/>
        </w:rPr>
        <w:t>On receipt of any Gov. Code § 910 claim, re-run the reserve and route the file for supervisory review.</w:t>
      </w:r>
    </w:p>
    <w:p>
      <w:pPr>
        <w:spacing w:before="0" w:after="140" w:line="341" w:lineRule="auto"/>
        <w:pBdr>
          <w:bottom w:val="single" w:sz="6" w:space="1" w:color="000000"/>
        </w:pBdr>
      </w:pPr>
    </w:p>
    <w:p>
      <w:pPr>
        <w:spacing w:before="280" w:after="0" w:line="341" w:lineRule="auto"/>
      </w:pPr>
      <w:r>
        <w:rPr>
          <w:rFonts w:ascii="Helvetica" w:hAnsi="Helvetica" w:cs="Helvetica" w:eastAsia="Helvetica"/>
          <w:b/>
          <w:i w:val="0"/>
          <w:color w:val="1B2A4E"/>
          <w:sz w:val="24"/>
        </w:rPr>
        <w:t>Kendra Briggs</w:t>
      </w:r>
    </w:p>
    <w:p>
      <w:pPr>
        <w:spacing w:after="0" w:line="341" w:lineRule="auto" w:before="0"/>
      </w:pPr>
      <w:r>
        <w:rPr>
          <w:rFonts w:ascii="Helvetica" w:hAnsi="Helvetica" w:cs="Helvetica" w:eastAsia="Helvetica"/>
          <w:b w:val="0"/>
          <w:i/>
          <w:color w:val="A86A2D"/>
          <w:sz w:val="20"/>
        </w:rPr>
        <w:t>Junior Claims Adjuster</w:t>
      </w:r>
    </w:p>
    <w:p>
      <w:pPr>
        <w:spacing w:after="0" w:line="341" w:lineRule="auto" w:before="40"/>
      </w:pPr>
      <w:r>
        <w:rPr>
          <w:rFonts w:ascii="Helvetica" w:hAnsi="Helvetica" w:cs="Helvetica" w:eastAsia="Helvetica"/>
          <w:b w:val="0"/>
          <w:i w:val="0"/>
          <w:color w:val="5C6370"/>
          <w:sz w:val="19"/>
        </w:rPr>
        <w:t>Alder Creek Transit District — Risk &amp; Claims</w:t>
      </w:r>
    </w:p>
    <w:p>
      <w:pPr>
        <w:spacing w:after="0" w:line="341" w:lineRule="auto" w:before="0"/>
      </w:pPr>
      <w:r>
        <w:rPr>
          <w:rFonts w:ascii="Helvetica" w:hAnsi="Helvetica" w:cs="Helvetica" w:eastAsia="Helvetica"/>
          <w:b w:val="0"/>
          <w:i w:val="0"/>
          <w:color w:val="5C6370"/>
          <w:sz w:val="19"/>
        </w:rPr>
        <w:t>kbriggs@actd.gov</w:t>
      </w:r>
    </w:p>
    <w:p>
      <w:pPr>
        <w:spacing w:after="0" w:line="341" w:lineRule="auto" w:before="40"/>
      </w:pPr>
      <w:r>
        <w:rPr>
          <w:rFonts w:ascii="Helvetica" w:hAnsi="Helvetica" w:cs="Helvetica" w:eastAsia="Helvetica"/>
          <w:b w:val="0"/>
          <w:i w:val="0"/>
          <w:color w:val="5C6370"/>
          <w:sz w:val="19"/>
        </w:rPr>
        <w:t>Dated: 10/28/2025</w:t>
      </w:r>
    </w:p>
    <w:p>
      <w:pPr>
        <w:spacing w:before="0" w:after="140" w:line="341" w:lineRule="auto"/>
        <w:pBdr>
          <w:bottom w:val="single" w:sz="6" w:space="1" w:color="000000"/>
        </w:pBdr>
      </w:pPr>
    </w:p>
    <w:p>
      <w:pPr>
        <w:spacing w:before="40" w:line="341" w:lineRule="auto" w:after="200"/>
        <w:jc w:val="cente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341" w:lineRule="auto"/>
    </w:pPr>
    <w:rPr>
      <w:rFonts w:ascii="Helvetica" w:hAnsi="Helvetica" w:cs="Helvetica" w:eastAsia="Helvetica"/>
      <w:color w:val="21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