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The internal investigation finds that Operator Keeler was operating his assigned Owl Route 512 block per the official Fall 2025 Sign run schedule, and that the AVL/GPS telemetry places the coach on the published route at the moment of the collision, running ahead of the published S. Main / Third control-point timepoint. The course-and-scope determination is therefore that Operator Keeler was operating his assigned Owl Route 512 block at the time of the collision, consistent with the official run schedule and AVL/GPS telemetry. 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 pre-trip yard sheet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 EMS run sheets</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A05</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pre-trip yard sheet, the fleet dispatch log, and the Fleet Maintenance daily assignment record;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approximately 26 minutes ahead of the published S. Main / Third control-point timepoint (02:31) for Trip 06.</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A11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sz w:val="20"/>
                <w:color w:val="FFFFFF"/>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APC/farebox export (A11) and on-scene EMS run sheets for the passenger roster,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pre-trip yard sheet, the fleet dispatch log, the daily block assignment sheet, and Operator Keeler's bid award (Owl Sr. Board Line 12). Bus-to-block assignment for Block 512-OWL on this service night reconciles to the Div. 3 pre-trip yard sheet, the fleet dispatch log, and the daily block assignment sheet.</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and pre-trip yard sheet,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video (forward-facing and cabin-facing), Bus #4177, 10/18/2025 01:59–02:07 (preserved).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