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at the moment of the collision, running ahead of the published S. Main / Third control-point timepoint.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approximately 26 minutes ahead of the published S. Main / Third control-point timepoint (02:31) for Trip 06.</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