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" w:after="40" w:line="276" w:lineRule="auto"/>
        <w:jc w:val="center"/>
        <w:pBdr>
          <w:top w:val="single" w:sz="4" w:space="3" w:color="B5651D"/>
          <w:bottom w:val="single" w:sz="4" w:space="3" w:color="B5651D"/>
        </w:pBdr>
        <w:shd w:val="clear" w:color="auto" w:fill="F4F5F7"/>
      </w:pPr>
      <w:r w:themeColor="">
        <w:rPr>
          <w:rFonts w:ascii="Helvetica" w:hAnsi="Helvetica" w:cs="Helvetica" w:eastAsia="Helvetica"/>
          <w:b/>
          <w:i w:val="0"/>
          <w:color w:val="6B7280"/>
          <w:sz w:val="15"/>
          <w:spacing w:val="40"/>
        </w:rPr>
        <w:t>PRIVILEGED &amp; CONFIDENTIAL — ATTORNEY-CLIENT COMMUNICATION / WORK PRODUCT — PREPARED AT DIRECTION OF COUNSEL IN ANTICIPATION OF LITIGATION</w:t>
      </w:r>
    </w:p>
    <w:p>
      <w:pPr>
        <w:spacing w:before="200" w:after="0" w:line="276" w:lineRule="auto"/>
        <w:jc w:val="center"/>
      </w:pPr>
      <w:r w:themeColor="">
        <w:rPr>
          <w:rFonts w:ascii="Helvetica" w:hAnsi="Helvetica" w:cs="Helvetica" w:eastAsia="Helvetica"/>
          <w:b/>
          <w:i w:val="0"/>
          <w:color w:val="1A2D5C"/>
          <w:sz w:val="46"/>
          <w:spacing w:val="60"/>
        </w:rPr>
        <w:t>ALDER CREEK TRANSIT DISTRICT</w:t>
      </w:r>
    </w:p>
    <w:p>
      <w:pPr>
        <w:spacing w:before="40" w:after="0" w:line="276" w:lineRule="auto"/>
        <w:jc w:val="center"/>
      </w:pPr>
      <w:r w:themeColor="">
        <w:rPr>
          <w:rFonts w:ascii="Helvetica" w:hAnsi="Helvetica" w:cs="Helvetica" w:eastAsia="Helvetica"/>
          <w:b w:val="0"/>
          <w:i w:val="0"/>
          <w:color w:val="2A3F6E"/>
          <w:sz w:val="23"/>
          <w:spacing w:val="80"/>
        </w:rPr>
        <w:t>Risk Management &amp; Claims  —  Interoffice Memorandum</w:t>
      </w:r>
    </w:p>
    <w:p>
      <w:pPr>
        <w:spacing w:before="20" w:after="200" w:line="276" w:lineRule="auto"/>
        <w:jc w:val="center"/>
        <w:pBdr>
          <w:bottom w:val="single" w:sz="6" w:space="6" w:color="1A2D5C"/>
        </w:pBdr>
      </w:pPr>
      <w:r w:themeColor="">
        <w:rPr>
          <w:rFonts w:ascii="Helvetica" w:hAnsi="Helvetica" w:cs="Helvetica" w:eastAsia="Helvetica"/>
          <w:b w:val="0"/>
          <w:i w:val="0"/>
          <w:color w:val="6B7280"/>
          <w:sz w:val="18"/>
          <w:spacing w:val="20"/>
        </w:rPr>
        <w:t>1200 Alder Creek Way, Rivergate, CA 91766</w:t>
      </w:r>
    </w:p>
    <w:p>
      <w:pPr>
        <w:spacing w:before="0" w:after="80" w:line="276" w:lineRule="auto"/>
        <w:pBdr>
          <w:bottom w:val="single" w:sz="8" w:space="1" w:color="000000"/>
        </w:pBdr>
      </w:pPr>
    </w:p>
    <w:p>
      <w:pPr>
        <w:spacing w:before="20" w:after="20" w:line="276" w:lineRule="auto"/>
        <w:ind w:left="0"/>
        <w:jc w:val="left"/>
        <w:tabs>
          <w:tab w:val="left" w:pos="1800"/>
        </w:tabs>
        <w:shd w:val="clear" w:color="auto" w:fill="F7F8FA"/>
      </w:pPr>
      <w:r w:themeColor="">
        <w:rPr>
          <w:rFonts w:ascii="Helvetica" w:hAnsi="Helvetica" w:cs="Helvetica" w:eastAsia="Helvetica"/>
          <w:b/>
          <w:color w:val="1A2D5C"/>
          <w:sz w:val="20"/>
          <w:spacing w:val="20"/>
        </w:rPr>
        <w:t>TO:</w:t>
      </w:r>
      <w:r w:themeColor="">
        <w:rPr>
          <w:rFonts w:ascii="Georgia" w:hAnsi="Georgia" w:cs="Georgia" w:eastAsia="Georgia"/>
          <w:color w:val="1F242E"/>
          <w:sz w:val="21"/>
        </w:rPr>
        <w:tab/>
      </w:r>
      <w:r w:themeColor="">
        <w:rPr>
          <w:rFonts w:ascii="Georgia" w:hAnsi="Georgia" w:cs="Georgia" w:eastAsia="Georgia"/>
          <w:b w:val="0"/>
          <w:color w:val="1F242E"/>
          <w:sz w:val="21"/>
        </w:rPr>
        <w:t>Diane Farkas, General Counsel</w:t>
      </w:r>
    </w:p>
    <w:p>
      <w:pPr>
        <w:spacing w:before="20" w:after="20" w:line="276" w:lineRule="auto"/>
        <w:ind w:left="0"/>
        <w:jc w:val="left"/>
        <w:tabs>
          <w:tab w:val="left" w:pos="1800"/>
        </w:tabs>
        <w:shd w:val="clear" w:color="auto" w:fill="F7F8FA"/>
      </w:pPr>
      <w:r w:themeColor="">
        <w:rPr>
          <w:rFonts w:ascii="Helvetica" w:hAnsi="Helvetica" w:cs="Helvetica" w:eastAsia="Helvetica"/>
          <w:b/>
          <w:color w:val="1A2D5C"/>
          <w:sz w:val="20"/>
          <w:spacing w:val="20"/>
        </w:rPr>
        <w:t>FROM:</w:t>
      </w:r>
      <w:r w:themeColor="">
        <w:rPr>
          <w:rFonts w:ascii="Georgia" w:hAnsi="Georgia" w:cs="Georgia" w:eastAsia="Georgia"/>
          <w:color w:val="1F242E"/>
          <w:sz w:val="21"/>
        </w:rPr>
        <w:tab/>
      </w:r>
      <w:r w:themeColor="">
        <w:rPr>
          <w:rFonts w:ascii="Georgia" w:hAnsi="Georgia" w:cs="Georgia" w:eastAsia="Georgia"/>
          <w:b w:val="0"/>
          <w:color w:val="1F242E"/>
          <w:sz w:val="21"/>
        </w:rPr>
        <w:t>Gordon Espinoza, Senior Claims Manager (Risk &amp; Claims)</w:t>
      </w:r>
    </w:p>
    <w:p>
      <w:pPr>
        <w:spacing w:before="20" w:after="20" w:line="276" w:lineRule="auto"/>
        <w:ind w:left="0"/>
        <w:jc w:val="left"/>
        <w:tabs>
          <w:tab w:val="left" w:pos="1800"/>
        </w:tabs>
        <w:shd w:val="clear" w:color="auto" w:fill="F7F8FA"/>
      </w:pPr>
      <w:r w:themeColor="">
        <w:rPr>
          <w:rFonts w:ascii="Helvetica" w:hAnsi="Helvetica" w:cs="Helvetica" w:eastAsia="Helvetica"/>
          <w:b/>
          <w:color w:val="1A2D5C"/>
          <w:sz w:val="20"/>
          <w:spacing w:val="20"/>
        </w:rPr>
        <w:t>CC:</w:t>
      </w:r>
      <w:r w:themeColor="">
        <w:rPr>
          <w:rFonts w:ascii="Georgia" w:hAnsi="Georgia" w:cs="Georgia" w:eastAsia="Georgia"/>
          <w:color w:val="1F242E"/>
          <w:sz w:val="21"/>
        </w:rPr>
        <w:tab/>
      </w:r>
      <w:r w:themeColor="">
        <w:rPr>
          <w:rFonts w:ascii="Georgia" w:hAnsi="Georgia" w:cs="Georgia" w:eastAsia="Georgia"/>
          <w:b w:val="0"/>
          <w:color w:val="1F242E"/>
          <w:sz w:val="21"/>
        </w:rPr>
        <w:t>Marisol Vega, Esq., Delfino Marek LLP (retained outside defense counsel)</w:t>
      </w:r>
    </w:p>
    <w:p>
      <w:pPr>
        <w:spacing w:before="20" w:after="20" w:line="276" w:lineRule="auto"/>
        <w:ind w:left="0"/>
        <w:jc w:val="left"/>
        <w:tabs>
          <w:tab w:val="left" w:pos="1800"/>
        </w:tabs>
        <w:shd w:val="clear" w:color="auto" w:fill="F7F8FA"/>
      </w:pPr>
      <w:r w:themeColor="">
        <w:rPr>
          <w:rFonts w:ascii="Helvetica" w:hAnsi="Helvetica" w:cs="Helvetica" w:eastAsia="Helvetica"/>
          <w:b/>
          <w:color w:val="1A2D5C"/>
          <w:sz w:val="20"/>
          <w:spacing w:val="20"/>
        </w:rPr>
        <w:t>DATE:</w:t>
      </w:r>
      <w:r w:themeColor="">
        <w:rPr>
          <w:rFonts w:ascii="Georgia" w:hAnsi="Georgia" w:cs="Georgia" w:eastAsia="Georgia"/>
          <w:color w:val="1F242E"/>
          <w:sz w:val="21"/>
        </w:rPr>
        <w:tab/>
      </w:r>
      <w:r w:themeColor="">
        <w:rPr>
          <w:rFonts w:ascii="Georgia" w:hAnsi="Georgia" w:cs="Georgia" w:eastAsia="Georgia"/>
          <w:b w:val="0"/>
          <w:color w:val="1F242E"/>
          <w:sz w:val="21"/>
        </w:rPr>
        <w:t>December 15, 2025</w:t>
      </w:r>
    </w:p>
    <w:p>
      <w:pPr>
        <w:spacing w:before="20" w:after="20" w:line="276" w:lineRule="auto"/>
        <w:ind w:left="0"/>
        <w:jc w:val="left"/>
        <w:tabs>
          <w:tab w:val="left" w:pos="1800"/>
        </w:tabs>
        <w:shd w:val="clear" w:color="auto" w:fill="F7F8FA"/>
      </w:pPr>
      <w:r w:themeColor="">
        <w:rPr>
          <w:rFonts w:ascii="Helvetica" w:hAnsi="Helvetica" w:cs="Helvetica" w:eastAsia="Helvetica"/>
          <w:b/>
          <w:color w:val="1A2D5C"/>
          <w:sz w:val="20"/>
          <w:spacing w:val="20"/>
        </w:rPr>
        <w:t>RE:</w:t>
      </w:r>
      <w:r w:themeColor="">
        <w:rPr>
          <w:rFonts w:ascii="Georgia" w:hAnsi="Georgia" w:cs="Georgia" w:eastAsia="Georgia"/>
          <w:color w:val="1F242E"/>
          <w:sz w:val="21"/>
        </w:rPr>
        <w:tab/>
      </w:r>
      <w:r w:themeColor="">
        <w:rPr>
          <w:rFonts w:ascii="Georgia" w:hAnsi="Georgia" w:cs="Georgia" w:eastAsia="Georgia"/>
          <w:b w:val="0"/>
          <w:color w:val="1F242E"/>
          <w:sz w:val="21"/>
        </w:rPr>
        <w:t>Reserve evaluation — Reyes / Owl Route 512 collision (10/18/2025); Operator R. Keeler</w:t>
      </w:r>
    </w:p>
    <w:p>
      <w:pPr>
        <w:spacing w:before="20" w:after="200" w:line="276" w:lineRule="auto"/>
        <w:ind w:left="0"/>
        <w:jc w:val="left"/>
        <w:tabs>
          <w:tab w:val="left" w:pos="1800"/>
        </w:tabs>
        <w:shd w:val="clear" w:color="auto" w:fill="F7F8FA"/>
        <w:pBdr>
          <w:bottom w:val="single" w:sz="8" w:space="4" w:color="1A2D5C"/>
        </w:pBdr>
      </w:pPr>
      <w:r w:themeColor="">
        <w:rPr>
          <w:rFonts w:ascii="Georgia" w:hAnsi="Georgia" w:cs="Georgia" w:eastAsia="Georgia"/>
          <w:b w:val="0"/>
          <w:color w:val="1F242E"/>
          <w:sz w:val="21"/>
        </w:rPr>
        <w:t>CLAIM FILE:</w:t>
        <w:tab/>
        <w:t>ACTD-2025-1018-KEELER (matter file). Per-claimant Gov. Code § 910 claims not yet presented as of this writing.</w:t>
      </w:r>
      <w:r w:themeColor="">
        <w:rPr>
          <w:rFonts w:ascii="Georgia" w:hAnsi="Georgia" w:cs="Georgia" w:eastAsia="Georgia"/>
          <w:color w:val="1F242E"/>
          <w:sz w:val="21"/>
        </w:rPr>
      </w:r>
      <w:r w:themeColor="">
        <w:rPr>
          <w:rFonts w:ascii="Georgia" w:hAnsi="Georgia" w:cs="Georgia" w:eastAsia="Georgia"/>
          <w:color w:val="1F242E"/>
          <w:sz w:val="21"/>
        </w:rPr>
      </w:r>
    </w:p>
    <w:p>
      <w:pPr>
        <w:spacing w:before="0" w:after="80" w:line="276" w:lineRule="auto"/>
        <w:pBdr>
          <w:bottom w:val="single" w:sz="8" w:space="1" w:color="000000"/>
        </w:pBdr>
      </w:pPr>
    </w:p>
    <w:p>
      <w:pPr>
        <w:keepNext/>
        <w:spacing w:before="320" w:after="120"/>
        <w:jc w:val="left"/>
        <w:pBdr>
          <w:bottom w:val="single" w:sz="8" w:space="4" w:color="B5651D"/>
        </w:pBdr>
      </w:pPr>
      <w:r w:themeColor="">
        <w:rPr>
          <w:rFonts w:ascii="Helvetica" w:hAnsi="Helvetica" w:cs="Helvetica" w:eastAsia="Helvetica"/>
          <w:b/>
          <w:color w:val="1A2D5C"/>
          <w:sz w:val="27"/>
          <w:u w:val="single"/>
          <w:spacing w:val="10"/>
        </w:rPr>
        <w:t>1.  Summary / Recommended Action</w:t>
      </w:r>
    </w:p>
    <w:p>
      <w:pPr>
        <w:spacing w:before="0" w:after="160" w:line="322" w:lineRule="auto"/>
        <w:ind w:firstLine="0"/>
        <w:jc w:val="both"/>
      </w:pPr>
      <w:r w:themeColor="">
        <w:rPr>
          <w:rFonts w:ascii="Georgia" w:hAnsi="Georgia" w:cs="Georgia" w:eastAsia="Georgia"/>
          <w:b w:val="0"/>
          <w:i w:val="0"/>
          <w:color w:val="1F242E"/>
          <w:sz w:val="21"/>
        </w:rPr>
        <w:t xml:space="preserve">This memorandum resets the indemnity reserve on the above matter following (i) receipt on 11/07/2025 of the certified evidentiary blood-BAC result from the Los Angeles County Sheriff's Department Scientific Services Bureau — Crime Laboratory (Case No. LASD-SSB-25-0442117) reporting Operator Keeler's whole-blood ethanol at </w:t>
      </w:r>
      <w:r w:themeColor="">
        <w:rPr>
          <w:rFonts w:ascii="Georgia" w:hAnsi="Georgia" w:cs="Georgia" w:eastAsia="Georgia"/>
          <w:b/>
          <w:i w:val="0"/>
          <w:color w:val="1F242E"/>
          <w:sz w:val="21"/>
        </w:rPr>
        <w:t>0.14 g/dL (0.14% w/v)</w:t>
      </w:r>
      <w:r w:themeColor="">
        <w:rPr>
          <w:rFonts w:ascii="Georgia" w:hAnsi="Georgia" w:cs="Georgia" w:eastAsia="Georgia"/>
          <w:b w:val="0"/>
          <w:i w:val="0"/>
          <w:color w:val="1F242E"/>
          <w:sz w:val="21"/>
        </w:rPr>
        <w:t>; (ii) the 11/21/2025 completion of the District's internal safety investigation and course-and-scope determination, which places Operator Keeler within the scope of his employment on his assigned Owl Route 512 block at the time of the collision; and (iii) initial medical documentation from Rivergate Regional Trauma Center confirming that Ms. Reyes sustained catastrophic multisystem injuries (severe traumatic brain injury, pelvic ring fracture, bilateral lower-extremity fractures, extended ICU course, tracheostomy-supported ventilation).</w:t>
      </w:r>
    </w:p>
    <w:p>
      <w:pPr>
        <w:spacing w:before="0" w:after="160" w:line="322" w:lineRule="auto"/>
        <w:ind w:firstLine="0"/>
        <w:jc w:val="both"/>
      </w:pPr>
      <w:r w:themeColor="">
        <w:rPr>
          <w:rFonts w:ascii="Georgia" w:hAnsi="Georgia" w:cs="Georgia" w:eastAsia="Georgia"/>
          <w:b w:val="0"/>
          <w:i w:val="0"/>
          <w:color w:val="1F242E"/>
          <w:sz w:val="21"/>
        </w:rPr>
        <w:t xml:space="preserve">Recommendation: raise the controlling indemnity reserve on file from the initial </w:t>
      </w:r>
      <w:r w:themeColor="">
        <w:rPr>
          <w:rFonts w:ascii="Georgia" w:hAnsi="Georgia" w:cs="Georgia" w:eastAsia="Georgia"/>
          <w:b w:val="0"/>
          <w:i w:val="0"/>
          <w:color w:val="1F242E"/>
          <w:sz w:val="21"/>
        </w:rPr>
        <w:t>$250,000</w:t>
      </w:r>
      <w:r w:themeColor="">
        <w:rPr>
          <w:rFonts w:ascii="Georgia" w:hAnsi="Georgia" w:cs="Georgia" w:eastAsia="Georgia"/>
          <w:b w:val="0"/>
          <w:i w:val="0"/>
          <w:color w:val="1F242E"/>
          <w:sz w:val="21"/>
        </w:rPr>
        <w:t xml:space="preserve"> figure opened by K. Briggs on 10/28/2025 to </w:t>
      </w:r>
      <w:r w:themeColor="">
        <w:rPr>
          <w:rFonts w:ascii="Georgia" w:hAnsi="Georgia" w:cs="Georgia" w:eastAsia="Georgia"/>
          <w:b w:val="0"/>
          <w:i w:val="0"/>
          <w:color w:val="1F242E"/>
          <w:sz w:val="21"/>
        </w:rPr>
        <w:t>$3,250,000</w:t>
      </w:r>
      <w:r w:themeColor="">
        <w:rPr>
          <w:rFonts w:ascii="Georgia" w:hAnsi="Georgia" w:cs="Georgia" w:eastAsia="Georgia"/>
          <w:b w:val="0"/>
          <w:i w:val="0"/>
          <w:color w:val="1F242E"/>
          <w:sz w:val="21"/>
        </w:rPr>
        <w:t xml:space="preserve">, and route the file to outside defense counsel (Delfino Marek LLP) for full defense assignment. The initial $250,000 note was seated pre-lab, pre-safety-investigation, and pre-medical-workup, and this memorandum </w:t>
      </w:r>
      <w:r w:themeColor="">
        <w:rPr>
          <w:rFonts w:ascii="Georgia" w:hAnsi="Georgia" w:cs="Georgia" w:eastAsia="Georgia"/>
          <w:b w:val="0"/>
          <w:i w:val="0"/>
          <w:color w:val="1F242E"/>
          <w:sz w:val="21"/>
        </w:rPr>
        <w:t>supersedes</w:t>
      </w:r>
      <w:r w:themeColor="">
        <w:rPr>
          <w:rFonts w:ascii="Georgia" w:hAnsi="Georgia" w:cs="Georgia" w:eastAsia="Georgia"/>
          <w:b w:val="0"/>
          <w:i w:val="0"/>
          <w:color w:val="1F242E"/>
          <w:sz w:val="21"/>
        </w:rPr>
        <w:t xml:space="preserve"> that note as the controlling reserve of record.</w:t>
      </w:r>
    </w:p>
    <w:p>
      <w:pPr>
        <w:keepNext/>
        <w:spacing w:before="320" w:after="120"/>
        <w:jc w:val="left"/>
        <w:pBdr>
          <w:bottom w:val="single" w:sz="8" w:space="4" w:color="B5651D"/>
        </w:pBdr>
      </w:pPr>
      <w:r w:themeColor="">
        <w:rPr>
          <w:rFonts w:ascii="Helvetica" w:hAnsi="Helvetica" w:cs="Helvetica" w:eastAsia="Helvetica"/>
          <w:b/>
          <w:color w:val="1A2D5C"/>
          <w:sz w:val="27"/>
          <w:u w:val="single"/>
          <w:spacing w:val="10"/>
        </w:rPr>
        <w:t>2.  Liability Assessment</w:t>
      </w:r>
    </w:p>
    <w:p>
      <w:pPr>
        <w:spacing w:before="0" w:after="160" w:line="322" w:lineRule="auto"/>
        <w:ind w:firstLine="0"/>
        <w:jc w:val="both"/>
      </w:pPr>
      <w:r w:themeColor="">
        <w:rPr>
          <w:rFonts w:ascii="Georgia" w:hAnsi="Georgia" w:cs="Georgia" w:eastAsia="Georgia"/>
          <w:color w:val="1F242E"/>
          <w:sz w:val="21"/>
        </w:rPr>
        <w:t>Liability against the District is strong. Operator Keeler's certified evidentiary blood BAC of 0.14% supports negligence per se under California Vehicle Code § 23153(a) (driving under the influence causing injury); the value is 1.75× the general per-se threshold and 3.5× the commercial-driver per-se threshold. The Director of Safety's internal investigation finds — and the Fall 2025 Sign run schedule, the AVL/GPS track from Bus #4177, the Division 3 duty roster, and Operator Keeler's bid award (Owl Sr. Board Line 12) uniformly confirm — that Operator Keeler was on his assigned Route 512 block on the run of record at the time of the collision. A preliminary “off-book” characterization circulating in the early hours after the collision is not supported by the operational records and does not control.</w:t>
      </w:r>
    </w:p>
    <w:p>
      <w:pPr>
        <w:spacing w:before="0" w:after="160" w:line="322" w:lineRule="auto"/>
        <w:ind w:firstLine="0"/>
        <w:jc w:val="both"/>
      </w:pPr>
      <w:r w:themeColor="">
        <w:rPr>
          <w:rFonts w:ascii="Georgia" w:hAnsi="Georgia" w:cs="Georgia" w:eastAsia="Georgia"/>
          <w:color w:val="1F242E"/>
          <w:sz w:val="21"/>
        </w:rPr>
        <w:t>On these facts the District's respondeat superior exposure attaches under Gov. Code § 815.2, and a course-and-scope defense is not viable. Comparative-fault posture against the City of Rivergate as owner of the struck light standard appears weak as to the pedestrian's injuries: the coach struck the standard first and the pedestrian a moment later under residual momentum, so the darkened fixture is an effect of the collision rather than a cause of it. The two aboard-passenger claims (Cho — serious; Mowbray — moderate) sit on the same liability posture and are additive to the pedestrian exposure.</w:t>
      </w:r>
    </w:p>
    <w:p>
      <w:pPr>
        <w:spacing w:before="0" w:after="160" w:line="322" w:lineRule="auto"/>
        <w:ind w:firstLine="0"/>
        <w:jc w:val="both"/>
      </w:pPr>
      <w:r w:themeColor="">
        <w:rPr>
          <w:rFonts w:ascii="Georgia" w:hAnsi="Georgia" w:cs="Georgia" w:eastAsia="Georgia"/>
          <w:b w:val="0"/>
          <w:i w:val="0"/>
          <w:color w:val="1F242E"/>
          <w:sz w:val="21"/>
        </w:rPr>
        <w:t>The criminal case (People v. Keeler, LASC Norwalk No. NA123456-01, Veh. C. § 23153(a)) is proceeding on the same certified BAC; its outcome will be relevant to the civil proceedings.</w:t>
      </w:r>
      <w:r w:themeColor="">
        <w:rPr>
          <w:rFonts w:ascii="Georgia" w:hAnsi="Georgia" w:cs="Georgia" w:eastAsia="Georgia"/>
          <w:b w:val="0"/>
          <w:i/>
          <w:color w:val="1F242E"/>
          <w:sz w:val="21"/>
        </w:rPr>
      </w:r>
      <w:r w:themeColor="">
        <w:rPr>
          <w:rFonts w:ascii="Georgia" w:hAnsi="Georgia" w:cs="Georgia" w:eastAsia="Georgia"/>
          <w:b w:val="0"/>
          <w:i w:val="0"/>
          <w:color w:val="1F242E"/>
          <w:sz w:val="21"/>
        </w:rPr>
      </w:r>
    </w:p>
    <w:p>
      <w:pPr>
        <w:keepNext/>
        <w:spacing w:before="320" w:after="120"/>
        <w:jc w:val="left"/>
        <w:pBdr>
          <w:bottom w:val="single" w:sz="8" w:space="4" w:color="B5651D"/>
        </w:pBdr>
      </w:pPr>
      <w:r w:themeColor="">
        <w:rPr>
          <w:rFonts w:ascii="Helvetica" w:hAnsi="Helvetica" w:cs="Helvetica" w:eastAsia="Helvetica"/>
          <w:b/>
          <w:color w:val="1A2D5C"/>
          <w:sz w:val="27"/>
          <w:u w:val="single"/>
          <w:spacing w:val="10"/>
        </w:rPr>
        <w:t>3.  Damages Exposure (Pedestrian — Reyes)</w:t>
      </w:r>
    </w:p>
    <w:p>
      <w:pPr>
        <w:spacing w:before="0" w:after="160" w:line="322" w:lineRule="auto"/>
        <w:ind w:firstLine="0"/>
        <w:jc w:val="both"/>
      </w:pPr>
      <w:r w:themeColor="">
        <w:rPr>
          <w:rFonts w:ascii="Georgia" w:hAnsi="Georgia" w:cs="Georgia" w:eastAsia="Georgia"/>
          <w:i/>
          <w:color w:val="1F242E"/>
          <w:sz w:val="21"/>
        </w:rPr>
        <w:t>Injury profile.</w:t>
      </w:r>
      <w:r w:themeColor="">
        <w:rPr>
          <w:rFonts w:ascii="Georgia" w:hAnsi="Georgia" w:cs="Georgia" w:eastAsia="Georgia"/>
          <w:color w:val="1F242E"/>
          <w:sz w:val="21"/>
        </w:rPr>
        <w:t xml:space="preserve"> Ms. Reyes sustained catastrophic injuries in the collision. Trauma-center records through the date of this memorandum reflect severe closed traumatic brain injury with prolonged loss of consciousness and intracranial hemorrhage; unstable pelvic ring fracture with operative fixation; bilateral lower-extremity long-bone fractures with staged operative management; multiple rib fractures with pulmonary contusion; extended intensive-care course including mechanical ventilation and tracheostomy; and inpatient rehabilitation admission anticipated on discharge from acute care. Prognosis for return to independent function is guarded, and long-term attendant care is anticipated.</w:t>
      </w:r>
    </w:p>
    <w:p>
      <w:pPr>
        <w:spacing w:before="0" w:after="160" w:line="322" w:lineRule="auto"/>
        <w:ind w:firstLine="0"/>
        <w:jc w:val="both"/>
      </w:pPr>
      <w:r w:themeColor="">
        <w:rPr>
          <w:rFonts w:ascii="Georgia" w:hAnsi="Georgia" w:cs="Georgia" w:eastAsia="Georgia"/>
          <w:b w:val="0"/>
          <w:i/>
          <w:color w:val="1F242E"/>
          <w:sz w:val="21"/>
        </w:rPr>
        <w:t>Past medical — billed to date. Aggregate chargemaster charges from Rivergate Regional Trauma Center and associated providers reported into the claims file through mid-December 2025 approximate $2.84M billed. The Medi-Cal / private-plan paid-loss and lien picture is being developed and is not yet complete on file.</w:t>
      </w:r>
      <w:r w:themeColor="">
        <w:rPr>
          <w:rFonts w:ascii="Georgia" w:hAnsi="Georgia" w:cs="Georgia" w:eastAsia="Georgia"/>
          <w:b w:val="0"/>
          <w:i w:val="0"/>
          <w:color w:val="1F242E"/>
          <w:sz w:val="21"/>
        </w:rPr>
      </w:r>
      <w:r w:themeColor="">
        <w:rPr>
          <w:rFonts w:ascii="Georgia" w:hAnsi="Georgia" w:cs="Georgia" w:eastAsia="Georgia"/>
          <w:b/>
          <w:i w:val="0"/>
          <w:color w:val="1F242E"/>
          <w:sz w:val="21"/>
        </w:rPr>
      </w:r>
      <w:r w:themeColor="">
        <w:rPr>
          <w:rFonts w:ascii="Georgia" w:hAnsi="Georgia" w:cs="Georgia" w:eastAsia="Georgia"/>
          <w:b w:val="0"/>
          <w:i w:val="0"/>
          <w:color w:val="1F242E"/>
          <w:sz w:val="21"/>
        </w:rPr>
      </w:r>
      <w:r w:themeColor="">
        <w:rPr>
          <w:rFonts w:ascii="Georgia" w:hAnsi="Georgia" w:cs="Georgia" w:eastAsia="Georgia"/>
          <w:b w:val="0"/>
          <w:i/>
          <w:color w:val="1F242E"/>
          <w:sz w:val="21"/>
        </w:rPr>
      </w:r>
      <w:r w:themeColor="">
        <w:rPr>
          <w:rFonts w:ascii="Georgia" w:hAnsi="Georgia" w:cs="Georgia" w:eastAsia="Georgia"/>
          <w:b w:val="0"/>
          <w:i w:val="0"/>
          <w:color w:val="1F242E"/>
          <w:sz w:val="21"/>
        </w:rPr>
      </w:r>
    </w:p>
    <w:p>
      <w:pPr>
        <w:spacing w:before="0" w:after="160" w:line="322" w:lineRule="auto"/>
        <w:ind w:firstLine="0"/>
        <w:jc w:val="both"/>
      </w:pPr>
      <w:r w:themeColor="">
        <w:rPr>
          <w:rFonts w:ascii="Georgia" w:hAnsi="Georgia" w:cs="Georgia" w:eastAsia="Georgia"/>
          <w:i/>
          <w:color w:val="1F242E"/>
          <w:sz w:val="21"/>
        </w:rPr>
        <w:t>Future medical.</w:t>
      </w:r>
      <w:r w:themeColor="">
        <w:rPr>
          <w:rFonts w:ascii="Georgia" w:hAnsi="Georgia" w:cs="Georgia" w:eastAsia="Georgia"/>
          <w:color w:val="1F242E"/>
          <w:sz w:val="21"/>
        </w:rPr>
        <w:t xml:space="preserve"> No defense-directed life-care plan or medical-economic workup is yet on file. Reyes's treating team has indicated an anticipated need for extended inpatient rehabilitation followed by long-horizon attendant care, ongoing physiatry and neuropsychology follow-up, durable medical equipment, and home modifications. The future-medical component on a catastrophic-TBI plaintiff of Ms. Reyes's age (34) is expected to be the single largest component of exposure, but it cannot be sized on this file until the life-care plan and its accompanying present-value economic appendix are completed by retained defense-side experts.</w:t>
      </w:r>
    </w:p>
    <w:p>
      <w:pPr>
        <w:spacing w:before="0" w:after="160" w:line="322" w:lineRule="auto"/>
        <w:ind w:firstLine="0"/>
        <w:jc w:val="both"/>
      </w:pPr>
      <w:r w:themeColor="">
        <w:rPr>
          <w:rFonts w:ascii="Georgia" w:hAnsi="Georgia" w:cs="Georgia" w:eastAsia="Georgia"/>
          <w:i/>
          <w:color w:val="1F242E"/>
          <w:sz w:val="21"/>
        </w:rPr>
        <w:t>Lost earning capacity.</w:t>
      </w:r>
      <w:r w:themeColor="">
        <w:rPr>
          <w:rFonts w:ascii="Georgia" w:hAnsi="Georgia" w:cs="Georgia" w:eastAsia="Georgia"/>
          <w:color w:val="1F242E"/>
          <w:sz w:val="21"/>
        </w:rPr>
        <w:t xml:space="preserve"> Ms. Reyes was employed pre-collision as a retail sales associate at an annualized wage in the low-$40Ks. A vocational and earning-capacity workup has not been performed as of the date of this memorandum. Given the anticipated cognitive and physical impairments, the loss-of-earning-capacity component is expected to be substantial but is not yet quantified.</w:t>
      </w:r>
    </w:p>
    <w:p>
      <w:pPr>
        <w:spacing w:before="0" w:after="160" w:line="322" w:lineRule="auto"/>
        <w:ind w:firstLine="0"/>
        <w:jc w:val="both"/>
      </w:pPr>
      <w:r w:themeColor="">
        <w:rPr>
          <w:rFonts w:ascii="Georgia" w:hAnsi="Georgia" w:cs="Georgia" w:eastAsia="Georgia"/>
          <w:i/>
          <w:color w:val="1F242E"/>
          <w:sz w:val="21"/>
        </w:rPr>
        <w:t>Non-economic damages.</w:t>
      </w:r>
      <w:r w:themeColor="">
        <w:rPr>
          <w:rFonts w:ascii="Georgia" w:hAnsi="Georgia" w:cs="Georgia" w:eastAsia="Georgia"/>
          <w:color w:val="1F242E"/>
          <w:sz w:val="21"/>
        </w:rPr>
        <w:t xml:space="preserve"> No MICRA cap applies (this is a public-entity personal-injury case, not a medical malpractice case). Non-economic exposure on a catastrophic-TBI plaintiff of Ms. Reyes's age with the injury profile above is expected to be significant. A reasoned range will be developed with defense counsel after the medical and life-care picture matures.</w:t>
      </w:r>
    </w:p>
    <w:p>
      <w:pPr>
        <w:spacing w:before="0" w:after="160" w:line="322" w:lineRule="auto"/>
        <w:ind w:firstLine="0"/>
        <w:jc w:val="both"/>
      </w:pPr>
      <w:r w:themeColor="">
        <w:rPr>
          <w:rFonts w:ascii="Georgia" w:hAnsi="Georgia" w:cs="Georgia" w:eastAsia="Georgia"/>
          <w:i/>
          <w:color w:val="1F242E"/>
          <w:sz w:val="21"/>
        </w:rPr>
        <w:t>Passenger claims — separate track.</w:t>
      </w:r>
      <w:r w:themeColor="">
        <w:rPr>
          <w:rFonts w:ascii="Georgia" w:hAnsi="Georgia" w:cs="Georgia" w:eastAsia="Georgia"/>
          <w:color w:val="1F242E"/>
          <w:sz w:val="21"/>
        </w:rPr>
        <w:t xml:space="preserve"> Devin Cho (ORIF right tibia/fibula, Grade 2 concussion, four-day hospitalization, extended work restriction) and Alicia Mowbray (cervical/lumbar strain, contusions, PT and light-duty course) present as additional, separately-tracked exposures against the same liability facts. Their exposures are reserved separately on their respective sub-files and are not embedded in the pedestrian reserve set below.</w:t>
      </w:r>
    </w:p>
    <w:p>
      <w:pPr>
        <w:spacing w:before="0" w:after="160" w:line="322" w:lineRule="auto"/>
        <w:ind w:firstLine="0"/>
        <w:jc w:val="both"/>
      </w:pPr>
      <w:r w:themeColor="">
        <w:rPr>
          <w:rFonts w:ascii="Georgia" w:hAnsi="Georgia" w:cs="Georgia" w:eastAsia="Georgia"/>
          <w:i/>
          <w:color w:val="1F242E"/>
          <w:sz w:val="21"/>
        </w:rPr>
        <w:t>Collateral sources / § 985.</w:t>
      </w:r>
      <w:r w:themeColor="">
        <w:rPr>
          <w:rFonts w:ascii="Georgia" w:hAnsi="Georgia" w:cs="Georgia" w:eastAsia="Georgia"/>
          <w:color w:val="1F242E"/>
          <w:sz w:val="21"/>
        </w:rPr>
        <w:t xml:space="preserve"> Government Code § 985 post-verdict collateral-source reduction (with Medi-Cal an included collateral source) will be available to the District as a defense-invoked mechanism against any net recovery; this affects net exposure and not the gross reserve set here.</w:t>
      </w:r>
    </w:p>
    <w:p>
      <w:pPr>
        <w:keepNext/>
        <w:spacing w:before="320" w:after="120"/>
        <w:jc w:val="left"/>
        <w:pBdr>
          <w:bottom w:val="single" w:sz="8" w:space="4" w:color="B5651D"/>
        </w:pBdr>
      </w:pPr>
      <w:r w:themeColor="">
        <w:rPr>
          <w:rFonts w:ascii="Helvetica" w:hAnsi="Helvetica" w:cs="Helvetica" w:eastAsia="Helvetica"/>
          <w:b/>
          <w:color w:val="1A2D5C"/>
          <w:sz w:val="27"/>
          <w:u w:val="single"/>
          <w:spacing w:val="10"/>
        </w:rPr>
        <w:t>4.  Reserve</w:t>
      </w:r>
    </w:p>
    <w:p>
      <w:pPr>
        <w:keepNext/>
        <w:spacing w:before="160" w:after="40" w:line="276" w:lineRule="auto"/>
      </w:pPr>
      <w:r w:themeColor="">
        <w:rPr>
          <w:rFonts w:ascii="Helvetica" w:hAnsi="Helvetica" w:cs="Helvetica" w:eastAsia="Helvetica"/>
          <w:b/>
          <w:i w:val="0"/>
          <w:color w:val="2A3F6E"/>
          <w:sz w:val="21"/>
          <w:spacing w:val="10"/>
        </w:rPr>
        <w:t>Prior reserve — Briggs, 10/28/2025: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192"/>
        <w:gridCol w:w="2736"/>
      </w:tblGrid>
      <w:tr>
        <w:tc>
          <w:tcPr>
            <w:tcW w:type="dxa" w:w="6192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1A2D5C"/>
            <w:tcBorders>
              <w:top w:val="single" w:sz="8" w:space="0" w:color="1A2D5C"/>
              <w:bottom w:val="single" w:sz="8" w:space="0" w:color="1A2D5C"/>
            </w:tcBorders>
          </w:tcPr>
          <w:p>
            <w:pPr>
              <w:spacing w:before="20" w:after="20" w:line="276" w:lineRule="auto"/>
              <w:jc w:val="left"/>
            </w:pPr>
            <w:r w:themeColor="">
              <w:rPr>
                <w:rFonts w:ascii="Helvetica" w:hAnsi="Helvetica" w:cs="Helvetica" w:eastAsia="Helvetica"/>
                <w:b/>
                <w:color w:val="FFFFFF"/>
                <w:sz w:val="19"/>
                <w:spacing w:val="15"/>
              </w:rPr>
            </w:r>
            <w:r w:themeColor="">
              <w:rPr>
                <w:rFonts w:ascii="Helvetica" w:hAnsi="Helvetica" w:cs="Helvetica" w:eastAsia="Helvetica"/>
                <w:b/>
                <w:color w:val="FFFFFF"/>
                <w:sz w:val="19"/>
                <w:spacing w:val="15"/>
              </w:rPr>
              <w:t>Component</w:t>
            </w:r>
          </w:p>
        </w:tc>
        <w:tc>
          <w:tcPr>
            <w:tcW w:type="dxa" w:w="2736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1A2D5C"/>
            <w:tcBorders>
              <w:top w:val="single" w:sz="8" w:space="0" w:color="1A2D5C"/>
              <w:bottom w:val="single" w:sz="8" w:space="0" w:color="1A2D5C"/>
            </w:tcBorders>
          </w:tcPr>
          <w:p>
            <w:pPr>
              <w:spacing w:before="20" w:after="20" w:line="276" w:lineRule="auto"/>
              <w:jc w:val="right"/>
            </w:pPr>
            <w:r w:themeColor="">
              <w:rPr>
                <w:rFonts w:ascii="Helvetica" w:hAnsi="Helvetica" w:cs="Helvetica" w:eastAsia="Helvetica"/>
                <w:b/>
                <w:color w:val="FFFFFF"/>
                <w:sz w:val="19"/>
                <w:spacing w:val="15"/>
              </w:rPr>
            </w:r>
            <w:r w:themeColor="">
              <w:rPr>
                <w:rFonts w:ascii="Helvetica" w:hAnsi="Helvetica" w:cs="Helvetica" w:eastAsia="Helvetica"/>
                <w:b/>
                <w:color w:val="FFFFFF"/>
                <w:sz w:val="19"/>
                <w:spacing w:val="15"/>
              </w:rPr>
              <w:t>Amount</w:t>
            </w:r>
          </w:p>
        </w:tc>
      </w:tr>
      <w:tr>
        <w:tc>
          <w:tcPr>
            <w:tcW w:type="dxa" w:w="6192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FFFFF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left"/>
            </w:pP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</w: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  <w:t>Pedestrian (Reyes) placeholder</w:t>
            </w:r>
          </w:p>
        </w:tc>
        <w:tc>
          <w:tcPr>
            <w:tcW w:type="dxa" w:w="2736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FFFFF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right"/>
            </w:pP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</w: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  <w:t>$190,000</w:t>
            </w:r>
          </w:p>
        </w:tc>
      </w:tr>
      <w:tr>
        <w:tc>
          <w:tcPr>
            <w:tcW w:type="dxa" w:w="6192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4F5F7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left"/>
            </w:pP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</w: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  <w:t>Passenger (Cho) — orthopedic / concussion</w:t>
            </w:r>
          </w:p>
        </w:tc>
        <w:tc>
          <w:tcPr>
            <w:tcW w:type="dxa" w:w="2736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4F5F7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right"/>
            </w:pP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</w: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  <w:t>$45,000</w:t>
            </w:r>
          </w:p>
        </w:tc>
      </w:tr>
      <w:tr>
        <w:tc>
          <w:tcPr>
            <w:tcW w:type="dxa" w:w="6192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FFFFF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left"/>
            </w:pP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</w: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  <w:t>Passenger (Mowbray) — soft-tissue strain</w:t>
            </w:r>
          </w:p>
        </w:tc>
        <w:tc>
          <w:tcPr>
            <w:tcW w:type="dxa" w:w="2736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FFFFF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right"/>
            </w:pP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</w: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  <w:t>$10,000</w:t>
            </w:r>
          </w:p>
        </w:tc>
      </w:tr>
      <w:tr>
        <w:tc>
          <w:tcPr>
            <w:tcW w:type="dxa" w:w="6192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4F5F7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left"/>
            </w:pP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</w: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  <w:t>Allocated expense placeholder</w:t>
            </w:r>
          </w:p>
        </w:tc>
        <w:tc>
          <w:tcPr>
            <w:tcW w:type="dxa" w:w="2736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4F5F7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right"/>
            </w:pP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</w: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  <w:t>$5,000</w:t>
            </w:r>
          </w:p>
        </w:tc>
      </w:tr>
      <w:tr>
        <w:tc>
          <w:tcPr>
            <w:tcW w:type="dxa" w:w="6192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FFFFF"/>
            <w:tcBorders>
              <w:bottom w:val="single" w:sz="8" w:space="0" w:color="1A2D5C"/>
            </w:tcBorders>
          </w:tcPr>
          <w:p>
            <w:pPr>
              <w:spacing w:before="20" w:after="20" w:line="276" w:lineRule="auto"/>
              <w:jc w:val="left"/>
            </w:pP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  <w:t>Prior initial reserve — Briggs, 10/28/2025</w:t>
            </w: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</w:r>
          </w:p>
        </w:tc>
        <w:tc>
          <w:tcPr>
            <w:tcW w:type="dxa" w:w="2736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FFFFF"/>
            <w:tcBorders>
              <w:bottom w:val="single" w:sz="8" w:space="0" w:color="1A2D5C"/>
            </w:tcBorders>
          </w:tcPr>
          <w:p>
            <w:pPr>
              <w:spacing w:before="20" w:after="20" w:line="276" w:lineRule="auto"/>
              <w:jc w:val="right"/>
            </w:pPr>
            <w:r w:themeColor="">
              <w:rPr>
                <w:rFonts w:ascii="Helvetica" w:hAnsi="Helvetica" w:cs="Helvetica" w:eastAsia="Helvetica"/>
                <w:b w:val="0"/>
                <w:color w:val="B5651D"/>
                <w:sz w:val="21"/>
              </w:rPr>
            </w:r>
            <w:r w:themeColor="">
              <w:rPr>
                <w:rFonts w:ascii="Helvetica" w:hAnsi="Helvetica" w:cs="Helvetica" w:eastAsia="Helvetica"/>
                <w:b w:val="0"/>
                <w:color w:val="B5651D"/>
                <w:sz w:val="21"/>
              </w:rPr>
              <w:t>$250,000</w:t>
            </w:r>
          </w:p>
        </w:tc>
      </w:tr>
    </w:tbl>
    <w:p>
      <w:pPr>
        <w:spacing w:before="0" w:after="80" w:line="276" w:lineRule="auto"/>
      </w:pPr>
    </w:p>
    <w:p>
      <w:pPr>
        <w:keepNext/>
        <w:spacing w:before="160" w:after="40" w:line="276" w:lineRule="auto"/>
      </w:pPr>
      <w:r w:themeColor="">
        <w:rPr>
          <w:rFonts w:ascii="Helvetica" w:hAnsi="Helvetica" w:cs="Helvetica" w:eastAsia="Helvetica"/>
          <w:b w:val="0"/>
          <w:i w:val="0"/>
          <w:color w:val="2A3F6E"/>
          <w:sz w:val="21"/>
          <w:spacing w:val="10"/>
        </w:rPr>
        <w:t>Controlling reserve — this memorandum, 12/15/2025:</w:t>
      </w:r>
    </w:p>
    <w:p>
      <w:pPr>
        <w:spacing w:before="40" w:after="120"/>
      </w:pPr>
      <w:r w:themeColor="">
        <w:rPr>
          <w:rFonts w:ascii="Helvetica" w:hAnsi="Helvetica" w:cs="Helvetica" w:eastAsia="Helvetica"/>
          <w:b/>
          <w:color w:val="B5651D"/>
          <w:sz w:val="30"/>
          <w:spacing w:val="10"/>
        </w:rPr>
        <w:t>$3,250,000</w:t>
      </w:r>
      <w:r w:themeColor="">
        <w:rPr>
          <w:rFonts w:ascii="Georgia" w:hAnsi="Georgia" w:cs="Georgia" w:eastAsia="Georgia"/>
          <w:i/>
          <w:color w:val="1F242E"/>
          <w:sz w:val="21"/>
        </w:rPr>
        <w:t>, indicatively allocated as follows: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192"/>
        <w:gridCol w:w="2736"/>
      </w:tblGrid>
      <w:tr>
        <w:tc>
          <w:tcPr>
            <w:tcW w:type="dxa" w:w="6192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1A2D5C"/>
            <w:tcBorders>
              <w:top w:val="single" w:sz="8" w:space="0" w:color="1A2D5C"/>
              <w:bottom w:val="single" w:sz="8" w:space="0" w:color="1A2D5C"/>
            </w:tcBorders>
          </w:tcPr>
          <w:p>
            <w:pPr>
              <w:spacing w:before="20" w:after="20" w:line="276" w:lineRule="auto"/>
              <w:jc w:val="left"/>
            </w:pPr>
            <w:r w:themeColor="">
              <w:rPr>
                <w:rFonts w:ascii="Helvetica" w:hAnsi="Helvetica" w:cs="Helvetica" w:eastAsia="Helvetica"/>
                <w:b/>
                <w:color w:val="FFFFFF"/>
                <w:sz w:val="19"/>
                <w:spacing w:val="15"/>
              </w:rPr>
            </w:r>
            <w:r w:themeColor="">
              <w:rPr>
                <w:rFonts w:ascii="Helvetica" w:hAnsi="Helvetica" w:cs="Helvetica" w:eastAsia="Helvetica"/>
                <w:b/>
                <w:color w:val="FFFFFF"/>
                <w:sz w:val="19"/>
                <w:spacing w:val="15"/>
              </w:rPr>
              <w:t>Component (pedestrian — Reyes)</w:t>
            </w:r>
          </w:p>
        </w:tc>
        <w:tc>
          <w:tcPr>
            <w:tcW w:type="dxa" w:w="2736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1A2D5C"/>
            <w:tcBorders>
              <w:top w:val="single" w:sz="8" w:space="0" w:color="1A2D5C"/>
              <w:bottom w:val="single" w:sz="8" w:space="0" w:color="1A2D5C"/>
            </w:tcBorders>
          </w:tcPr>
          <w:p>
            <w:pPr>
              <w:spacing w:before="20" w:after="20" w:line="276" w:lineRule="auto"/>
              <w:jc w:val="right"/>
            </w:pPr>
            <w:r w:themeColor="">
              <w:rPr>
                <w:rFonts w:ascii="Helvetica" w:hAnsi="Helvetica" w:cs="Helvetica" w:eastAsia="Helvetica"/>
                <w:b/>
                <w:color w:val="FFFFFF"/>
                <w:sz w:val="19"/>
                <w:spacing w:val="15"/>
              </w:rPr>
            </w:r>
            <w:r w:themeColor="">
              <w:rPr>
                <w:rFonts w:ascii="Helvetica" w:hAnsi="Helvetica" w:cs="Helvetica" w:eastAsia="Helvetica"/>
                <w:b/>
                <w:color w:val="FFFFFF"/>
                <w:sz w:val="19"/>
                <w:spacing w:val="15"/>
              </w:rPr>
              <w:t>Amount</w:t>
            </w:r>
          </w:p>
        </w:tc>
      </w:tr>
      <w:tr>
        <w:tc>
          <w:tcPr>
            <w:tcW w:type="dxa" w:w="6192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FFFFF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left"/>
            </w:pP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</w: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  <w:t>Past medical (billed to date; exact recoverable amount pending maturity of lien/EOB picture)</w:t>
            </w:r>
          </w:p>
        </w:tc>
        <w:tc>
          <w:tcPr>
            <w:tcW w:type="dxa" w:w="2736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FFFFF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right"/>
            </w:pP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</w: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  <w:t>noted; not separately valued</w:t>
            </w:r>
          </w:p>
        </w:tc>
      </w:tr>
      <w:tr>
        <w:tc>
          <w:tcPr>
            <w:tcW w:type="dxa" w:w="6192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4F5F7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left"/>
            </w:pP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</w: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  <w:t>Anticipated future medical (pending defense life-care plan and PV appendix)</w:t>
            </w:r>
          </w:p>
        </w:tc>
        <w:tc>
          <w:tcPr>
            <w:tcW w:type="dxa" w:w="2736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4F5F7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right"/>
            </w:pP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</w: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  <w:t>$2,000,000</w:t>
            </w:r>
          </w:p>
        </w:tc>
      </w:tr>
      <w:tr>
        <w:tc>
          <w:tcPr>
            <w:tcW w:type="dxa" w:w="6192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FFFFF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left"/>
            </w:pP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</w: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  <w:t>Anticipated lost earning capacity (pending vocational workup)</w:t>
            </w:r>
          </w:p>
        </w:tc>
        <w:tc>
          <w:tcPr>
            <w:tcW w:type="dxa" w:w="2736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FFFFF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right"/>
            </w:pP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</w: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  <w:t>$400,000</w:t>
            </w:r>
          </w:p>
        </w:tc>
      </w:tr>
      <w:tr>
        <w:tc>
          <w:tcPr>
            <w:tcW w:type="dxa" w:w="6192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4F5F7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left"/>
            </w:pP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</w: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  <w:t>Non-economic (reasoned pending medical maturity)</w:t>
            </w:r>
          </w:p>
        </w:tc>
        <w:tc>
          <w:tcPr>
            <w:tcW w:type="dxa" w:w="2736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4F5F7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right"/>
            </w:pP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</w: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  <w:t>$750,000</w:t>
            </w:r>
          </w:p>
        </w:tc>
      </w:tr>
      <w:tr>
        <w:tc>
          <w:tcPr>
            <w:tcW w:type="dxa" w:w="6192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FFFFF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left"/>
            </w:pP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</w: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  <w:t>Allocated loss-adjustment expense (defense costs, experts)</w:t>
            </w:r>
          </w:p>
        </w:tc>
        <w:tc>
          <w:tcPr>
            <w:tcW w:type="dxa" w:w="2736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FFFFF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right"/>
            </w:pP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</w: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  <w:t>$100,000</w:t>
            </w:r>
          </w:p>
        </w:tc>
      </w:tr>
      <w:tr>
        <w:tc>
          <w:tcPr>
            <w:tcW w:type="dxa" w:w="6192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4F5F7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left"/>
            </w:pP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</w: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  <w:t>Reyes sub-total</w:t>
            </w:r>
          </w:p>
        </w:tc>
        <w:tc>
          <w:tcPr>
            <w:tcW w:type="dxa" w:w="2736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4F5F7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right"/>
            </w:pP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</w: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  <w:t>$3,250,000</w:t>
            </w:r>
          </w:p>
        </w:tc>
      </w:tr>
      <w:tr>
        <w:tc>
          <w:tcPr>
            <w:tcW w:type="dxa" w:w="6192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FFFFF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left"/>
            </w:pP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</w: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  <w:t>Passenger claims (Cho; Mowbray) — RESERVED SEPARATELY on their own sub-files</w:t>
            </w:r>
          </w:p>
        </w:tc>
        <w:tc>
          <w:tcPr>
            <w:tcW w:type="dxa" w:w="2736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FFFFF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right"/>
            </w:pP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</w: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  <w:t>not included above</w:t>
            </w:r>
          </w:p>
        </w:tc>
      </w:tr>
      <w:tr>
        <w:tc>
          <w:tcPr>
            <w:tcW w:type="dxa" w:w="6192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4F5F7"/>
            <w:tcBorders>
              <w:bottom w:val="single" w:sz="8" w:space="0" w:color="1A2D5C"/>
            </w:tcBorders>
          </w:tcPr>
          <w:p>
            <w:pPr>
              <w:spacing w:before="20" w:after="20" w:line="276" w:lineRule="auto"/>
              <w:jc w:val="left"/>
            </w:pPr>
            <w:r w:themeColor="">
              <w:rPr>
                <w:rFonts w:ascii="Georgia" w:hAnsi="Georgia" w:cs="Georgia" w:eastAsia="Georgia"/>
                <w:b/>
                <w:color w:val="1F242E"/>
                <w:sz w:val="20"/>
              </w:rPr>
            </w:r>
            <w:r w:themeColor="">
              <w:rPr>
                <w:rFonts w:ascii="Georgia" w:hAnsi="Georgia" w:cs="Georgia" w:eastAsia="Georgia"/>
                <w:b/>
                <w:color w:val="1F242E"/>
                <w:sz w:val="20"/>
              </w:rPr>
              <w:t>City of Rivergate property claim (anticipated; demand not yet received) — RESERVED SEPARATELY</w:t>
            </w:r>
          </w:p>
        </w:tc>
        <w:tc>
          <w:tcPr>
            <w:tcW w:type="dxa" w:w="2736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4F5F7"/>
            <w:tcBorders>
              <w:bottom w:val="single" w:sz="8" w:space="0" w:color="1A2D5C"/>
            </w:tcBorders>
          </w:tcPr>
          <w:p>
            <w:pPr>
              <w:spacing w:before="20" w:after="20" w:line="276" w:lineRule="auto"/>
              <w:jc w:val="right"/>
            </w:pPr>
            <w:r w:themeColor="">
              <w:rPr>
                <w:rFonts w:ascii="Helvetica" w:hAnsi="Helvetica" w:cs="Helvetica" w:eastAsia="Helvetica"/>
                <w:b/>
                <w:color w:val="B5651D"/>
                <w:sz w:val="21"/>
              </w:rPr>
            </w:r>
            <w:r w:themeColor="">
              <w:rPr>
                <w:rFonts w:ascii="Helvetica" w:hAnsi="Helvetica" w:cs="Helvetica" w:eastAsia="Helvetica"/>
                <w:b/>
                <w:color w:val="B5651D"/>
                <w:sz w:val="21"/>
              </w:rPr>
              <w:t>not included above</w:t>
            </w:r>
          </w:p>
        </w:tc>
      </w:tr>
    </w:tbl>
    <w:p>
      <w:pPr>
        <w:spacing w:before="0" w:after="80" w:line="276" w:lineRule="auto"/>
      </w:pPr>
    </w:p>
    <w:p>
      <w:pPr>
        <w:spacing w:before="0" w:after="160" w:line="322" w:lineRule="auto"/>
        <w:ind w:firstLine="0"/>
        <w:jc w:val="both"/>
      </w:pPr>
      <w:r w:themeColor="">
        <w:rPr>
          <w:rFonts w:ascii="Georgia" w:hAnsi="Georgia" w:cs="Georgia" w:eastAsia="Georgia"/>
          <w:b w:val="0"/>
          <w:i/>
          <w:color w:val="1F242E"/>
          <w:sz w:val="21"/>
        </w:rPr>
        <w:t>Basis and limitations. The controlling figure above supersedes the 10/28/2025 initial note. It is set on the current record — the confirmed 0.14% blood BAC, the 11/21/2025 within-scope determination, and the initial catastrophic-injury documentation — and specifically before completion of (a) the certified life-care plan and its present-value economic appendix, and (b) the vocational / earning-capacity workup. The future-medical and lost-earning-capacity components carried above are placeholders based on preliminary treating-team indications and on-file wage information; they are not the product of retained expert workup. This reserve will be revisited upon receipt of the life-care plan with present-value appendix, the vocational/economic report, and the maturing paid-loss and lien picture.</w:t>
      </w:r>
      <w:r w:themeColor="">
        <w:rPr>
          <w:rFonts w:ascii="Georgia" w:hAnsi="Georgia" w:cs="Georgia" w:eastAsia="Georgia"/>
          <w:b w:val="0"/>
          <w:i w:val="0"/>
          <w:color w:val="1F242E"/>
          <w:sz w:val="21"/>
        </w:rPr>
      </w:r>
      <w:r w:themeColor="">
        <w:rPr>
          <w:rFonts w:ascii="Georgia" w:hAnsi="Georgia" w:cs="Georgia" w:eastAsia="Georgia"/>
          <w:b/>
          <w:i w:val="0"/>
          <w:color w:val="1F242E"/>
          <w:sz w:val="21"/>
        </w:rPr>
      </w:r>
      <w:r w:themeColor="">
        <w:rPr>
          <w:rFonts w:ascii="Georgia" w:hAnsi="Georgia" w:cs="Georgia" w:eastAsia="Georgia"/>
          <w:b w:val="0"/>
          <w:i w:val="0"/>
          <w:color w:val="1F242E"/>
          <w:sz w:val="21"/>
        </w:rPr>
      </w:r>
      <w:r w:themeColor="">
        <w:rPr>
          <w:rFonts w:ascii="Georgia" w:hAnsi="Georgia" w:cs="Georgia" w:eastAsia="Georgia"/>
          <w:b/>
          <w:i w:val="0"/>
          <w:color w:val="1F242E"/>
          <w:sz w:val="21"/>
        </w:rPr>
      </w:r>
      <w:r w:themeColor="">
        <w:rPr>
          <w:rFonts w:ascii="Georgia" w:hAnsi="Georgia" w:cs="Georgia" w:eastAsia="Georgia"/>
          <w:b w:val="0"/>
          <w:i w:val="0"/>
          <w:color w:val="1F242E"/>
          <w:sz w:val="21"/>
        </w:rPr>
      </w:r>
    </w:p>
    <w:p>
      <w:pPr>
        <w:spacing w:before="0" w:after="160" w:line="322" w:lineRule="auto"/>
        <w:ind w:firstLine="0"/>
        <w:jc w:val="both"/>
      </w:pPr>
      <w:r w:themeColor="">
        <w:rPr>
          <w:rFonts w:ascii="Georgia" w:hAnsi="Georgia" w:cs="Georgia" w:eastAsia="Georgia"/>
          <w:i/>
          <w:color w:val="1F242E"/>
          <w:sz w:val="21"/>
        </w:rPr>
        <w:t>Coverage.</w:t>
      </w:r>
      <w:r w:themeColor="">
        <w:rPr>
          <w:rFonts w:ascii="Georgia" w:hAnsi="Georgia" w:cs="Georgia" w:eastAsia="Georgia"/>
          <w:color w:val="1F242E"/>
          <w:sz w:val="21"/>
        </w:rPr>
        <w:t xml:space="preserve"> The District's self-insured retention on this line of coverage is $2,000,000. The first excess layer is $8,000,000 above the SIR through the Southern California Public-Entity Risk Alliance (SCPERA) pool, with a pooled program limit of $25,000,000. Notice to the excess pool has been coordinated with counsel and is docketed. The controlling reserve set above pierces the SIR and reaches into the first excess layer; SCPERA notice and reporting cadence should be maintained.</w:t>
      </w:r>
    </w:p>
    <w:p>
      <w:pPr>
        <w:keepNext/>
        <w:spacing w:before="320" w:after="120"/>
        <w:jc w:val="left"/>
        <w:pBdr>
          <w:bottom w:val="single" w:sz="8" w:space="4" w:color="B5651D"/>
        </w:pBdr>
      </w:pPr>
      <w:r w:themeColor="">
        <w:rPr>
          <w:rFonts w:ascii="Helvetica" w:hAnsi="Helvetica" w:cs="Helvetica" w:eastAsia="Helvetica"/>
          <w:b/>
          <w:color w:val="1A2D5C"/>
          <w:sz w:val="27"/>
          <w:u w:val="single"/>
          <w:spacing w:val="10"/>
        </w:rPr>
        <w:t>5.  Next Steps</w:t>
      </w:r>
    </w:p>
    <w:p>
      <w:pPr>
        <w:spacing w:before="40" w:after="120" w:line="312" w:lineRule="auto"/>
        <w:ind w:left="432" w:hanging="432"/>
        <w:jc w:val="both"/>
      </w:pPr>
      <w:r w:themeColor="">
        <w:rPr>
          <w:rFonts w:ascii="Georgia" w:hAnsi="Georgia" w:cs="Georgia" w:eastAsia="Georgia"/>
          <w:color w:val="1F242E"/>
          <w:sz w:val="21"/>
        </w:rPr>
        <w:t>1.</w:t>
        <w:tab/>
        <w:t>Formally assign the file to Delfino Marek LLP (M. Vega) as outside defense counsel; confirm and maintain the litigation hold placed by the Office of the General Counsel on 10/18/2025 over the operator file, the vehicle file for Bus #4177, the Block 512-OWL run schedule and duty roster, the AVL/GPS export, the APC/farebox export, the DriveCam video, the dispatch log, and the on-scene draft incident report.</w:t>
      </w:r>
    </w:p>
    <w:p>
      <w:pPr>
        <w:spacing w:before="40" w:after="120" w:line="312" w:lineRule="auto"/>
        <w:ind w:left="432" w:hanging="432"/>
        <w:jc w:val="both"/>
      </w:pPr>
      <w:r w:themeColor="">
        <w:rPr>
          <w:rFonts w:ascii="Georgia" w:hAnsi="Georgia" w:cs="Georgia" w:eastAsia="Georgia"/>
          <w:color w:val="1F242E"/>
          <w:sz w:val="21"/>
        </w:rPr>
        <w:t>2.</w:t>
        <w:tab/>
        <w:t>Retain (a) a certified life-care planner and supporting economist to prepare a defense-directed life-care plan with present-value economic appendix on Ms. Reyes, and (b) a vocational/economic expert to prepare a defense earning-capacity workup.</w:t>
      </w:r>
    </w:p>
    <w:p>
      <w:pPr>
        <w:spacing w:before="40" w:after="120" w:line="312" w:lineRule="auto"/>
        <w:ind w:left="432" w:hanging="432"/>
        <w:jc w:val="both"/>
      </w:pPr>
      <w:r w:themeColor="">
        <w:rPr>
          <w:rFonts w:ascii="Georgia" w:hAnsi="Georgia" w:cs="Georgia" w:eastAsia="Georgia"/>
          <w:color w:val="1F242E"/>
          <w:sz w:val="21"/>
        </w:rPr>
        <w:t>3.</w:t>
        <w:tab/>
        <w:t>Continue open medical-records collection from Rivergate Regional Trauma Center and (upon transfer) from the receiving inpatient-rehabilitation facility; develop the paid-loss picture and the Medi-Cal / private-plan lien posture.</w:t>
      </w:r>
    </w:p>
    <w:p>
      <w:pPr>
        <w:spacing w:before="40" w:after="120" w:line="312" w:lineRule="auto"/>
        <w:ind w:left="432" w:hanging="432"/>
        <w:jc w:val="both"/>
      </w:pPr>
      <w:r w:themeColor="">
        <w:rPr>
          <w:rFonts w:ascii="Georgia" w:hAnsi="Georgia" w:cs="Georgia" w:eastAsia="Georgia"/>
          <w:color w:val="1F242E"/>
          <w:sz w:val="21"/>
        </w:rPr>
        <w:t>4.</w:t>
        <w:tab/>
        <w:t>Calendar per-claimant claim-presentation and suit-limitation dates for each track (Reyes — pedestrian; Cho and Mowbray — passengers; City of Rivergate — property) with counsel; per-claimant computation governs.</w:t>
      </w:r>
    </w:p>
    <w:p>
      <w:pPr>
        <w:spacing w:before="40" w:after="120" w:line="312" w:lineRule="auto"/>
        <w:ind w:left="432" w:hanging="432"/>
        <w:jc w:val="both"/>
      </w:pPr>
      <w:r w:themeColor="">
        <w:rPr>
          <w:rFonts w:ascii="Georgia" w:hAnsi="Georgia" w:cs="Georgia" w:eastAsia="Georgia"/>
          <w:color w:val="1F242E"/>
          <w:sz w:val="21"/>
        </w:rPr>
        <w:t>5.</w:t>
        <w:tab/>
        <w:t xml:space="preserve">Continue full cooperation with the Rivergate Police Department, the Los Angeles County District Attorney (Norwalk), and the Sheriff's Scientific Services Bureau in </w:t>
      </w:r>
      <w:r w:themeColor="">
        <w:rPr>
          <w:rFonts w:ascii="Georgia" w:hAnsi="Georgia" w:cs="Georgia" w:eastAsia="Georgia"/>
          <w:i/>
          <w:color w:val="1F242E"/>
          <w:sz w:val="21"/>
        </w:rPr>
        <w:t>People v. Keeler</w:t>
      </w:r>
      <w:r w:themeColor="">
        <w:rPr>
          <w:rFonts w:ascii="Georgia" w:hAnsi="Georgia" w:cs="Georgia" w:eastAsia="Georgia"/>
          <w:color w:val="1F242E"/>
          <w:sz w:val="21"/>
        </w:rPr>
        <w:t>, routed through the Office of the General Counsel.</w:t>
      </w:r>
    </w:p>
    <w:p>
      <w:pPr>
        <w:spacing w:before="40" w:after="120" w:line="312" w:lineRule="auto"/>
        <w:ind w:left="432" w:hanging="432"/>
        <w:jc w:val="both"/>
      </w:pPr>
      <w:r w:themeColor="">
        <w:rPr>
          <w:rFonts w:ascii="Georgia" w:hAnsi="Georgia" w:cs="Georgia" w:eastAsia="Georgia"/>
          <w:color w:val="1F242E"/>
          <w:sz w:val="21"/>
        </w:rPr>
        <w:t>6.</w:t>
        <w:tab/>
        <w:t>Report the revised reserve up to the SCPERA excess pool per reporting protocol; brief the Board's Safety and Risk subcommittee at its next regular meeting, coordinated with the Office of the General Counsel.</w:t>
      </w:r>
    </w:p>
    <w:p>
      <w:pPr>
        <w:spacing w:before="40" w:after="120" w:line="312" w:lineRule="auto"/>
        <w:ind w:left="432" w:hanging="432"/>
        <w:jc w:val="both"/>
      </w:pPr>
      <w:r w:themeColor="">
        <w:rPr>
          <w:rFonts w:ascii="Georgia" w:hAnsi="Georgia" w:cs="Georgia" w:eastAsia="Georgia"/>
          <w:color w:val="1F242E"/>
          <w:sz w:val="21"/>
        </w:rPr>
        <w:t>7.</w:t>
        <w:tab/>
        <w:t>Re-evaluate this reserve on receipt of the life-care plan and PV appendix, on receipt of the vocational/economic report, on any material change in Ms. Reyes's medical trajectory, and on presentation of any Gov. Code § 910 claim by a claimant not yet on file.</w:t>
      </w:r>
    </w:p>
    <w:p>
      <w:pPr>
        <w:spacing w:before="0" w:after="80" w:line="276" w:lineRule="auto"/>
        <w:pBdr>
          <w:bottom w:val="single" w:sz="8" w:space="1" w:color="000000"/>
        </w:pBdr>
      </w:pPr>
    </w:p>
    <w:p>
      <w:pPr>
        <w:spacing w:before="360" w:after="40" w:line="276" w:lineRule="auto"/>
        <w:jc w:val="center"/>
      </w:pPr>
      <w:r w:themeColor="">
        <w:rPr>
          <w:rFonts w:ascii="Georgia" w:hAnsi="Georgia" w:cs="Georgia" w:eastAsia="Georgia"/>
          <w:b w:val="0"/>
          <w:i w:val="0"/>
          <w:color w:val="6B7280"/>
          <w:sz w:val="21"/>
        </w:rPr>
        <w:t>_______________________________________</w:t>
      </w:r>
    </w:p>
    <w:p>
      <w:pPr>
        <w:spacing w:before="0" w:after="0" w:line="276" w:lineRule="auto"/>
        <w:jc w:val="center"/>
      </w:pPr>
      <w:r w:themeColor="">
        <w:rPr>
          <w:rFonts w:ascii="Helvetica" w:hAnsi="Helvetica" w:cs="Helvetica" w:eastAsia="Helvetica"/>
          <w:b/>
          <w:i w:val="0"/>
          <w:color w:val="1A2D5C"/>
          <w:sz w:val="22"/>
          <w:spacing w:val="20"/>
        </w:rPr>
        <w:t>Gordon Espinoza</w:t>
      </w:r>
    </w:p>
    <w:p>
      <w:pPr>
        <w:spacing w:before="0" w:after="0" w:line="276" w:lineRule="auto"/>
        <w:jc w:val="center"/>
      </w:pPr>
      <w:r w:themeColor="">
        <w:rPr>
          <w:rFonts w:ascii="Helvetica" w:hAnsi="Helvetica" w:cs="Helvetica" w:eastAsia="Helvetica"/>
          <w:b w:val="0"/>
          <w:i w:val="0"/>
          <w:color w:val="6B7280"/>
          <w:sz w:val="18"/>
          <w:spacing w:val="20"/>
        </w:rPr>
        <w:t>Senior Claims Manager — Risk &amp; Claims</w:t>
      </w:r>
    </w:p>
    <w:p>
      <w:pPr>
        <w:spacing w:before="0" w:after="0" w:line="276" w:lineRule="auto"/>
        <w:jc w:val="center"/>
      </w:pPr>
      <w:r w:themeColor="">
        <w:rPr>
          <w:rFonts w:ascii="Helvetica" w:hAnsi="Helvetica" w:cs="Helvetica" w:eastAsia="Helvetica"/>
          <w:b w:val="0"/>
          <w:i w:val="0"/>
          <w:color w:val="6B7280"/>
          <w:sz w:val="18"/>
          <w:spacing w:val="20"/>
        </w:rPr>
        <w:t>Alder Creek Transit District</w:t>
      </w:r>
    </w:p>
    <w:p>
      <w:pPr>
        <w:spacing w:before="40" w:after="0" w:line="276" w:lineRule="auto"/>
        <w:jc w:val="center"/>
      </w:pPr>
      <w:r w:themeColor="">
        <w:rPr>
          <w:rFonts w:ascii="Helvetica" w:hAnsi="Helvetica" w:cs="Helvetica" w:eastAsia="Helvetica"/>
          <w:b w:val="0"/>
          <w:i w:val="0"/>
          <w:color w:val="6B7280"/>
          <w:sz w:val="17"/>
          <w:spacing w:val="10"/>
        </w:rPr>
        <w:t>gespinoza@actd.gov  ·  (626) 555-0134</w:t>
      </w:r>
    </w:p>
    <w:p>
      <w:pPr>
        <w:spacing w:before="80" w:after="0" w:line="276" w:lineRule="auto"/>
        <w:jc w:val="center"/>
      </w:pPr>
      <w:r w:themeColor="">
        <w:rPr>
          <w:rFonts w:ascii="Helvetica" w:hAnsi="Helvetica" w:cs="Helvetica" w:eastAsia="Helvetica"/>
          <w:b w:val="0"/>
          <w:i/>
          <w:color w:val="6B7280"/>
          <w:sz w:val="18"/>
          <w:spacing w:val="10"/>
        </w:rPr>
        <w:t>Dated: December 15, 2025</w:t>
      </w:r>
    </w:p>
    <w:p>
      <w:pPr>
        <w:spacing w:before="0" w:after="80" w:line="276" w:lineRule="auto"/>
        <w:pBdr>
          <w:bottom w:val="single" w:sz="8" w:space="1" w:color="000000"/>
        </w:pBdr>
      </w:pPr>
    </w:p>
    <w:p>
      <w:pPr>
        <w:spacing w:before="40" w:after="40" w:line="276" w:lineRule="auto"/>
        <w:jc w:val="center"/>
        <w:pBdr>
          <w:top w:val="single" w:sz="4" w:space="3" w:color="B5651D"/>
          <w:bottom w:val="single" w:sz="4" w:space="3" w:color="B5651D"/>
        </w:pBdr>
        <w:shd w:val="clear" w:color="auto" w:fill="F4F5F7"/>
      </w:pPr>
      <w:r w:themeColor="">
        <w:rPr>
          <w:rFonts w:ascii="Helvetica" w:hAnsi="Helvetica" w:cs="Helvetica" w:eastAsia="Helvetica"/>
          <w:b/>
          <w:i w:val="0"/>
          <w:color w:val="6B7280"/>
          <w:sz w:val="15"/>
          <w:spacing w:val="40"/>
        </w:rPr>
        <w:t>PRIVILEGED &amp; CONFIDENTIAL — ATTORNEY-CLIENT COMMUNICATION / WORK PRODUCT — PREPARED AT DIRECTION OF COUNSEL IN ANTICIPATION OF LITIGATION</w:t>
      </w:r>
    </w:p>
    <w:sectPr w:rsidR="00FC693F" w:rsidRPr="0006063C" w:rsidSect="00034616">
      <w:pgSz w:w="12240" w:h="15840"/>
      <w:pgMar w:top="1296" w:right="1656" w:bottom="1296" w:left="165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auto" w:line="317" w:after="140" w:before="0"/>
    </w:pPr>
    <w:rPr>
      <w:rFonts w:ascii="Georgia" w:hAnsi="Georgia"/>
      <w:color w:val="1F242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</a:majorFont>
      <a:minorFont>
        <a:latin typeface="Cambria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cp:category/>
</cp:coreProperties>
</file>