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and at the published S. Main / Third timepoint at the moment of the collision. This Final Incident Report was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val="0"/>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val="0"/>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Operator Assignment and Route Verification</w:t>
      </w:r>
    </w:p>
    <w:p>
      <w:pPr>
        <w:spacing w:after="120" w:line="283" w:lineRule="auto" w:before="0"/>
        <w:jc w:val="both"/>
      </w:pPr>
      <w:r>
        <w:rPr>
          <w:rFonts w:ascii="Calibri" w:hAnsi="Calibri" w:cs="Calibri" w:eastAsia="Calibri"/>
          <w:b w:val="0"/>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for Incident No. ACTD-IR-2025-1018, that it has been prepared following completion of the internal safety investigation and after receipt of the certified evidentiary blood-BAC result from the Los Angeles County Sheriff's Department Scientific Services Bureau.</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