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0" w:after="160" w:line="317" w:lineRule="auto"/>
        <w:jc w:val="both"/>
      </w:pPr>
      <w:r>
        <w:rPr>
          <w:rFonts w:ascii="Georgia" w:hAnsi="Georgia"/>
          <w:i/>
          <w:sz w:val="21"/>
        </w:rPr>
        <w:t xml:space="preserve">Partial-incapacity ground under § 911.6(b)(5). </w:t>
      </w:r>
      <w:r>
        <w:rPr>
          <w:rFonts w:ascii="Georgia" w:hAnsi="Georgia"/>
          <w:i w:val="0"/>
          <w:sz w:val="21"/>
        </w:rPr>
        <w:t>A partial-incapacity ground is also technically available under this subsection (incapacity during any part of the presentation window, application filed within six months of capacity being restored or one year from accrual, whichever is earlier), and does not on its face appear time-barred on these facts. The firm does not intend to rely on it as a primary ground, however: the client’s capacity was restored 02/05/2026, more than ten weeks before the presentation window closed, and this firm was retained 03/05/2026 with 46 days still remaining on the window. Courts have found that a claimant’s demonstrated ability to retain counsel within the presentation period undercuts a finding that incapacity was the operative cause of the delay in presenting a claim. See Harrison v. County of Del Norte (1985) 168 Cal.App.3d 1. The same causation gap that limits an excusable-neglect argument under (b)(1) likely limits reliance on (b)(5) here.</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