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Bdr>
          <w:bottom w:val="single" w:sz="6" w:space="1" w:color="000000"/>
        </w:pBdr>
      </w:pPr>
      <w:r>
        <w:rPr>
          <w:rFonts w:ascii="Helvetica Neue" w:hAnsi="Helvetica Neue" w:cs="Helvetica Neue" w:eastAsia="Helvetica Neue"/>
          <w:b/>
          <w:i w:val="0"/>
          <w:sz w:val="15"/>
          <w:caps w:val="true"/>
          <w:spacing w:val="120"/>
        </w:rPr>
        <w:t>ATTORNEY-CLIENT PRIVILEGED · ATTORNEY WORK PRODUCT — PREPARED IN ANTICIPATION OF LITIGATION</w:t>
      </w:r>
    </w:p>
    <w:p>
      <w:pPr>
        <w:spacing w:before="280" w:after="40" w:line="240" w:lineRule="auto"/>
        <w:jc w:val="center"/>
      </w:pPr>
      <w:r>
        <w:rPr>
          <w:rFonts w:ascii="Didot" w:hAnsi="Didot" w:cs="Didot" w:eastAsia="Didot"/>
          <w:b w:val="0"/>
          <w:i w:val="0"/>
          <w:sz w:val="52"/>
          <w:spacing w:val="40"/>
        </w:rPr>
        <w:t>HALSTEAD &amp; CRUZ LLP</w:t>
      </w:r>
    </w:p>
    <w:p>
      <w:pPr>
        <w:spacing w:after="20" w:before="0" w:line="240" w:lineRule="auto"/>
        <w:jc w:val="center"/>
      </w:pPr>
      <w:r>
        <w:rPr>
          <w:rFonts w:ascii="Helvetica Neue" w:hAnsi="Helvetica Neue" w:cs="Helvetica Neue" w:eastAsia="Helvetica Neue"/>
          <w:b w:val="0"/>
          <w:i w:val="0"/>
          <w:sz w:val="18"/>
          <w:spacing w:val="20"/>
        </w:rPr>
        <w:t>88 South Grand Avenue, Suite 2400 · Los Angeles, California 90071</w:t>
      </w:r>
    </w:p>
    <w:p>
      <w:pPr>
        <w:spacing w:after="200" w:before="0" w:line="240" w:lineRule="auto"/>
        <w:jc w:val="center"/>
        <w:pBdr>
          <w:bottom w:val="single" w:sz="8" w:space="6" w:color="141A2E"/>
        </w:pBdr>
      </w:pPr>
      <w:r>
        <w:rPr>
          <w:rFonts w:ascii="Helvetica Neue" w:hAnsi="Helvetica Neue" w:cs="Helvetica Neue" w:eastAsia="Helvetica Neue"/>
          <w:b w:val="0"/>
          <w:i w:val="0"/>
          <w:sz w:val="18"/>
          <w:spacing w:val="20"/>
        </w:rPr>
        <w:t>Tel. (213) 555-0170</w:t>
      </w:r>
    </w:p>
    <w:p>
      <w:pPr>
        <w:spacing w:before="280" w:after="40" w:line="240" w:lineRule="auto"/>
        <w:jc w:val="center"/>
        <w:pBdr>
          <w:bottom w:val="single" w:sz="6" w:space="1" w:color="000000"/>
        </w:pBdr>
      </w:pPr>
      <w:r>
        <w:rPr>
          <w:rFonts w:ascii="Helvetica Neue" w:hAnsi="Helvetica Neue" w:cs="Helvetica Neue" w:eastAsia="Helvetica Neue"/>
          <w:b/>
          <w:i w:val="0"/>
          <w:sz w:val="22"/>
          <w:caps w:val="true"/>
          <w:spacing w:val="320"/>
        </w:rPr>
        <w:t>INTERNAL INTAKE / CASE-STRATEGY MEMORANDUM</w:t>
      </w:r>
    </w:p>
    <w:tbl>
      <w:tblPr>
        <w:tblW w:type="auto" w:w="0"/>
        <w:tblLayout w:type="fixed"/>
        <w:tblLook w:firstColumn="1" w:firstRow="1" w:lastColumn="0" w:lastRow="0" w:noHBand="0" w:noVBand="1" w:val="04A0"/>
        <w:jc w:val="center"/>
        <w:tblBorders>
          <w:top w:val="nil"/>
          <w:bottom w:val="nil"/>
          <w:left w:val="nil"/>
          <w:right w:val="nil"/>
          <w:insideH w:val="nil"/>
          <w:insideV w:val="nil"/>
        </w:tblBorders>
      </w:tblPr>
      <w:tblGrid>
        <w:gridCol w:w="1728"/>
        <w:gridCol w:w="7632"/>
      </w:tblGrid>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TO:</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Reyes Matter File — H&amp;C Matter No. HC-2026-0087</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FROM:</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Nora Halstead, Partner (SBN 369314)</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DATE:</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03/10/2026</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RE:</w:t>
            </w:r>
          </w:p>
        </w:tc>
        <w:tc>
          <w:tcPr>
            <w:tcW w:type="dxa" w:w="7200"/>
            <w:vAlign w:val="top"/>
            <w:tcMar>
              <w:top w:w="60" w:type="dxa"/>
              <w:bottom w:w="60" w:type="dxa"/>
              <w:left w:w="0" w:type="dxa"/>
              <w:right w:w="120" w:type="dxa"/>
            </w:tcMar>
          </w:tcPr>
          <w:p>
            <w:pPr>
              <w:spacing w:after="0" w:before="0" w:line="269" w:lineRule="auto"/>
              <w:pBdr>
                <w:bottom w:val="single" w:sz="4" w:space="4" w:color="E2E5EC"/>
              </w:pBdr>
            </w:pPr>
            <w:r>
              <w:rPr>
                <w:rFonts w:ascii="Georgia" w:hAnsi="Georgia" w:cs="Georgia" w:eastAsia="Georgia"/>
                <w:sz w:val="21"/>
              </w:rPr>
              <w:t>Yolanda Reyes v. Alder Creek Transit District, et al. — Intake summary, liability &amp; damages assessment, Government Claims Act posture, and internal presentation target</w:t>
            </w:r>
          </w:p>
        </w:tc>
      </w:tr>
      <w:tr>
        <w:tc>
          <w:tcPr>
            <w:tcW w:type="dxa" w:w="1944"/>
            <w:vAlign w:val="top"/>
            <w:tcMar>
              <w:top w:w="60" w:type="dxa"/>
              <w:bottom w:w="60" w:type="dxa"/>
              <w:left w:w="0" w:type="dxa"/>
              <w:right w:w="120" w:type="dxa"/>
            </w:tcMar>
            <w:shd w:val="clear" w:color="auto" w:fill="EDEEF3"/>
          </w:tcPr>
          <w:p>
            <w:pPr>
              <w:spacing w:after="0" w:before="0" w:line="269" w:lineRule="auto"/>
            </w:pPr>
            <w:r>
              <w:rPr>
                <w:rFonts w:ascii="Helvetica Neue" w:hAnsi="Helvetica Neue" w:cs="Helvetica Neue" w:eastAsia="Helvetica Neue"/>
                <w:b/>
                <w:sz w:val="17"/>
                <w:caps w:val="true"/>
                <w:spacing w:val="160"/>
              </w:rPr>
              <w:t>DISTRIBUTION:</w:t>
            </w:r>
          </w:p>
        </w:tc>
        <w:tc>
          <w:tcPr>
            <w:tcW w:type="dxa" w:w="7200"/>
            <w:vAlign w:val="top"/>
            <w:tcMar>
              <w:top w:w="60" w:type="dxa"/>
              <w:bottom w:w="60" w:type="dxa"/>
              <w:left w:w="0" w:type="dxa"/>
              <w:right w:w="120" w:type="dxa"/>
            </w:tcMar>
          </w:tcPr>
          <w:p>
            <w:pPr>
              <w:spacing w:after="0" w:before="0" w:line="269" w:lineRule="auto"/>
            </w:pPr>
            <w:r>
              <w:rPr>
                <w:rFonts w:ascii="Georgia" w:hAnsi="Georgia" w:cs="Georgia" w:eastAsia="Georgia"/>
                <w:sz w:val="21"/>
              </w:rPr>
              <w:t>Case file only. Do not circulate outside the assigned team. Do not include in any communication with the client, adverse parties, or third parties without partner review.</w:t>
            </w:r>
          </w:p>
        </w:tc>
      </w:tr>
    </w:tbl>
    <w:p>
      <w:pPr>
        <w:spacing w:before="0" w:after="80" w:line="240" w:lineRule="auto"/>
        <w:pBdr>
          <w:bottom w:val="single" w:sz="6" w:space="1" w:color="000000"/>
        </w:pBdr>
      </w:pPr>
    </w:p>
    <w:p>
      <w:pPr>
        <w:spacing w:before="320" w:after="160" w:line="240" w:lineRule="auto"/>
        <w:pBdr>
          <w:top w:val="single" w:sz="14" w:space="8" w:color="8B1A1A"/>
        </w:pBdr>
      </w:pPr>
      <w:r>
        <w:rPr>
          <w:rFonts w:ascii="Helvetica Neue" w:hAnsi="Helvetica Neue" w:cs="Helvetica Neue" w:eastAsia="Helvetica Neue"/>
          <w:b/>
          <w:sz w:val="25"/>
          <w:u w:val="single"/>
          <w:spacing w:val="20"/>
        </w:rPr>
        <w:t>1.  Client &amp; Retention Summary</w:t>
      </w:r>
    </w:p>
    <w:p>
      <w:pPr>
        <w:spacing w:after="160" w:before="0" w:line="322" w:lineRule="auto"/>
        <w:jc w:val="both"/>
      </w:pPr>
      <w:r>
        <w:rPr>
          <w:rFonts w:ascii="Georgia" w:hAnsi="Georgia" w:cs="Georgia" w:eastAsia="Georgia"/>
          <w:sz w:val="22"/>
        </w:rPr>
        <w:t>Yolanda Reyes (DOB 06/22/1991; age 34 at incident) retained Halstead &amp; Cruz LLP on 03/05/2026 pursuant to a written contingency fee agreement executed the same day. Retention followed a referral from the Rivergate Bar Lawyer Referral Service, which had in turn taken an intake call from the client's sister, Marisela Reyes, in late February. The signed retainer, Statement of Client's Rights disclosures (Bus. &amp; Prof. Code § 6147), and initial conflicts screen are in the matter file.</w:t>
      </w:r>
    </w:p>
    <w:p>
      <w:pPr>
        <w:spacing w:after="160" w:before="0" w:line="317" w:lineRule="auto"/>
        <w:jc w:val="both"/>
      </w:pPr>
      <w:r>
        <w:rPr>
          <w:rFonts w:ascii="Georgia" w:hAnsi="Georgia" w:cs="Georgia" w:eastAsia="Georgia"/>
          <w:sz w:val="21"/>
        </w:rPr>
        <w:t>The scope of engagement, as set forth in Section 1 of the retainer, covers investigation, prosecution, and (where appropriate) resolution of Ms. Reyes's personal-injury claim arising out of the 10/18/2025 bus-versus-pedestrian collision in downtown Rivergate. Presently identified adverse parties are (i) the Alder Creek Transit District ("ACTD" or "the District"), a California public transit special district and public entity within the meaning of Gov. Code § 811.2, and (ii) Raymond T. Keeler, the on-duty ACTD Owl-service operator of the bus that struck the client. The scope expressly includes compliance with statutory pre-suit procedures applicable to claims against public entities under the California Government Claims Act.</w:t>
      </w:r>
    </w:p>
    <w:p>
      <w:pPr>
        <w:spacing w:after="160" w:before="0" w:line="317" w:lineRule="auto"/>
        <w:jc w:val="both"/>
      </w:pPr>
      <w:r>
        <w:rPr>
          <w:rFonts w:ascii="Georgia" w:hAnsi="Georgia" w:cs="Georgia" w:eastAsia="Georgia"/>
          <w:sz w:val="21"/>
        </w:rPr>
        <w:t>The client is currently in her sixth week of outpatient rehabilitation at the Alder Creek Neuro-Rehabilitation Institute (4501 Recovery Parkway, Rivergate). Her acute-care admission at Rivergate Regional Trauma Center ran from 10/18/2025 through 12/22/2025, at which point she stepped down to the Institute's inpatient program; she transitioned to outpatient status in early February 2026. Present cognitive functioning: on the client interview conducted 03/05/2026 (partner Halstead and associate Ruiz-Kim present), Ms. Reyes was oriented ×3, tracked the discussion, described the retainer terms back to counsel accurately, asked appropriate questions about fees and the litigation timeline, and executed the retainer without prompting. Her sister was present as a supportive third party but did not sign for the client. The temporary conservatorship petitioned by Ms. Reyes's sister on 10/28/2025 and granted 11/10/2025 was TERMINATED by order of the probate court on 02/05/2026 following the treating physiatrist's certification of restored capacity. The client is therefore, in counsel's judgment as of the intake meeting, cognitively capable of instructing counsel and of executing an enforceable retainer.</w:t>
      </w:r>
    </w:p>
    <w:p>
      <w:pPr>
        <w:spacing w:after="160" w:before="0" w:line="317" w:lineRule="auto"/>
        <w:jc w:val="both"/>
      </w:pPr>
      <w:r>
        <w:rPr>
          <w:rFonts w:ascii="Georgia" w:hAnsi="Georgia" w:cs="Georgia" w:eastAsia="Georgia"/>
          <w:sz w:val="21"/>
        </w:rPr>
        <w:t>Immediate deliverables directed at intake: (a) execute HIPAA authorizations covering Trauma Center, the Institute, prior primary-care and OB/GYN providers, and Medi-Cal/DHCS; (b) open records requests to all identified providers, including chargemaster billing and EOB/paid-amount ledgers; (c) request the police traffic-collision report and any supplemental narratives from Rivergate PD; (d) send a preservation-demand letter to ACTD General Counsel Diane Farkas covering AVL/GPS, farebox/APC exports, dashcam, dispatch audio, run-schedule and duty-roster records, and Operator Keeler's employment/discipline/DMV pull-notice file; (e) file a California Public Records Act request in parallel for the operational records not covered by the preservation letter.</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2.  Liability Assessment — Strong</w:t>
      </w:r>
    </w:p>
    <w:p>
      <w:pPr>
        <w:spacing w:after="160" w:before="0" w:line="322" w:lineRule="auto"/>
        <w:jc w:val="both"/>
      </w:pPr>
      <w:r>
        <w:rPr>
          <w:rFonts w:ascii="Georgia" w:hAnsi="Georgia" w:cs="Georgia" w:eastAsia="Georgia"/>
          <w:sz w:val="22"/>
        </w:rPr>
        <w:t>Liability against both Keeler personally and the District through respondeat superior looks strong on the presently available record.</w:t>
      </w:r>
    </w:p>
    <w:p>
      <w:pPr>
        <w:spacing w:after="160" w:before="0" w:line="317" w:lineRule="auto"/>
        <w:jc w:val="both"/>
      </w:pPr>
      <w:r>
        <w:rPr>
          <w:rFonts w:ascii="Georgia" w:hAnsi="Georgia" w:cs="Georgia" w:eastAsia="Georgia"/>
          <w:b w:val="0"/>
          <w:i/>
          <w:sz w:val="21"/>
        </w:rPr>
        <w:t>Operator conduct. The Rivergate PD traffic-collision report (TC-2025-1018) documents that at approximately 02:05 a.m. on Saturday, 10/18/2025, an ACTD Owl-service bus operating on South Main Street just north of Third Avenue left its lane, struck a City of Rivergate street-light standard (knocking out power to the fixture), and then struck Ms. Reyes at the adjacent bus stop. Officer Delacruz's roadside preliminary breath test on Keeler, administered at approximately 02:15 a.m., returned a reading of 0.11%. A certified evidentiary blood specimen was drawn at approximately 03:10 a.m. and returned from the L.A. County Sheriff's Department Scientific Services Bureau Crime Laboratory on 11/07/2025 at 0.14% BAC (Criminalist Whitford; chain-of-custody intact per accompanying documentation). DOT post-accident compliance testing under 49 CFR Part 655 followed later that morning.</w:t>
      </w:r>
      <w:r>
        <w:rPr>
          <w:rFonts w:ascii="Georgia" w:hAnsi="Georgia" w:cs="Georgia" w:eastAsia="Georgia"/>
          <w:b w:val="0"/>
          <w:i w:val="0"/>
          <w:sz w:val="21"/>
        </w:rPr>
      </w:r>
      <w:r>
        <w:rPr>
          <w:rFonts w:ascii="Georgia" w:hAnsi="Georgia" w:cs="Georgia" w:eastAsia="Georgia"/>
          <w:b/>
          <w:i w:val="0"/>
          <w:sz w:val="21"/>
        </w:rPr>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Criminal case. The L.A. County District Attorney has charged Keeler with felony DUI causing injury under Veh. Code § 23153(a) (People v. Raymond T. Keeler, LASC-Norwalk Case No. NA123456-01; DDA Priya Mahalingam assigned). A plea to Count 1 is set on the criminal court's calendar and, per DDA Mahalingam's counter-desk representation to associate Ruiz-Kim on 03/06/2026, is expected to enter as a no-contest plea in early April 2026. Once entered, the criminal disposition may carry evidentiary significance in the civil action; the precise scope and use of that disposition will be analyzed as the criminal case concludes.</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Course and scope. Keeler was on shift as an ACTD bus operator (clock-in 10/17/2025 at 10:00 p.m. per the pullout/duty roster), operating an ACTD-owned Owl-service bus, on the fixed route to which he was bid and assigned (Owl Route 512; block ID 512-OWL).</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 xml:space="preserve">Comparative fault. </w:t>
      </w:r>
      <w:r>
        <w:rPr>
          <w:rFonts w:ascii="Georgia" w:hAnsi="Georgia" w:cs="Georgia" w:eastAsia="Georgia"/>
          <w:b w:val="0"/>
          <w:i w:val="0"/>
          <w:sz w:val="21"/>
        </w:rPr>
        <w:t>Minimal to non-existent as to the client. The bus struck the light standard first; the darkened intersection was an effect of Keeler's conduct, not a contributing cause of Ms. Reyes's being struck. She was a lawful pedestrian at a marked bus stop.</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3.  Damages Assessment — Catastrophic</w:t>
      </w:r>
    </w:p>
    <w:p>
      <w:pPr>
        <w:spacing w:after="160" w:before="0" w:line="322" w:lineRule="auto"/>
        <w:jc w:val="both"/>
      </w:pPr>
      <w:r>
        <w:rPr>
          <w:rFonts w:ascii="Georgia" w:hAnsi="Georgia" w:cs="Georgia" w:eastAsia="Georgia"/>
          <w:sz w:val="22"/>
        </w:rPr>
        <w:t>Damages are catastrophic and, on current information, well in excess of ACTD's $2.0M self-insured retention and likely into the excess layer.</w:t>
      </w:r>
    </w:p>
    <w:p>
      <w:pPr>
        <w:spacing w:after="160" w:before="0" w:line="317" w:lineRule="auto"/>
        <w:jc w:val="both"/>
      </w:pPr>
      <w:r>
        <w:rPr>
          <w:rFonts w:ascii="Georgia" w:hAnsi="Georgia" w:cs="Georgia" w:eastAsia="Georgia"/>
          <w:b w:val="0"/>
          <w:i/>
          <w:sz w:val="21"/>
        </w:rPr>
        <w:t xml:space="preserve">Injuries. </w:t>
      </w:r>
      <w:r>
        <w:rPr>
          <w:rFonts w:ascii="Georgia" w:hAnsi="Georgia" w:cs="Georgia" w:eastAsia="Georgia"/>
          <w:b w:val="0"/>
          <w:i w:val="0"/>
          <w:sz w:val="21"/>
        </w:rPr>
        <w:t>Per Rivergate Regional Trauma Center admission (Dr. Priya Ramaswamy, MD) and course-of-care summaries (Dr. Andrew Steinbach, MD): diffuse axonal injury (TBI), unstable pelvic ring fracture, bilateral lower-extremity fractures, thoracic contusions, and post-traumatic amnesia. The client was airlifted, intubated, and placed in a medically induced coma during the first 72 hours; she remained an ICU inpatient for the balance of the acute-care admission (through 12/22/2025), stepped down to inpatient rehab at the Alder Creek Neuro-Rehabilitation Institute, and transitioned to outpatient rehab in early February. Serial neuropsychological evaluation (Dr. Marcus Vandenberg, PhD, ABPP-CN, evaluation of 02/03/2026) documents steady, one-directional cognitive recovery from the acute phase. She has not returned to work and, per treating physiatry, is not expected to return to her pre-incident occupation.</w:t>
      </w:r>
    </w:p>
    <w:p>
      <w:pPr>
        <w:spacing w:after="160" w:before="0" w:line="317" w:lineRule="auto"/>
        <w:jc w:val="both"/>
      </w:pPr>
      <w:r>
        <w:rPr>
          <w:rFonts w:ascii="Georgia" w:hAnsi="Georgia" w:cs="Georgia" w:eastAsia="Georgia"/>
          <w:b w:val="0"/>
          <w:i/>
          <w:sz w:val="21"/>
        </w:rPr>
        <w:t>Past medical. Chargemaster billing across Trauma Center, air ambulance, orthopedics, and inpatient rehab is currently in the range of ~$2.84M and rising. Paid/accepted amounts and the Medi-Cal / DHCS lien picture are being developed by Grace Chen from the EOB packet and the DHCS notice of lien.</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Future medical. Life-care planning is in progress. Cynthia Ohanian, RN, BSN, CLCP has been engaged and is targeting a completed plan by early May. Preliminary indications suggest a level-annuity model in the range of ~$180K/yr over a ~36-year horizon, with a present-value calculation to be reduced to discounted dollars by economist Dr. Nathaniel Frome, PhD. Voc/economic will be prepared by Dana McCauley, MA, CRC.</w:t>
      </w:r>
      <w:r>
        <w:rPr>
          <w:rFonts w:ascii="Georgia" w:hAnsi="Georgia" w:cs="Georgia" w:eastAsia="Georgia"/>
          <w:b w:val="0"/>
          <w:i w:val="0"/>
          <w:sz w:val="21"/>
        </w:rPr>
      </w:r>
    </w:p>
    <w:p>
      <w:pPr>
        <w:spacing w:after="160" w:before="0" w:line="317" w:lineRule="auto"/>
        <w:jc w:val="both"/>
      </w:pPr>
      <w:r>
        <w:rPr>
          <w:rFonts w:ascii="Georgia" w:hAnsi="Georgia" w:cs="Georgia" w:eastAsia="Georgia"/>
          <w:b w:val="0"/>
          <w:i/>
          <w:sz w:val="21"/>
        </w:rPr>
        <w:t xml:space="preserve">Wage loss / lost earning capacity. </w:t>
      </w:r>
      <w:r>
        <w:rPr>
          <w:rFonts w:ascii="Georgia" w:hAnsi="Georgia" w:cs="Georgia" w:eastAsia="Georgia"/>
          <w:b w:val="0"/>
          <w:i w:val="0"/>
          <w:sz w:val="21"/>
        </w:rPr>
        <w:t>Pre-incident: sales associate, Coastline Home Goods, Inc.; $23.50/hr × ~34 hrs/wk (~$41.5K annualized). Employment-verification letter obtained from HR Manager Melinda Torres. Lost earning capacity present-value work is queued with McCauley.</w:t>
      </w:r>
    </w:p>
    <w:p>
      <w:pPr>
        <w:spacing w:after="160" w:before="0" w:line="317" w:lineRule="auto"/>
        <w:jc w:val="both"/>
      </w:pPr>
      <w:r>
        <w:rPr>
          <w:rFonts w:ascii="Georgia" w:hAnsi="Georgia" w:cs="Georgia" w:eastAsia="Georgia"/>
          <w:b w:val="0"/>
          <w:i/>
          <w:sz w:val="21"/>
        </w:rPr>
        <w:t xml:space="preserve">Noneconomic. </w:t>
      </w:r>
      <w:r>
        <w:rPr>
          <w:rFonts w:ascii="Georgia" w:hAnsi="Georgia" w:cs="Georgia" w:eastAsia="Georgia"/>
          <w:b w:val="0"/>
          <w:i w:val="0"/>
          <w:sz w:val="21"/>
        </w:rPr>
        <w:t>No MICRA cap; this is a public-entity personal-injury matter, not health-care professional negligence. Reasoned range to be developed post-LCP.</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4.  Government Claims Act Posture</w:t>
      </w:r>
    </w:p>
    <w:p>
      <w:pPr>
        <w:spacing w:after="160" w:before="0" w:line="322" w:lineRule="auto"/>
        <w:jc w:val="both"/>
      </w:pPr>
      <w:r>
        <w:rPr>
          <w:rFonts w:ascii="Georgia" w:hAnsi="Georgia" w:cs="Georgia" w:eastAsia="Georgia"/>
          <w:sz w:val="22"/>
        </w:rPr>
        <w:t>The client's claim is governed by the Government Claims Act (Gov. Code §§ 900 et seq.). Presentation of a compliant § 910 claim to the District is a prerequisite to suit (§ 945.4).</w:t>
      </w:r>
    </w:p>
    <w:p>
      <w:pPr>
        <w:spacing w:after="160" w:before="0" w:line="317" w:lineRule="auto"/>
        <w:jc w:val="both"/>
      </w:pPr>
      <w:r>
        <w:rPr>
          <w:rFonts w:ascii="Georgia" w:hAnsi="Georgia" w:cs="Georgia" w:eastAsia="Georgia"/>
          <w:b w:val="0"/>
          <w:i/>
          <w:sz w:val="21"/>
        </w:rPr>
        <w:t xml:space="preserve">Six-month presentation window. </w:t>
      </w:r>
      <w:r>
        <w:rPr>
          <w:rFonts w:ascii="Georgia" w:hAnsi="Georgia" w:cs="Georgia" w:eastAsia="Georgia"/>
          <w:b w:val="0"/>
          <w:i w:val="0"/>
          <w:sz w:val="21"/>
        </w:rPr>
        <w:t xml:space="preserve">The claim accrued on the date of the incident, 10/18/2025. Under Gov. Code § 911.2, presentation is due within six (6) months. Six months from 10/18/2025 is 04/18/2026 (a Saturday), extended under CCP § 12a to the next non-holiday, </w:t>
      </w:r>
      <w:r>
        <w:rPr>
          <w:rFonts w:ascii="Georgia" w:hAnsi="Georgia" w:cs="Georgia" w:eastAsia="Georgia"/>
          <w:b/>
          <w:i w:val="0"/>
          <w:sz w:val="21"/>
        </w:rPr>
        <w:t>Monday, 04/20/2026</w:t>
      </w:r>
      <w:r>
        <w:rPr>
          <w:rFonts w:ascii="Georgia" w:hAnsi="Georgia" w:cs="Georgia" w:eastAsia="Georgia"/>
          <w:b w:val="0"/>
          <w:i w:val="0"/>
          <w:sz w:val="21"/>
        </w:rPr>
        <w:t>. As of the date of this memo, no claim has been presented on behalf of Ms. Reyes.</w:t>
      </w:r>
    </w:p>
    <w:p>
      <w:pPr>
        <w:spacing w:after="160" w:before="0" w:line="317" w:lineRule="auto"/>
        <w:jc w:val="both"/>
      </w:pPr>
      <w:r>
        <w:rPr>
          <w:rFonts w:ascii="Georgia" w:hAnsi="Georgia" w:cs="Georgia" w:eastAsia="Georgia"/>
          <w:b w:val="0"/>
          <w:i/>
          <w:sz w:val="21"/>
        </w:rPr>
        <w:t xml:space="preserve">Incapacity ground under § 911.6(b)(4). </w:t>
      </w:r>
      <w:r>
        <w:rPr>
          <w:rFonts w:ascii="Georgia" w:hAnsi="Georgia" w:cs="Georgia" w:eastAsia="Georgia"/>
          <w:b w:val="0"/>
          <w:i w:val="0"/>
          <w:sz w:val="21"/>
        </w:rPr>
        <w:t xml:space="preserve">Where a timely claim is not presented, an application for leave to present a late claim may be made under Gov. Code § 911.4, and the Board is directed by Gov. Code § </w:t>
      </w:r>
      <w:r>
        <w:rPr>
          <w:rFonts w:ascii="Georgia" w:hAnsi="Georgia" w:cs="Georgia" w:eastAsia="Georgia"/>
          <w:b/>
          <w:i w:val="0"/>
          <w:sz w:val="21"/>
        </w:rPr>
        <w:t>911.6</w:t>
      </w:r>
      <w:r>
        <w:rPr>
          <w:rFonts w:ascii="Georgia" w:hAnsi="Georgia" w:cs="Georgia" w:eastAsia="Georgia"/>
          <w:b w:val="0"/>
          <w:i w:val="0"/>
          <w:sz w:val="21"/>
        </w:rPr>
        <w:t>(b) to grant the application on any of six enumerated grounds. Ground (b)(4) — that the claimant was physically or mentally incapacitated during all of the time specified in § 911.2 for presentation of the claim, and by reason of such disability failed to present a claim during that time — is available on these facts given the client's acute TBI, ICU course, induced coma, post-traumatic amnesia, and the pendency of a probate-court temporary conservatorship for a substantial portion of the six-month window. Supporting materials in hand or in progress: (a) the order granting temporary conservatorship on 11/10/2025 and the letters issued to Marisela Reyes; (b) certified copies of the Trauma Center admission, ICU course, and discharge summaries; (c) the Institute's inpatient rehab records and serial neuropsychological testing; (d) a treating-physician capacity letter from Dr. Helena Vasquez-Ortiz, MD (physiatry) to be finalized in April.</w:t>
      </w:r>
    </w:p>
    <w:p>
      <w:pPr>
        <w:spacing w:before="0" w:after="160" w:line="317" w:lineRule="auto"/>
        <w:jc w:val="both"/>
      </w:pPr>
      <w:r>
        <w:rPr>
          <w:rFonts w:ascii="Georgia" w:hAnsi="Georgia"/>
          <w:i/>
          <w:sz w:val="21"/>
        </w:rPr>
        <w:t xml:space="preserve">Partial-incapacity ground under § 911.6(b)(5). </w:t>
      </w:r>
      <w:r>
        <w:rPr>
          <w:rFonts w:ascii="Georgia" w:hAnsi="Georgia"/>
          <w:i w:val="0"/>
          <w:sz w:val="21"/>
        </w:rPr>
        <w:t>A partial-incapacity ground is also technically available under this subsection (incapacity during any part of the presentation window, application filed within six months of capacity being restored or one year from accrual, whichever is earlier), and does not on its face appear time-barred on these facts. The firm does not intend to rely on it as a primary ground, however: the client’s capacity was restored 02/05/2026, more than ten weeks before the presentation window closed, and this firm was retained 03/05/2026 with 46 days still remaining on the window. Courts have found that a claimant’s demonstrated ability to retain counsel within the presentation period undercuts a finding that incapacity was the operative cause of the delay in presenting a claim. See Harrison v. County of Del Norte (1985) 168 Cal.App.3d 1. The same causation gap that limits an excusable-neglect argument under (b)(1) likely limits reliance on (b)(5) here.</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5.  Internal Presentation Target</w:t>
      </w:r>
    </w:p>
    <w:p>
      <w:pPr>
        <w:spacing w:after="160" w:before="0" w:line="322" w:lineRule="auto"/>
        <w:jc w:val="both"/>
      </w:pPr>
      <w:r>
        <w:rPr>
          <w:rFonts w:ascii="Georgia" w:hAnsi="Georgia" w:cs="Georgia" w:eastAsia="Georgia"/>
          <w:b w:val="0"/>
          <w:i w:val="0"/>
          <w:sz w:val="22"/>
        </w:rPr>
        <w:t xml:space="preserve">Firm has elected to hold claim presentation until we can assemble complete medical records to support the incapacity showing — internal target to present claim by </w:t>
      </w:r>
      <w:r>
        <w:rPr>
          <w:rFonts w:ascii="Georgia" w:hAnsi="Georgia" w:cs="Georgia" w:eastAsia="Georgia"/>
          <w:b/>
          <w:i w:val="0"/>
          <w:sz w:val="22"/>
        </w:rPr>
        <w:t>05/01/2026</w:t>
      </w:r>
      <w:r>
        <w:rPr>
          <w:rFonts w:ascii="Georgia" w:hAnsi="Georgia" w:cs="Georgia" w:eastAsia="Georgia"/>
          <w:b w:val="0"/>
          <w:i w:val="0"/>
          <w:sz w:val="22"/>
        </w:rPr>
        <w:t xml:space="preserve"> (after window closes; late-claim application track).</w:t>
      </w:r>
    </w:p>
    <w:p>
      <w:pPr>
        <w:spacing w:after="160" w:before="0" w:line="317" w:lineRule="auto"/>
        <w:jc w:val="both"/>
      </w:pPr>
      <w:r>
        <w:rPr>
          <w:rFonts w:ascii="Georgia" w:hAnsi="Georgia" w:cs="Georgia" w:eastAsia="Georgia"/>
          <w:sz w:val="21"/>
        </w:rPr>
        <w:t>Rationale in support of this scheduling choice: (i) the § 911.6(b)(4) application is materially strengthened by a records package that documents the full acute-through-rehab course as a single, continuous narrative rather than a partial submission built on the acute-care record alone; (ii) the treating-physician capacity letter from Dr. Vasquez-Ortiz will be more persuasive once she has reviewed the completed February neuropsychological battery; (iii) the Institute's discharge/transition-to-outpatient documentation is expected to be finalized and released in mid-April; (iv) a single, well-supported package presented under the § 911.4 late-claim procedure is preferable, in the firm's judgment, to a bare § 910 filing amended later. Under this schedule the § 911.4 application will be filed within the one-year outer limit of § 911.4, well inside the 10/19/2026 backstop (one year from accrual is 10/18/2026, a Sunday; extended under CCP § 12a).</w:t>
      </w:r>
    </w:p>
    <w:p>
      <w:pPr>
        <w:spacing w:after="160" w:before="0" w:line="317" w:lineRule="auto"/>
        <w:jc w:val="both"/>
      </w:pPr>
      <w:r>
        <w:rPr>
          <w:rFonts w:ascii="Georgia" w:hAnsi="Georgia" w:cs="Georgia" w:eastAsia="Georgia"/>
          <w:sz w:val="21"/>
        </w:rPr>
        <w:t>Calendaring: MatterHub deadlines module to reflect (a) internal presentation target 05/01/2026; (b) § 911.4 outer limit 10/19/2026; (c) any Board deemed-denial and § 946.6 downstream dates to be added upon filing. Partner Halstead to confirm all entries at the 03/16/2026 case-management meeting.</w:t>
      </w:r>
    </w:p>
    <w:p>
      <w:pPr>
        <w:spacing w:before="320" w:after="160" w:line="240" w:lineRule="auto"/>
        <w:pBdr>
          <w:top w:val="single" w:sz="14" w:space="8" w:color="8B1A1A"/>
        </w:pBdr>
      </w:pPr>
      <w:r>
        <w:rPr>
          <w:rFonts w:ascii="Helvetica Neue" w:hAnsi="Helvetica Neue" w:cs="Helvetica Neue" w:eastAsia="Helvetica Neue"/>
          <w:b/>
          <w:sz w:val="25"/>
          <w:u w:val="single"/>
          <w:spacing w:val="20"/>
        </w:rPr>
        <w:t>6.  Assigned Team</w:t>
      </w:r>
    </w:p>
    <w:tbl>
      <w:tblPr>
        <w:tblStyle w:val="TableGrid"/>
        <w:tblW w:type="auto" w:w="0"/>
        <w:tblLayout w:type="fixed"/>
        <w:tblLook w:firstColumn="1" w:firstRow="1" w:lastColumn="0" w:lastRow="0" w:noHBand="0" w:noVBand="1" w:val="04A0"/>
        <w:jc w:val="center"/>
        <w:tblBorders>
          <w:top w:val="nil"/>
          <w:bottom w:val="nil"/>
          <w:left w:val="nil"/>
          <w:right w:val="nil"/>
          <w:insideH w:val="nil"/>
          <w:insideV w:val="nil"/>
        </w:tblBorders>
      </w:tblPr>
      <w:tblGrid>
        <w:gridCol w:w="5472"/>
        <w:gridCol w:w="3888"/>
      </w:tblGrid>
      <w:tr>
        <w:tc>
          <w:tcPr>
            <w:tcW w:type="dxa" w:w="4320"/>
            <w:shd w:val="clear" w:color="auto" w:fill="141A2E"/>
            <w:tcMar>
              <w:top w:w="120" w:type="dxa"/>
              <w:bottom w:w="120" w:type="dxa"/>
              <w:left w:w="140" w:type="dxa"/>
              <w:right w:w="140" w:type="dxa"/>
            </w:tcMar>
          </w:tcPr>
          <w:p>
            <w:pPr>
              <w:spacing w:after="0" w:before="0" w:line="264" w:lineRule="auto"/>
              <w:pBdr>
                <w:bottom w:val="single" w:sz="18" w:space="0" w:color="8B1A1A"/>
              </w:pBdr>
            </w:pPr>
            <w:r>
              <w:rPr>
                <w:rFonts w:ascii="Helvetica Neue" w:hAnsi="Helvetica Neue" w:cs="Helvetica Neue" w:eastAsia="Helvetica Neue"/>
                <w:b/>
                <w:sz w:val="18"/>
                <w:caps w:val="true"/>
                <w:color w:val="FFFFFF"/>
                <w:spacing w:val="140"/>
              </w:rPr>
              <w:t>Role</w:t>
            </w:r>
          </w:p>
        </w:tc>
        <w:tc>
          <w:tcPr>
            <w:tcW w:type="dxa" w:w="4824"/>
            <w:shd w:val="clear" w:color="auto" w:fill="141A2E"/>
            <w:tcMar>
              <w:top w:w="120" w:type="dxa"/>
              <w:bottom w:w="120" w:type="dxa"/>
              <w:left w:w="140" w:type="dxa"/>
              <w:right w:w="140" w:type="dxa"/>
            </w:tcMar>
          </w:tcPr>
          <w:p>
            <w:pPr>
              <w:spacing w:after="0" w:before="0" w:line="264" w:lineRule="auto"/>
              <w:pBdr>
                <w:bottom w:val="single" w:sz="18" w:space="0" w:color="8B1A1A"/>
              </w:pBdr>
            </w:pPr>
            <w:r>
              <w:rPr>
                <w:rFonts w:ascii="Helvetica Neue" w:hAnsi="Helvetica Neue" w:cs="Helvetica Neue" w:eastAsia="Helvetica Neue"/>
                <w:b/>
                <w:sz w:val="18"/>
                <w:caps w:val="true"/>
                <w:color w:val="FFFFFF"/>
                <w:spacing w:val="140"/>
              </w:rPr>
              <w:t>Attorney/Staff</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Lead / responsible partner</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Nora Halstead (SBN 369314)</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Associate — day-to-day handling</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Julia Ruiz-Kim</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Paralegal — records, liens, medical chronology</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Grace Chen</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Life-care planning (retained)</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Cynthia Ohanian, RN, BSN, CLCP — Ohanian Life Care Planning</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Economic (retained, LCP appendix)</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Dr. Nathaniel Frome, PhD</w:t>
            </w:r>
          </w:p>
        </w:tc>
      </w:tr>
      <w:tr>
        <w:tc>
          <w:tcPr>
            <w:tcW w:type="dxa" w:w="4320"/>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b w:val="0"/>
                <w:sz w:val="21"/>
              </w:rPr>
              <w:t>Vocational / earning capacity (retained)</w:t>
            </w:r>
          </w:p>
        </w:tc>
        <w:tc>
          <w:tcPr>
            <w:tcW w:type="dxa" w:w="4824"/>
            <w:shd w:val="clear" w:color="auto" w:fill="FFFFFF"/>
            <w:tcMar>
              <w:top w:w="110" w:type="dxa"/>
              <w:bottom w:w="110" w:type="dxa"/>
              <w:left w:w="140" w:type="dxa"/>
              <w:right w:w="140" w:type="dxa"/>
            </w:tcMar>
          </w:tcPr>
          <w:p>
            <w:pPr>
              <w:spacing w:after="0" w:before="0" w:line="278" w:lineRule="auto"/>
            </w:pPr>
            <w:r>
              <w:rPr>
                <w:rFonts w:ascii="Georgia" w:hAnsi="Georgia" w:cs="Georgia" w:eastAsia="Georgia"/>
                <w:sz w:val="21"/>
              </w:rPr>
              <w:t>Dana McCauley, MA, CRC</w:t>
            </w:r>
          </w:p>
        </w:tc>
      </w:tr>
      <w:tr>
        <w:tc>
          <w:tcPr>
            <w:tcW w:type="dxa" w:w="4320"/>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b w:val="0"/>
                <w:sz w:val="21"/>
              </w:rPr>
              <w:t>Neuropsychology (treating; expert-designation reserved)</w:t>
            </w:r>
          </w:p>
        </w:tc>
        <w:tc>
          <w:tcPr>
            <w:tcW w:type="dxa" w:w="4824"/>
            <w:shd w:val="clear" w:color="auto" w:fill="F4F6FA"/>
            <w:tcMar>
              <w:top w:w="110" w:type="dxa"/>
              <w:bottom w:w="110" w:type="dxa"/>
              <w:left w:w="140" w:type="dxa"/>
              <w:right w:w="140" w:type="dxa"/>
            </w:tcMar>
          </w:tcPr>
          <w:p>
            <w:pPr>
              <w:spacing w:after="0" w:before="0" w:line="278" w:lineRule="auto"/>
            </w:pPr>
            <w:r>
              <w:rPr>
                <w:rFonts w:ascii="Georgia" w:hAnsi="Georgia" w:cs="Georgia" w:eastAsia="Georgia"/>
                <w:sz w:val="21"/>
              </w:rPr>
              <w:t>Dr. Marcus Vandenberg, PhD, ABPP-CN</w:t>
            </w:r>
          </w:p>
        </w:tc>
      </w:tr>
    </w:tbl>
    <w:p>
      <w:pPr>
        <w:spacing w:after="40" w:before="0" w:line="240" w:lineRule="auto"/>
      </w:pPr>
    </w:p>
    <w:p>
      <w:pPr>
        <w:spacing w:after="200" w:before="40" w:line="317" w:lineRule="auto"/>
        <w:jc w:val="both"/>
      </w:pPr>
      <w:r>
        <w:rPr>
          <w:rFonts w:ascii="Georgia" w:hAnsi="Georgia" w:cs="Georgia" w:eastAsia="Georgia"/>
          <w:sz w:val="21"/>
        </w:rPr>
        <w:t>Client-communication protocol: all substantive communications with the client to be routed through partner Halstead or associate Ruiz-Kim, with Grace Chen cc'd for calendaring. No communication with ACTD, its adjusters, or its retained counsel other than through partner Halstead. Preservation-demand letter drafting owned by Ruiz-Kim, partner review before send.</w:t>
      </w:r>
    </w:p>
    <w:p>
      <w:pPr>
        <w:spacing w:before="360" w:after="40" w:line="240" w:lineRule="auto"/>
      </w:pPr>
      <w:r>
        <w:rPr>
          <w:rFonts w:ascii="Georgia" w:hAnsi="Georgia" w:cs="Georgia" w:eastAsia="Georgia"/>
          <w:sz w:val="21"/>
        </w:rPr>
        <w:t>________________________________</w:t>
      </w:r>
    </w:p>
    <w:p>
      <w:pPr>
        <w:spacing w:after="0" w:before="0" w:line="252" w:lineRule="auto"/>
      </w:pPr>
      <w:r>
        <w:rPr>
          <w:rFonts w:ascii="Didot" w:hAnsi="Didot" w:cs="Didot" w:eastAsia="Didot"/>
          <w:i/>
          <w:sz w:val="30"/>
          <w:spacing w:val="20"/>
        </w:rPr>
        <w:t>Nora Halstead</w:t>
      </w:r>
    </w:p>
    <w:p>
      <w:pPr>
        <w:spacing w:after="0" w:before="0" w:line="264" w:lineRule="auto"/>
      </w:pPr>
      <w:r>
        <w:rPr>
          <w:rFonts w:ascii="Helvetica Neue" w:hAnsi="Helvetica Neue" w:cs="Helvetica Neue" w:eastAsia="Helvetica Neue"/>
          <w:b w:val="0"/>
          <w:i w:val="0"/>
          <w:sz w:val="19"/>
          <w:caps w:val="true"/>
          <w:spacing w:val="80"/>
        </w:rPr>
        <w:t>Nora Halstead, Partner</w:t>
      </w:r>
    </w:p>
    <w:p>
      <w:pPr>
        <w:spacing w:after="280" w:before="0" w:line="264" w:lineRule="auto"/>
        <w:pBdr>
          <w:bottom w:val="single" w:sz="6" w:space="6" w:color="C9CED6"/>
        </w:pBdr>
      </w:pPr>
      <w:r>
        <w:rPr>
          <w:rFonts w:ascii="Helvetica Neue" w:hAnsi="Helvetica Neue" w:cs="Helvetica Neue" w:eastAsia="Helvetica Neue"/>
          <w:b w:val="0"/>
          <w:i w:val="0"/>
          <w:sz w:val="19"/>
          <w:caps w:val="true"/>
          <w:spacing w:val="80"/>
        </w:rPr>
        <w:t>Halstead &amp; Cruz LLP</w:t>
      </w:r>
    </w:p>
    <w:p>
      <w:pPr>
        <w:spacing w:before="200" w:after="0" w:line="240" w:lineRule="auto"/>
        <w:jc w:val="center"/>
        <w:pBdr>
          <w:top w:val="single" w:sz="6" w:space="4" w:color="000000"/>
        </w:pBdr>
      </w:pPr>
      <w:r>
        <w:rPr>
          <w:rFonts w:ascii="Helvetica Neue" w:hAnsi="Helvetica Neue" w:cs="Helvetica Neue" w:eastAsia="Helvetica Neue"/>
          <w:b/>
          <w:i w:val="0"/>
          <w:sz w:val="15"/>
          <w:caps w:val="true"/>
          <w:spacing w:val="120"/>
        </w:rPr>
        <w:t>ATTORNEY-CLIENT PRIVILEGED · ATTORNEY WORK PRODUCT</w:t>
      </w:r>
    </w:p>
    <w:sectPr w:rsidR="00FC693F" w:rsidRPr="0006063C" w:rsidSect="00034616">
      <w:pgSz w:w="12240" w:h="15840"/>
      <w:pgMar w:top="1440" w:right="1656"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Georgia" w:hAnsi="Georgia"/>
      <w:color w:val="4A526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