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if:</w:t>
      </w:r>
    </w:p>
    <w:p>
      <w:pPr>
        <w:spacing w:line="283" w:lineRule="auto" w:after="80" w:before="20"/>
        <w:ind w:left="504" w:hanging="504"/>
        <w:jc w:val="both"/>
      </w:pPr>
      <w:r>
        <w:rPr>
          <w:rFonts w:ascii="Helvetica" w:hAnsi="Helvetica" w:cs="Helvetica" w:eastAsia="Calibri"/>
          <w:b/>
          <w:i w:val="0"/>
          <w:color w:val="1F2937"/>
          <w:sz w:val="21"/>
        </w:rPr>
        <w:t>(a)</w:t>
      </w:r>
      <w:r>
        <w:rPr>
          <w:rFonts w:ascii="Helvetica" w:hAnsi="Helvetica" w:cs="Helvetica" w:eastAsia="Calibri"/>
          <w:b w:val="0"/>
          <w:i w:val="0"/>
          <w:color w:val="1F2937"/>
          <w:sz w:val="21"/>
        </w:rPr>
        <w:t xml:space="preserve"> The accident results in </w:t>
      </w:r>
      <w:r>
        <w:rPr>
          <w:rFonts w:ascii="Helvetica" w:hAnsi="Helvetica" w:cs="Helvetica" w:eastAsia="Calibri"/>
          <w:b/>
          <w:i w:val="0"/>
          <w:color w:val="1F2937"/>
          <w:sz w:val="21"/>
        </w:rPr>
        <w:t>disabling damage to any motor vehicle</w:t>
      </w:r>
      <w:r>
        <w:rPr>
          <w:rFonts w:ascii="Helvetica" w:hAnsi="Helvetica" w:cs="Helvetica" w:eastAsia="Calibri"/>
          <w:b w:val="0"/>
          <w:i w:val="0"/>
          <w:color w:val="1F2937"/>
          <w:sz w:val="21"/>
        </w:rPr>
        <w:t xml:space="preserve"> requiring the vehicle to be transported away from the scene by a tow truck or other vehicle; or</w:t>
      </w:r>
    </w:p>
    <w:p>
      <w:pPr>
        <w:spacing w:line="283" w:lineRule="auto" w:after="80" w:before="20"/>
        <w:ind w:left="504" w:hanging="504"/>
        <w:jc w:val="both"/>
      </w:pPr>
      <w:r>
        <w:rPr>
          <w:rFonts w:ascii="Helvetica" w:hAnsi="Helvetica" w:cs="Helvetica" w:eastAsia="Calibri"/>
          <w:b/>
          <w:i w:val="0"/>
          <w:color w:val="1F2937"/>
          <w:sz w:val="21"/>
        </w:rPr>
        <w:t>(b)</w:t>
      </w:r>
      <w:r>
        <w:rPr>
          <w:rFonts w:ascii="Helvetica" w:hAnsi="Helvetica" w:cs="Helvetica" w:eastAsia="Calibri"/>
          <w:b w:val="0"/>
          <w:i w:val="0"/>
          <w:color w:val="1F2937"/>
          <w:sz w:val="21"/>
        </w:rPr>
        <w:t xml:space="preserve"> The accident results in an injury requiring </w:t>
      </w:r>
      <w:r>
        <w:rPr>
          <w:rFonts w:ascii="Helvetica" w:hAnsi="Helvetica" w:cs="Helvetica" w:eastAsia="Calibri"/>
          <w:b/>
          <w:i w:val="0"/>
          <w:color w:val="1F2937"/>
          <w:sz w:val="21"/>
        </w:rPr>
        <w:t>immediate medical treatment away from the scene</w:t>
      </w:r>
      <w:r>
        <w:rPr>
          <w:rFonts w:ascii="Helvetica" w:hAnsi="Helvetica" w:cs="Helvetica" w:eastAsia="Calibri"/>
          <w:b w:val="0"/>
          <w:i w:val="0"/>
          <w:color w:val="1F2937"/>
          <w:sz w:val="21"/>
        </w:rPr>
        <w:t>; or</w:t>
      </w:r>
    </w:p>
    <w:p>
      <w:pPr>
        <w:spacing w:line="283" w:lineRule="auto" w:after="80" w:before="20"/>
        <w:ind w:left="504" w:hanging="504"/>
        <w:jc w:val="both"/>
      </w:pPr>
      <w:r>
        <w:rPr>
          <w:rFonts w:ascii="Helvetica" w:hAnsi="Helvetica" w:cs="Helvetica" w:eastAsia="Calibri"/>
          <w:b/>
          <w:i w:val="0"/>
          <w:color w:val="1F2937"/>
          <w:sz w:val="21"/>
        </w:rPr>
        <w:t>(c)</w:t>
      </w:r>
      <w:r>
        <w:rPr>
          <w:rFonts w:ascii="Helvetica" w:hAnsi="Helvetica" w:cs="Helvetica" w:eastAsia="Calibri"/>
          <w:b w:val="0"/>
          <w:i w:val="0"/>
          <w:color w:val="1F2937"/>
          <w:sz w:val="21"/>
        </w:rPr>
        <w:t xml:space="preserve"> The accident results in a release of hazardous materials from the vehicle that requires the involvement of an emergency response team; or</w:t>
      </w:r>
    </w:p>
    <w:p>
      <w:pPr>
        <w:spacing w:line="283" w:lineRule="auto" w:after="80" w:before="20"/>
        <w:ind w:left="504" w:hanging="504"/>
        <w:jc w:val="both"/>
      </w:pPr>
      <w:r>
        <w:rPr>
          <w:rFonts w:ascii="Helvetica" w:hAnsi="Helvetica" w:cs="Helvetica" w:eastAsia="Calibri"/>
          <w:b/>
          <w:i w:val="0"/>
          <w:color w:val="1F2937"/>
          <w:sz w:val="21"/>
        </w:rPr>
        <w:t>(d)</w:t>
      </w:r>
      <w:r>
        <w:rPr>
          <w:rFonts w:ascii="Helvetica" w:hAnsi="Helvetica" w:cs="Helvetica" w:eastAsia="Calibri"/>
          <w:b w:val="0"/>
          <w:i w:val="0"/>
          <w:color w:val="1F2937"/>
          <w:sz w:val="21"/>
        </w:rPr>
        <w:t xml:space="preserve"> In the case of an accident involving a bus, van, or automobile, the accident results in </w:t>
      </w:r>
      <w:r>
        <w:rPr>
          <w:rFonts w:ascii="Helvetica" w:hAnsi="Helvetica" w:cs="Helvetica" w:eastAsia="Calibri"/>
          <w:b/>
          <w:i w:val="0"/>
          <w:color w:val="1F2937"/>
          <w:sz w:val="21"/>
        </w:rPr>
        <w:t>disabling damage to any other motor vehicle or immovable object</w:t>
      </w:r>
      <w:r>
        <w:rPr>
          <w:rFonts w:ascii="Helvetica" w:hAnsi="Helvetica" w:cs="Helvetica" w:eastAsia="Calibri"/>
          <w:b w:val="0"/>
          <w:i w:val="0"/>
          <w:color w:val="1F2937"/>
          <w:sz w:val="21"/>
        </w:rPr>
        <w:t>, in a manner consistent with the § 655.44(a)(2) criteria.</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0.02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