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The course-and-scope determination is therefore that Operator Keeler was acting within scope of his employment at the time of the collision.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