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facts, liability exposure to the District appears substantial; the Office of the General Counsel is separately preparing a formal course-and-scope determination memorandum to confirm the District's respondeat superior posture under Gov. Code § 815.2. The sequence of impact — the coach struck the light standard first and the pedestrian a moment later under residual momentum — will also bear on the extent of the City of Rivergate's exposure, if any, as owner of the struck standard.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B4513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B4513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B4513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B4513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