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indemnity reserve on file from the initial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 the District's respondeat superior exposure attaches under Gov. Code § 815.2, and a course-and-scope defense is not viable. Comparative-fault posture against the City of Rivergate as owner of the struck light standard appears weak as to the pedestrian's injuries: the coach struck the standard first and the pedestrian a moment later under residual momentum, so the darkened fixture is an effect of the collision rather than a cause of it.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Prior initial reserve — Briggs, 10/28/2025</w:t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 w:val="0"/>
          <w:i w:val="0"/>
          <w:color w:val="2A3F6E"/>
          <w:sz w:val="21"/>
          <w:spacing w:val="10"/>
        </w:rPr>
        <w:t>Reserve set by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 w:val="0"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(anticipated; demand not yet received)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