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6B4A17"/>
          <w:sz w:val="21"/>
        </w:rPr>
        <w:t>A Public Agency</w:t>
      </w:r>
    </w:p>
    <w:p>
      <w:pPr>
        <w:spacing w:after="200"/>
        <w:jc w:val="center"/>
        <w:pBdr>
          <w:bottom w:val="single" w:sz="8" w:space="6" w:color="B8893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2377440"/>
        <w:gridCol w:w="3566160"/>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6B4A17"/>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6B4A17"/>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6B4A17"/>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6B4A17"/>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6B4A17"/>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6B4A17"/>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general ACTD Operator Rulebook or Standard Bus Operator Bulletin, this manual controls for the Owl service window; otherwise, the general Rulebook remains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set forth in the current ACTD collective bargaining agreement.</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914400"/>
        <w:gridCol w:w="502920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B8893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6B4A17"/>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6B4A17"/>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6B4A17"/>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6B4A17"/>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6B4A17"/>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6B4A17"/>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6B4A17"/>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Rule 506. DOT Post-Accident Testing — 49 CFR Part 655. Post-accident controlled-substances and alcohol testing shall be conducted in accordance with 49 CFR Part 655 (and the testing procedures of 49 CFR Part 40 incorporated therein). Testing is required upon any accident meeting the Part 655 threshold: an accident involving loss of human life, or any other accident in which the operator's performance cannot be completely discounted as a contributing factor, as determined by the District using the best information available at the time.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r>
        <w:rPr>
          <w:rFonts w:ascii="Helvetica" w:hAnsi="Helvetica" w:cs="Helvetica" w:eastAsia="Helvetica"/>
          <w:color w:val="2A2F3A"/>
          <w:sz w:val="21"/>
        </w:rPr>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6B4A17"/>
          <w:sz w:val="20"/>
        </w:rPr>
        <w:t>(a) Operating an Owl block while under the influence of alcohol or a controlled substance, or with any measurable blood-alcohol concentration in violation of 49 CFR Part 382 or Part 655 or state law;</w:t>
      </w:r>
    </w:p>
    <w:p>
      <w:pPr>
        <w:spacing w:before="40" w:after="80" w:line="276" w:lineRule="auto"/>
        <w:ind w:left="480" w:hanging="240"/>
      </w:pPr>
      <w:r>
        <w:rPr>
          <w:rFonts w:ascii="Helvetica" w:hAnsi="Helvetica" w:cs="Helvetica" w:eastAsia="Helvetica"/>
          <w:b/>
          <w:color w:val="6B4A17"/>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6B4A17"/>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6B4A17"/>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6B4A17"/>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6B4A17"/>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6B4A17"/>
          <w:sz w:val="20"/>
        </w:rPr>
        <w:t>(b) Failure to complete the Pre-Trip Inspection required by Rule 302;</w:t>
      </w:r>
    </w:p>
    <w:p>
      <w:pPr>
        <w:spacing w:before="40" w:after="80" w:line="276" w:lineRule="auto"/>
        <w:ind w:left="480" w:hanging="240"/>
      </w:pPr>
      <w:r>
        <w:rPr>
          <w:rFonts w:ascii="Helvetica" w:hAnsi="Helvetica" w:cs="Helvetica" w:eastAsia="Helvetica"/>
          <w:b/>
          <w:color w:val="6B4A17"/>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6B4A17"/>
          <w:sz w:val="20"/>
        </w:rPr>
        <w:t>(d) Personal-device use in violation of Rule 305;</w:t>
      </w:r>
    </w:p>
    <w:p>
      <w:pPr>
        <w:spacing w:before="40" w:after="80" w:line="276" w:lineRule="auto"/>
        <w:ind w:left="480" w:hanging="240"/>
      </w:pPr>
      <w:r>
        <w:rPr>
          <w:rFonts w:ascii="Helvetica" w:hAnsi="Helvetica" w:cs="Helvetica" w:eastAsia="Helvetica"/>
          <w:b/>
          <w:color w:val="6B4A17"/>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/s/ Priscilla Nakamura</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6B4A17"/>
          <w:sz w:val="20"/>
        </w:rPr>
        <w:t>07/01/2024</w:t>
      </w:r>
    </w:p>
    <w:p>
      <w:pPr>
        <w:spacing w:after="40"/>
      </w:pPr>
      <w:r>
        <w:rPr>
          <w:rFonts w:ascii="Helvetica" w:hAnsi="Helvetica" w:cs="Helvetica" w:eastAsia="Helvetica"/>
          <w:color w:val="6B7280"/>
          <w:sz w:val="20"/>
        </w:rPr>
        <w:t>/s/ Marlene Okonkwo</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6B4A17"/>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