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As soon as practicable following an accident that does not involve the loss of human life in which a revenue service vehicle is involved, ACTD shall conduct drug and alcohol tests on each covered employee operating the revenue service vehicle at the time of the accident, unless the DER or Compliance Officer determines, using the best information available at the time of the decision, that the covered employee's performance can be completely discounted as a contributing factor to the accident. ACTD shall also test any other covered employee whose performance of a safety-sensitive function cannot be completely discounted as a contributing factor to the accident.</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0.02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