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val="40"/>
        <w:jc w:val="center"/>
      </w:pPr>
      <w:r>
        <w:rPr>
          <w:rFonts w:ascii="Helvetica" w:hAnsi="Helvetica" w:cs="Helvetica" w:eastAsia="Calibri"/>
          <w:b/>
          <w:i w:val="0"/>
          <w:color w:val="0F2447"/>
          <w:sz w:val="26"/>
        </w:rPr>
        <w:t>ALDER CREEK TRANSIT DISTRICT</w:t>
      </w:r>
    </w:p>
    <w:p>
      <w:pPr>
        <w:spacing w:after="40" w:line="240" w:lineRule="auto"/>
        <w:jc w:val="center"/>
      </w:pPr>
      <w:r>
        <w:rPr>
          <w:rFonts w:ascii="Helvetica" w:hAnsi="Helvetica" w:cs="Helvetica" w:eastAsia="Calibri"/>
          <w:b w:val="0"/>
          <w:i/>
          <w:color w:val="6B7280"/>
          <w:sz w:val="20"/>
        </w:rPr>
        <w:t>A Public Agency</w:t>
      </w:r>
    </w:p>
    <w:p>
      <w:pPr>
        <w:spacing w:after="200" w:line="240" w:lineRule="auto"/>
        <w:jc w:val="center"/>
      </w:pPr>
      <w:r>
        <w:rPr>
          <w:rFonts w:ascii="Helvetica" w:hAnsi="Helvetica" w:cs="Helvetica" w:eastAsia="Calibri"/>
          <w:b w:val="0"/>
          <w:i w:val="0"/>
          <w:color w:val="6B7280"/>
          <w:sz w:val="18"/>
        </w:rPr>
        <w:t>1200 Alder Creek Way · Rivergate, CA 91766 · (626) 555-0100</w:t>
      </w:r>
    </w:p>
    <w:p>
      <w:pPr>
        <w:pBdr>
          <w:bottom w:val="single" w:sz="6" w:space="1" w:color="000000"/>
        </w:pBdr>
        <w:spacing w:after="0" w:before="0" w:line="240" w:lineRule="auto"/>
      </w:pPr>
    </w:p>
    <w:p>
      <w:pPr>
        <w:spacing w:before="80" w:after="80" w:line="252" w:lineRule="auto"/>
        <w:jc w:val="center"/>
      </w:pPr>
      <w:r>
        <w:rPr>
          <w:rFonts w:ascii="Helvetica" w:hAnsi="Helvetica" w:cs="Helvetica" w:eastAsia="Calibri"/>
          <w:b/>
          <w:i w:val="0"/>
          <w:color w:val="0F2447"/>
          <w:sz w:val="46"/>
        </w:rPr>
        <w:t>POST-ACCIDENT DRUG AND ALCOHOL TESTING POLICY</w:t>
      </w:r>
    </w:p>
    <w:p>
      <w:pPr>
        <w:spacing w:after="280" w:line="264" w:lineRule="auto"/>
        <w:jc w:val="center"/>
        <w:pBdr>
          <w:bottom w:val="single" w:sz="6" w:space="4" w:color="C9D3DD"/>
        </w:pBdr>
      </w:pPr>
      <w:r>
        <w:rPr>
          <w:rFonts w:ascii="Helvetica" w:hAnsi="Helvetica" w:cs="Helvetica" w:eastAsia="Calibri"/>
          <w:b w:val="0"/>
          <w:i/>
          <w:color w:val="6B7280"/>
          <w:sz w:val="21"/>
        </w:rPr>
        <w:t>FTA / DOT 49 CFR Part 655 Compliance Program</w:t>
      </w:r>
    </w:p>
    <w:tbl>
      <w:tblPr>
        <w:tblW w:type="auto" w:w="0"/>
        <w:jc w:val="center"/>
        <w:tblLayout w:type="fixed"/>
        <w:tblLook w:firstColumn="1" w:firstRow="1" w:lastColumn="0" w:lastRow="0" w:noHBand="0" w:noVBand="1" w:val="04A0"/>
        <w:tblBorders>
          <w:top w:val="nil"/>
          <w:left w:val="nil"/>
          <w:right w:val="nil"/>
          <w:insideH w:val="nil"/>
          <w:insideV w:val="nil"/>
          <w:bottom w:val="single" w:sz="8" w:color="0F2447"/>
        </w:tblBorders>
      </w:tblPr>
      <w:tblGrid>
        <w:gridCol w:w="4680"/>
        <w:gridCol w:w="4680"/>
      </w:tblGrid>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Issuing Department:</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 Compliance Department</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Policy Number:</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ACTD-COMP-655-04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Original Effective Date:</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01/01/2018</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Current Revision:</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4 — Effective 01/15/2024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Supersedes: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3 (07/2021)</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Applies To:</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All ACTD safety-sensitive employees as defined at 49 CFR § 655.4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Regulatory Basis: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49 CFR Part 655 (FTA); 49 CFR Part 40 (DOT procedural rules)</w:t>
            </w:r>
          </w:p>
        </w:tc>
      </w:tr>
    </w:tbl>
    <w:p>
      <w:pPr>
        <w:spacing w:line="240" w:lineRule="auto" w:after="0"/>
      </w:pPr>
    </w:p>
    <w:p>
      <w:pPr>
        <w:pBdr>
          <w:bottom w:val="single" w:sz="6" w:space="1" w:color="000000"/>
        </w:pBdr>
        <w:spacing w:after="0" w:before="0" w:line="240" w:lineRule="auto"/>
      </w:pPr>
    </w:p>
    <w:p>
      <w:pPr>
        <w:keepNext/>
        <w:spacing w:before="80" w:after="160" w:line="264" w:lineRule="auto" w:val="30"/>
        <w:jc w:val="left"/>
        <w:pBdr>
          <w:bottom w:val="single" w:sz="8" w:space="4" w:color="0F2447"/>
        </w:pBdr>
      </w:pPr>
      <w:r>
        <w:rPr>
          <w:rFonts w:ascii="Helvetica" w:hAnsi="Helvetica" w:cs="Helvetica" w:eastAsia="Calibri"/>
          <w:b/>
          <w:i w:val="0"/>
          <w:color w:val="0F2447"/>
          <w:sz w:val="22"/>
        </w:rPr>
        <w:t>Table of Contents</w:t>
      </w:r>
    </w:p>
    <w:p>
      <w:pPr>
        <w:spacing w:after="60" w:line="288" w:lineRule="auto"/>
        <w:ind w:left="360"/>
        <w:jc w:val="left"/>
      </w:pPr>
      <w:r>
        <w:rPr>
          <w:rFonts w:ascii="Helvetica" w:hAnsi="Helvetica" w:cs="Helvetica" w:eastAsia="Calibri"/>
          <w:b w:val="0"/>
          <w:i w:val="0"/>
          <w:color w:val="1E3A5F"/>
          <w:sz w:val="21"/>
        </w:rPr>
        <w:t>1.  Purpose and Scope</w:t>
      </w:r>
    </w:p>
    <w:p>
      <w:pPr>
        <w:spacing w:after="60" w:line="288" w:lineRule="auto"/>
        <w:ind w:left="360"/>
        <w:jc w:val="left"/>
      </w:pPr>
      <w:r>
        <w:rPr>
          <w:rFonts w:ascii="Helvetica" w:hAnsi="Helvetica" w:cs="Helvetica" w:eastAsia="Calibri"/>
          <w:b w:val="0"/>
          <w:i w:val="0"/>
          <w:color w:val="1E3A5F"/>
          <w:sz w:val="21"/>
        </w:rPr>
        <w:t>2.  Definitions</w:t>
      </w:r>
    </w:p>
    <w:p>
      <w:pPr>
        <w:spacing w:after="60" w:line="288" w:lineRule="auto"/>
        <w:ind w:left="360"/>
        <w:jc w:val="left"/>
      </w:pPr>
      <w:r>
        <w:rPr>
          <w:rFonts w:ascii="Helvetica" w:hAnsi="Helvetica" w:cs="Helvetica" w:eastAsia="Calibri"/>
          <w:b w:val="0"/>
          <w:i w:val="0"/>
          <w:color w:val="1E3A5F"/>
          <w:sz w:val="21"/>
        </w:rPr>
        <w:t>3.  Post-Accident Testing Triggers (49 CFR § 655.44)</w:t>
      </w:r>
    </w:p>
    <w:p>
      <w:pPr>
        <w:spacing w:after="60" w:line="288" w:lineRule="auto"/>
        <w:ind w:left="360"/>
        <w:jc w:val="left"/>
      </w:pPr>
      <w:r>
        <w:rPr>
          <w:rFonts w:ascii="Helvetica" w:hAnsi="Helvetica" w:cs="Helvetica" w:eastAsia="Calibri"/>
          <w:b w:val="0"/>
          <w:i w:val="0"/>
          <w:color w:val="1E3A5F"/>
          <w:sz w:val="21"/>
        </w:rPr>
        <w:t>4.  Testing Procedures</w:t>
      </w:r>
    </w:p>
    <w:p>
      <w:pPr>
        <w:spacing w:after="60" w:line="288" w:lineRule="auto"/>
        <w:ind w:left="360"/>
        <w:jc w:val="left"/>
      </w:pPr>
      <w:r>
        <w:rPr>
          <w:rFonts w:ascii="Helvetica" w:hAnsi="Helvetica" w:cs="Helvetica" w:eastAsia="Calibri"/>
          <w:b w:val="0"/>
          <w:i w:val="0"/>
          <w:color w:val="1E3A5F"/>
          <w:sz w:val="21"/>
        </w:rPr>
        <w:t>5.  Chain of Custody and Control</w:t>
      </w:r>
    </w:p>
    <w:p>
      <w:pPr>
        <w:spacing w:after="60" w:line="288" w:lineRule="auto"/>
        <w:ind w:left="360"/>
        <w:jc w:val="left"/>
      </w:pPr>
      <w:r>
        <w:rPr>
          <w:rFonts w:ascii="Helvetica" w:hAnsi="Helvetica" w:cs="Helvetica" w:eastAsia="Calibri"/>
          <w:b w:val="0"/>
          <w:i w:val="0"/>
          <w:color w:val="1E3A5F"/>
          <w:sz w:val="21"/>
        </w:rPr>
        <w:t>6.  Recordkeeping and Retention (49 CFR § 655.71)</w:t>
      </w:r>
    </w:p>
    <w:p>
      <w:pPr>
        <w:spacing w:after="60" w:line="288" w:lineRule="auto"/>
        <w:ind w:left="360"/>
        <w:jc w:val="left"/>
      </w:pPr>
      <w:r>
        <w:rPr>
          <w:rFonts w:ascii="Helvetica" w:hAnsi="Helvetica" w:cs="Helvetica" w:eastAsia="Calibri"/>
          <w:b w:val="0"/>
          <w:i w:val="0"/>
          <w:color w:val="1E3A5F"/>
          <w:sz w:val="21"/>
        </w:rPr>
        <w:t>7.  Employee Obligations and Consequences of Non-Compliance</w:t>
      </w:r>
    </w:p>
    <w:p>
      <w:pPr>
        <w:spacing w:after="60" w:line="288" w:lineRule="auto"/>
        <w:ind w:left="360"/>
        <w:jc w:val="left"/>
      </w:pPr>
      <w:r>
        <w:rPr>
          <w:rFonts w:ascii="Helvetica" w:hAnsi="Helvetica" w:cs="Helvetica" w:eastAsia="Calibri"/>
          <w:b w:val="0"/>
          <w:i w:val="0"/>
          <w:color w:val="1E3A5F"/>
          <w:sz w:val="21"/>
        </w:rPr>
        <w:t>8.  Program Administration and Signature</w:t>
      </w:r>
    </w:p>
    <w:p>
      <w:pPr>
        <w:spacing w:line="240" w:lineRule="auto" w:after="0"/>
      </w:pPr>
    </w:p>
    <w:p>
      <w:pPr>
        <w:pBdr>
          <w:bottom w:val="single" w:sz="6" w:space="1" w:color="000000"/>
        </w:pBdr>
        <w:spacing w:after="0" w:before="0" w:line="240" w:lineRule="auto"/>
      </w:pPr>
    </w:p>
    <w:p>
      <w:pPr>
        <w:keepNext/>
        <w:spacing w:before="280" w:after="120" w:line="264" w:lineRule="auto"/>
        <w:jc w:val="left"/>
        <w:pBdr>
          <w:bottom w:val="single" w:sz="8" w:space="4" w:color="0F2447"/>
        </w:pBdr>
      </w:pPr>
      <w:r>
        <w:rPr>
          <w:rFonts w:ascii="Helvetica" w:hAnsi="Helvetica" w:cs="Helvetica" w:eastAsia="Calibri"/>
          <w:b/>
          <w:i w:val="0"/>
          <w:color w:val="0F2447"/>
          <w:sz w:val="29"/>
        </w:rPr>
        <w:t>1.  Purpose and Scope</w:t>
      </w:r>
    </w:p>
    <w:p>
      <w:pPr>
        <w:keepNext/>
        <w:spacing w:before="160" w:after="60" w:line="276" w:lineRule="auto"/>
        <w:jc w:val="left"/>
      </w:pPr>
      <w:r>
        <w:rPr>
          <w:rFonts w:ascii="Helvetica" w:hAnsi="Helvetica" w:cs="Helvetica" w:eastAsia="Calibri"/>
          <w:b/>
          <w:i w:val="0"/>
          <w:color w:val="1E3A5F"/>
          <w:sz w:val="23"/>
        </w:rPr>
        <w:t>1.1  Purpose</w:t>
      </w:r>
    </w:p>
    <w:p>
      <w:pPr>
        <w:spacing w:line="283" w:lineRule="auto" w:after="120"/>
        <w:jc w:val="both"/>
      </w:pPr>
      <w:r>
        <w:rPr>
          <w:rFonts w:ascii="Helvetica" w:hAnsi="Helvetica" w:cs="Helvetica" w:eastAsia="Calibri"/>
          <w:b w:val="0"/>
          <w:i w:val="0"/>
          <w:color w:val="1F2937"/>
          <w:sz w:val="21"/>
        </w:rPr>
        <w:t>This policy establishes the mandatory post-accident drug and alcohol testing program of the Alder Creek Transit District ("ACTD" or "the District") pursuant to the Federal Transit Administration's (FTA) prevention-of-alcohol-misuse and prohibition-of-drug-use regulations codified at 49 CFR Part 655, and pursuant to the Department of Transportation's procedural rules for workplace drug and alcohol testing programs codified at 49 CFR Part 40. This program is a condition of the District's receipt of federal financial assistance under 49 U.S.C. Chapter 53.</w:t>
      </w:r>
    </w:p>
    <w:p>
      <w:pPr>
        <w:keepNext/>
        <w:spacing w:before="160" w:after="60" w:line="276" w:lineRule="auto"/>
        <w:jc w:val="left"/>
      </w:pPr>
      <w:r>
        <w:rPr>
          <w:rFonts w:ascii="Helvetica" w:hAnsi="Helvetica" w:cs="Helvetica" w:eastAsia="Calibri"/>
          <w:b/>
          <w:i w:val="0"/>
          <w:color w:val="1E3A5F"/>
          <w:sz w:val="23"/>
        </w:rPr>
        <w:t>1.2  Scope</w:t>
      </w:r>
    </w:p>
    <w:p>
      <w:pPr>
        <w:spacing w:line="283" w:lineRule="auto" w:after="120"/>
        <w:jc w:val="both"/>
      </w:pPr>
      <w:r>
        <w:rPr>
          <w:rFonts w:ascii="Helvetica" w:hAnsi="Helvetica" w:cs="Helvetica" w:eastAsia="Calibri"/>
          <w:b w:val="0"/>
          <w:i w:val="0"/>
          <w:color w:val="1F2937"/>
          <w:sz w:val="21"/>
        </w:rPr>
        <w:t>This policy applies to every ACTD employee who performs a safety-sensitive function as that term is defined at 49 CFR § 655.4, including but not limited to:</w:t>
      </w:r>
    </w:p>
    <w:p>
      <w:pPr>
        <w:pStyle w:val="ListBullet"/>
        <w:spacing w:after="60" w:line="283" w:lineRule="auto"/>
        <w:ind w:left="432"/>
        <w:jc w:val="both"/>
      </w:pPr>
      <w:r>
        <w:rPr>
          <w:rFonts w:ascii="Helvetica" w:hAnsi="Helvetica" w:cs="Helvetica" w:eastAsia="Calibri"/>
          <w:b w:val="0"/>
          <w:i w:val="0"/>
          <w:color w:val="1F2937"/>
          <w:sz w:val="21"/>
        </w:rPr>
        <w:t>Revenue vehicle operators (bus operators, including Owl-service operators);</w:t>
      </w:r>
    </w:p>
    <w:p>
      <w:pPr>
        <w:pStyle w:val="ListBullet"/>
        <w:spacing w:after="60" w:line="283" w:lineRule="auto"/>
        <w:ind w:left="432"/>
        <w:jc w:val="both"/>
      </w:pPr>
      <w:r>
        <w:rPr>
          <w:rFonts w:ascii="Helvetica" w:hAnsi="Helvetica" w:cs="Helvetica" w:eastAsia="Calibri"/>
          <w:b w:val="0"/>
          <w:i w:val="0"/>
          <w:color w:val="1F2937"/>
          <w:sz w:val="21"/>
        </w:rPr>
        <w:t>Employees who control the dispatch or movement of a revenue vehicle;</w:t>
      </w:r>
    </w:p>
    <w:p>
      <w:pPr>
        <w:pStyle w:val="ListBullet"/>
        <w:spacing w:after="60" w:line="283" w:lineRule="auto"/>
        <w:ind w:left="432"/>
        <w:jc w:val="both"/>
      </w:pPr>
      <w:r>
        <w:rPr>
          <w:rFonts w:ascii="Helvetica" w:hAnsi="Helvetica" w:cs="Helvetica" w:eastAsia="Calibri"/>
          <w:b w:val="0"/>
          <w:i w:val="0"/>
          <w:color w:val="1F2937"/>
          <w:sz w:val="21"/>
        </w:rPr>
        <w:t>Employees who maintain (including repair, overhaul, and rebuild) a revenue service vehicle or equipment used in revenue service;</w:t>
      </w:r>
    </w:p>
    <w:p>
      <w:pPr>
        <w:pStyle w:val="ListBullet"/>
        <w:spacing w:after="60" w:line="283" w:lineRule="auto"/>
        <w:ind w:left="432"/>
        <w:jc w:val="both"/>
      </w:pPr>
      <w:r>
        <w:rPr>
          <w:rFonts w:ascii="Helvetica" w:hAnsi="Helvetica" w:cs="Helvetica" w:eastAsia="Calibri"/>
          <w:b w:val="0"/>
          <w:i w:val="0"/>
          <w:color w:val="1F2937"/>
          <w:sz w:val="21"/>
        </w:rPr>
        <w:t>Employees who carry a firearm for security purposes; and</w:t>
      </w:r>
    </w:p>
    <w:p>
      <w:pPr>
        <w:pStyle w:val="ListBullet"/>
        <w:spacing w:after="60" w:line="283" w:lineRule="auto"/>
        <w:ind w:left="432"/>
        <w:jc w:val="both"/>
      </w:pPr>
      <w:r>
        <w:rPr>
          <w:rFonts w:ascii="Helvetica" w:hAnsi="Helvetica" w:cs="Helvetica" w:eastAsia="Calibri"/>
          <w:b w:val="0"/>
          <w:i w:val="0"/>
          <w:color w:val="1F2937"/>
          <w:sz w:val="21"/>
        </w:rPr>
        <w:t>Any contractor or subcontractor employee performing a safety-sensitive function on behalf of the District.</w:t>
      </w:r>
    </w:p>
    <w:p>
      <w:pPr>
        <w:keepNext/>
        <w:spacing w:before="160" w:after="60" w:line="276" w:lineRule="auto"/>
        <w:jc w:val="left"/>
      </w:pPr>
      <w:r>
        <w:rPr>
          <w:rFonts w:ascii="Helvetica" w:hAnsi="Helvetica" w:cs="Helvetica" w:eastAsia="Calibri"/>
          <w:b/>
          <w:i w:val="0"/>
          <w:color w:val="1E3A5F"/>
          <w:sz w:val="23"/>
        </w:rPr>
        <w:t>1.3  Policy Statement</w:t>
      </w:r>
    </w:p>
    <w:p>
      <w:pPr>
        <w:spacing w:line="283" w:lineRule="auto" w:after="120"/>
        <w:jc w:val="both"/>
      </w:pPr>
      <w:r>
        <w:rPr>
          <w:rFonts w:ascii="Helvetica" w:hAnsi="Helvetica" w:cs="Helvetica" w:eastAsia="Calibri"/>
          <w:b w:val="0"/>
          <w:i w:val="0"/>
          <w:color w:val="1F2937"/>
          <w:sz w:val="21"/>
        </w:rPr>
        <w:t>It is the policy of ACTD that any safety-sensitive employee involved in an accident meeting the criteria set forth in 49 CFR § 655.44 shall be subject to mandatory post-accident drug and alcohol testing as a condition of continued employment. This is a mandatory federal program; it is not discretionary, and it is not limited to circumstances in which the employee is suspected of impairment. Nothing in this policy is intended to limit or displace the parallel authority of state or federal law enforcement to conduct evidentiary chemical testing under the California Vehicle Code or other applicable statute.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2.  Definitions</w:t>
      </w:r>
    </w:p>
    <w:p>
      <w:pPr>
        <w:spacing w:line="283" w:lineRule="auto" w:after="120"/>
        <w:jc w:val="both"/>
      </w:pPr>
      <w:r>
        <w:rPr>
          <w:rFonts w:ascii="Helvetica" w:hAnsi="Helvetica" w:cs="Helvetica" w:eastAsia="Calibri"/>
          <w:b w:val="0"/>
          <w:i w:val="0"/>
          <w:color w:val="1F2937"/>
          <w:sz w:val="21"/>
        </w:rPr>
        <w:t>For purposes of this policy, the following terms have the meanings set forth below. Where a term is separately defined by 49 CFR § 40.3 or § 655.4, the federal definition controls.</w:t>
      </w:r>
    </w:p>
    <w:p>
      <w:pPr>
        <w:spacing w:line="288" w:lineRule="auto" w:after="100"/>
        <w:ind w:left="432" w:hanging="432"/>
        <w:jc w:val="both"/>
      </w:pPr>
      <w:r>
        <w:rPr>
          <w:rFonts w:ascii="Helvetica" w:hAnsi="Helvetica" w:cs="Helvetica" w:eastAsia="Calibri"/>
          <w:b/>
          <w:i w:val="0"/>
          <w:color w:val="1F2937"/>
          <w:sz w:val="21"/>
        </w:rPr>
        <w:t>Accident.</w:t>
      </w:r>
      <w:r>
        <w:rPr>
          <w:rFonts w:ascii="Helvetica" w:hAnsi="Helvetica" w:cs="Helvetica" w:eastAsia="Calibri"/>
          <w:b w:val="0"/>
          <w:i w:val="0"/>
          <w:color w:val="1F2937"/>
          <w:sz w:val="21"/>
        </w:rPr>
        <w:t xml:space="preserve"> An occurrence associated with the operation of a revenue service vehicle, whether or not the vehicle is in revenue service at the time, as further defined at 49 CFR § 655.4 and 49 CFR § 655.44(a).</w:t>
      </w:r>
    </w:p>
    <w:p>
      <w:pPr>
        <w:spacing w:line="288" w:lineRule="auto" w:after="100"/>
        <w:ind w:left="432" w:hanging="432"/>
        <w:jc w:val="both"/>
      </w:pPr>
      <w:r>
        <w:rPr>
          <w:rFonts w:ascii="Helvetica" w:hAnsi="Helvetica" w:cs="Helvetica" w:eastAsia="Calibri"/>
          <w:b/>
          <w:i w:val="0"/>
          <w:color w:val="1F2937"/>
          <w:sz w:val="21"/>
        </w:rPr>
        <w:t>Alcohol.</w:t>
      </w:r>
      <w:r>
        <w:rPr>
          <w:rFonts w:ascii="Helvetica" w:hAnsi="Helvetica" w:cs="Helvetica" w:eastAsia="Calibri"/>
          <w:b w:val="0"/>
          <w:i w:val="0"/>
          <w:color w:val="1F2937"/>
          <w:sz w:val="21"/>
        </w:rPr>
        <w:t xml:space="preserve"> The intoxicating agent in beverage alcohol, ethyl alcohol, or other low-molecular-weight alcohols, including methyl or isopropyl alcohol.</w:t>
      </w:r>
    </w:p>
    <w:p>
      <w:pPr>
        <w:spacing w:line="288" w:lineRule="auto" w:after="100"/>
        <w:ind w:left="432" w:hanging="432"/>
        <w:jc w:val="both"/>
      </w:pPr>
      <w:r>
        <w:rPr>
          <w:rFonts w:ascii="Helvetica" w:hAnsi="Helvetica" w:cs="Helvetica" w:eastAsia="Calibri"/>
          <w:b/>
          <w:i w:val="0"/>
          <w:color w:val="1F2937"/>
          <w:sz w:val="21"/>
        </w:rPr>
        <w:t>Alcohol Concentration.</w:t>
      </w:r>
      <w:r>
        <w:rPr>
          <w:rFonts w:ascii="Helvetica" w:hAnsi="Helvetica" w:cs="Helvetica" w:eastAsia="Calibri"/>
          <w:b w:val="0"/>
          <w:i w:val="0"/>
          <w:color w:val="1F2937"/>
          <w:sz w:val="21"/>
        </w:rPr>
        <w:t xml:space="preserve"> The alcohol in a volume of breath expressed in terms of grams of alcohol per 210 liters of breath (g/210L) as indicated by an evidential breath testing device.</w:t>
      </w:r>
    </w:p>
    <w:p>
      <w:pPr>
        <w:spacing w:line="288" w:lineRule="auto" w:after="100"/>
        <w:ind w:left="432" w:hanging="432"/>
        <w:jc w:val="both"/>
      </w:pPr>
      <w:r>
        <w:rPr>
          <w:rFonts w:ascii="Helvetica" w:hAnsi="Helvetica" w:cs="Helvetica" w:eastAsia="Calibri"/>
          <w:b/>
          <w:i w:val="0"/>
          <w:color w:val="1F2937"/>
          <w:sz w:val="21"/>
        </w:rPr>
        <w:t>BAT (Breath Alcohol Technician).</w:t>
      </w:r>
      <w:r>
        <w:rPr>
          <w:rFonts w:ascii="Helvetica" w:hAnsi="Helvetica" w:cs="Helvetica" w:eastAsia="Calibri"/>
          <w:b w:val="0"/>
          <w:i w:val="0"/>
          <w:color w:val="1F2937"/>
          <w:sz w:val="21"/>
        </w:rPr>
        <w:t xml:space="preserve"> An individual who instructs and assists a covered employee in the alcohol testing process and who operates an evidential breath testing device (EBT), qualified in accordance with 49 CFR § 40.213.</w:t>
      </w:r>
    </w:p>
    <w:p>
      <w:pPr>
        <w:spacing w:line="288" w:lineRule="auto" w:after="100"/>
        <w:ind w:left="432" w:hanging="432"/>
        <w:jc w:val="both"/>
      </w:pPr>
      <w:r>
        <w:rPr>
          <w:rFonts w:ascii="Helvetica" w:hAnsi="Helvetica" w:cs="Helvetica" w:eastAsia="Calibri"/>
          <w:b/>
          <w:i w:val="0"/>
          <w:color w:val="1F2937"/>
          <w:sz w:val="21"/>
        </w:rPr>
        <w:t>Confirmation Test.</w:t>
      </w:r>
      <w:r>
        <w:rPr>
          <w:rFonts w:ascii="Helvetica" w:hAnsi="Helvetica" w:cs="Helvetica" w:eastAsia="Calibri"/>
          <w:b w:val="0"/>
          <w:i w:val="0"/>
          <w:color w:val="1F2937"/>
          <w:sz w:val="21"/>
        </w:rPr>
        <w:t xml:space="preserve"> For alcohol, a second test following a screening test with a result of 0.02 g/210L or greater, conducted on an EBT that meets the requirements of 49 CFR § 40.229 and administered in accordance with 49 CFR § 40.253.</w:t>
      </w:r>
    </w:p>
    <w:p>
      <w:pPr>
        <w:spacing w:line="288" w:lineRule="auto" w:after="100"/>
        <w:ind w:left="432" w:hanging="432"/>
        <w:jc w:val="both"/>
      </w:pPr>
      <w:r>
        <w:rPr>
          <w:rFonts w:ascii="Helvetica" w:hAnsi="Helvetica" w:cs="Helvetica" w:eastAsia="Calibri"/>
          <w:b/>
          <w:i w:val="0"/>
          <w:color w:val="1F2937"/>
          <w:sz w:val="21"/>
        </w:rPr>
        <w:t>Covered Employee.</w:t>
      </w:r>
      <w:r>
        <w:rPr>
          <w:rFonts w:ascii="Helvetica" w:hAnsi="Helvetica" w:cs="Helvetica" w:eastAsia="Calibri"/>
          <w:b w:val="0"/>
          <w:i w:val="0"/>
          <w:color w:val="1F2937"/>
          <w:sz w:val="21"/>
        </w:rPr>
        <w:t xml:space="preserve"> An employee who performs a safety-sensitive function as defined in § 1.2 above.</w:t>
      </w:r>
    </w:p>
    <w:p>
      <w:pPr>
        <w:spacing w:line="288" w:lineRule="auto" w:after="100"/>
        <w:ind w:left="432" w:hanging="432"/>
        <w:jc w:val="both"/>
      </w:pPr>
      <w:r>
        <w:rPr>
          <w:rFonts w:ascii="Helvetica" w:hAnsi="Helvetica" w:cs="Helvetica" w:eastAsia="Calibri"/>
          <w:b/>
          <w:i w:val="0"/>
          <w:color w:val="1F2937"/>
          <w:sz w:val="21"/>
        </w:rPr>
        <w:t>Designated Employer Representative (DER).</w:t>
      </w:r>
      <w:r>
        <w:rPr>
          <w:rFonts w:ascii="Helvetica" w:hAnsi="Helvetica" w:cs="Helvetica" w:eastAsia="Calibri"/>
          <w:b w:val="0"/>
          <w:i w:val="0"/>
          <w:color w:val="1F2937"/>
          <w:sz w:val="21"/>
        </w:rPr>
        <w:t xml:space="preserve"> A District employee authorized to receive test results and other communications from a service agent and empowered to take immediate action to remove a covered employee from safety-sensitive duty.</w:t>
      </w:r>
    </w:p>
    <w:p>
      <w:pPr>
        <w:spacing w:line="288" w:lineRule="auto" w:after="100"/>
        <w:ind w:left="432" w:hanging="432"/>
        <w:jc w:val="both"/>
      </w:pPr>
      <w:r>
        <w:rPr>
          <w:rFonts w:ascii="Helvetica" w:hAnsi="Helvetica" w:cs="Helvetica" w:eastAsia="Calibri"/>
          <w:b/>
          <w:i w:val="0"/>
          <w:color w:val="1F2937"/>
          <w:sz w:val="21"/>
        </w:rPr>
        <w:t>EBT (Evidential Breath Testing Device).</w:t>
      </w:r>
      <w:r>
        <w:rPr>
          <w:rFonts w:ascii="Helvetica" w:hAnsi="Helvetica" w:cs="Helvetica" w:eastAsia="Calibri"/>
          <w:b w:val="0"/>
          <w:i w:val="0"/>
          <w:color w:val="1F2937"/>
          <w:sz w:val="21"/>
        </w:rPr>
        <w:t xml:space="preserve"> A device approved by the National Highway Traffic Safety Administration (NHTSA) and appearing on the Conforming Products List for alcohol screening and confirmation testing.</w:t>
      </w:r>
    </w:p>
    <w:p>
      <w:pPr>
        <w:spacing w:line="288" w:lineRule="auto" w:after="100"/>
        <w:ind w:left="432" w:hanging="432"/>
        <w:jc w:val="both"/>
      </w:pPr>
      <w:r>
        <w:rPr>
          <w:rFonts w:ascii="Helvetica" w:hAnsi="Helvetica" w:cs="Helvetica" w:eastAsia="Calibri"/>
          <w:b/>
          <w:i w:val="0"/>
          <w:color w:val="1F2937"/>
          <w:sz w:val="21"/>
        </w:rPr>
        <w:t>MRO (Medical Review Officer).</w:t>
      </w:r>
      <w:r>
        <w:rPr>
          <w:rFonts w:ascii="Helvetica" w:hAnsi="Helvetica" w:cs="Helvetica" w:eastAsia="Calibri"/>
          <w:b w:val="0"/>
          <w:i w:val="0"/>
          <w:color w:val="1F2937"/>
          <w:sz w:val="21"/>
        </w:rPr>
        <w:t xml:space="preserve"> A licensed physician retained by the District who is responsible for receiving and reviewing laboratory results generated by the District's drug testing program and who is qualified under 49 CFR § 40.121.</w:t>
      </w:r>
    </w:p>
    <w:p>
      <w:pPr>
        <w:spacing w:line="288" w:lineRule="auto" w:after="100"/>
        <w:ind w:left="432" w:hanging="432"/>
        <w:jc w:val="both"/>
      </w:pPr>
      <w:r>
        <w:rPr>
          <w:rFonts w:ascii="Helvetica" w:hAnsi="Helvetica" w:cs="Helvetica" w:eastAsia="Calibri"/>
          <w:b/>
          <w:i w:val="0"/>
          <w:color w:val="1F2937"/>
          <w:sz w:val="21"/>
        </w:rPr>
        <w:t>Post-Accident Test.</w:t>
      </w:r>
      <w:r>
        <w:rPr>
          <w:rFonts w:ascii="Helvetica" w:hAnsi="Helvetica" w:cs="Helvetica" w:eastAsia="Calibri"/>
          <w:b w:val="0"/>
          <w:i w:val="0"/>
          <w:color w:val="1F2937"/>
          <w:sz w:val="21"/>
        </w:rPr>
        <w:t xml:space="preserve"> A federally required drug test and alcohol test administered under the circumstances described in 49 CFR § 655.44 following an accident.</w:t>
      </w:r>
    </w:p>
    <w:p>
      <w:pPr>
        <w:spacing w:line="288" w:lineRule="auto" w:after="100"/>
        <w:ind w:left="432" w:hanging="432"/>
        <w:jc w:val="both"/>
      </w:pPr>
      <w:r>
        <w:rPr>
          <w:rFonts w:ascii="Helvetica" w:hAnsi="Helvetica" w:cs="Helvetica" w:eastAsia="Calibri"/>
          <w:b/>
          <w:i w:val="0"/>
          <w:color w:val="1F2937"/>
          <w:sz w:val="21"/>
        </w:rPr>
        <w:t>Screening Test.</w:t>
      </w:r>
      <w:r>
        <w:rPr>
          <w:rFonts w:ascii="Helvetica" w:hAnsi="Helvetica" w:cs="Helvetica" w:eastAsia="Calibri"/>
          <w:b w:val="0"/>
          <w:i w:val="0"/>
          <w:color w:val="1F2937"/>
          <w:sz w:val="21"/>
        </w:rPr>
        <w:t xml:space="preserve"> For alcohol, an initial test using a saliva alcohol screening device (ASD) or an EBT to determine whether an employee has a prohibited alcohol concentration.</w:t>
      </w:r>
    </w:p>
    <w:p>
      <w:pPr>
        <w:spacing w:line="288" w:lineRule="auto" w:after="100"/>
        <w:ind w:left="432" w:hanging="432"/>
        <w:jc w:val="both"/>
      </w:pPr>
      <w:r>
        <w:rPr>
          <w:rFonts w:ascii="Helvetica" w:hAnsi="Helvetica" w:cs="Helvetica" w:eastAsia="Calibri"/>
          <w:b/>
          <w:i w:val="0"/>
          <w:color w:val="1F2937"/>
          <w:sz w:val="21"/>
        </w:rPr>
        <w:t>Split Specimen.</w:t>
      </w:r>
      <w:r>
        <w:rPr>
          <w:rFonts w:ascii="Helvetica" w:hAnsi="Helvetica" w:cs="Helvetica" w:eastAsia="Calibri"/>
          <w:b w:val="0"/>
          <w:i w:val="0"/>
          <w:color w:val="1F2937"/>
          <w:sz w:val="21"/>
        </w:rPr>
        <w:t xml:space="preserve"> In drug testing, the second bottle of a urine specimen collected in a split specimen collection under 49 CFR § 40.71, retained sealed at the primary laboratory and available for retesting at the employee's request under 49 CFR § 40.171.</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3.  Post-Accident Testing Triggers (49 CFR § 655.44)</w:t>
      </w:r>
    </w:p>
    <w:p>
      <w:pPr>
        <w:keepNext/>
        <w:spacing w:before="160" w:after="60" w:line="276" w:lineRule="auto"/>
        <w:jc w:val="left"/>
      </w:pPr>
      <w:r>
        <w:rPr>
          <w:rFonts w:ascii="Helvetica" w:hAnsi="Helvetica" w:cs="Helvetica" w:eastAsia="Calibri"/>
          <w:b/>
          <w:i w:val="0"/>
          <w:color w:val="1E3A5F"/>
          <w:sz w:val="23"/>
        </w:rPr>
        <w:t>3.1  Fatal Accidents</w:t>
      </w:r>
    </w:p>
    <w:p>
      <w:pPr>
        <w:spacing w:line="283" w:lineRule="auto" w:after="120"/>
        <w:jc w:val="both"/>
      </w:pPr>
      <w:r>
        <w:rPr>
          <w:rFonts w:ascii="Helvetica" w:hAnsi="Helvetica" w:cs="Helvetica" w:eastAsia="Calibri"/>
          <w:b w:val="0"/>
          <w:i w:val="0"/>
          <w:color w:val="1F2937"/>
          <w:sz w:val="21"/>
        </w:rPr>
        <w:t>As soon as practicable following an accident involving the loss of human life, ACTD shall conduct drug and alcohol tests on each surviving covered employee operating the revenue service vehicle at the time of the accident. ACTD shall also test any other covered employee whose performance of a safety-sensitive function cannot be completely discounted as a contributing factor to the accident. Discounting of a covered employee's performance shall be documented in writing by the DER or Compliance Officer and retained pursuant to § 6 below.</w:t>
      </w:r>
    </w:p>
    <w:p>
      <w:pPr>
        <w:keepNext/>
        <w:spacing w:before="160" w:after="60" w:line="276" w:lineRule="auto"/>
        <w:jc w:val="left"/>
      </w:pPr>
      <w:r>
        <w:rPr>
          <w:rFonts w:ascii="Helvetica" w:hAnsi="Helvetica" w:cs="Helvetica" w:eastAsia="Calibri"/>
          <w:b/>
          <w:i w:val="0"/>
          <w:color w:val="1E3A5F"/>
          <w:sz w:val="23"/>
        </w:rPr>
        <w:t>3.2  Non-Fatal Accidents</w:t>
      </w:r>
    </w:p>
    <w:p>
      <w:pPr>
        <w:spacing w:line="283" w:lineRule="auto" w:after="120"/>
        <w:jc w:val="both"/>
      </w:pPr>
      <w:r>
        <w:rPr>
          <w:rFonts w:ascii="Helvetica" w:hAnsi="Helvetica" w:cs="Helvetica" w:eastAsia="Calibri"/>
          <w:b w:val="0"/>
          <w:i w:val="0"/>
          <w:color w:val="1F2937"/>
          <w:sz w:val="21"/>
        </w:rPr>
        <w:t>As soon as practicable following an accident that does not involve the loss of human life in which a revenue service vehicle is involved, ACTD shall conduct drug and alcohol tests on each covered employee operating the revenue service vehicle at the time of the accident, unless the DER or Compliance Officer determines, using the best information available at the time of the decision, that the covered employee's performance can be completely discounted as a contributing factor to the accident. ACTD shall also test any other covered employee whose performance of a safety-sensitive function cannot be completely discounted as a contributing factor to the accident.</w:t>
      </w:r>
    </w:p>
    <w:p>
      <w:pPr>
        <w:keepNext/>
        <w:spacing w:before="160" w:after="60" w:line="276" w:lineRule="auto"/>
        <w:jc w:val="left"/>
      </w:pPr>
      <w:r>
        <w:rPr>
          <w:rFonts w:ascii="Helvetica" w:hAnsi="Helvetica" w:cs="Helvetica" w:eastAsia="Calibri"/>
          <w:b/>
          <w:i w:val="0"/>
          <w:color w:val="1E3A5F"/>
          <w:sz w:val="23"/>
        </w:rPr>
        <w:t>3.3  Discretion to Discount</w:t>
      </w:r>
    </w:p>
    <w:p>
      <w:pPr>
        <w:spacing w:line="283" w:lineRule="auto" w:after="120"/>
        <w:jc w:val="both"/>
      </w:pPr>
      <w:r>
        <w:rPr>
          <w:rFonts w:ascii="Helvetica" w:hAnsi="Helvetica" w:cs="Helvetica" w:eastAsia="Calibri"/>
          <w:b w:val="0"/>
          <w:i w:val="0"/>
          <w:color w:val="1F2937"/>
          <w:sz w:val="21"/>
        </w:rPr>
        <w:t>The decision not to test any covered employee under § 3.1 or § 3.2 (based on a determination that the employee's performance can be completely discounted) shall be made by the DER or the Compliance Officer, shall be documented on ACTD Form COMP-655-DISC, and shall be retained for the period required by § 6 below. The rationale for discounting shall be based on the best information available at the time of the decision.</w:t>
      </w:r>
    </w:p>
    <w:p>
      <w:pPr>
        <w:keepNext/>
        <w:spacing w:before="160" w:after="60" w:line="276" w:lineRule="auto"/>
        <w:jc w:val="left"/>
      </w:pPr>
      <w:r>
        <w:rPr>
          <w:rFonts w:ascii="Helvetica" w:hAnsi="Helvetica" w:cs="Helvetica" w:eastAsia="Calibri"/>
          <w:b/>
          <w:i w:val="0"/>
          <w:color w:val="1E3A5F"/>
          <w:sz w:val="23"/>
        </w:rPr>
        <w:t>3.4  Time Limits</w:t>
      </w:r>
    </w:p>
    <w:p>
      <w:pPr>
        <w:spacing w:line="283" w:lineRule="auto" w:after="80" w:before="20"/>
        <w:ind w:left="504" w:hanging="504"/>
        <w:jc w:val="both"/>
      </w:pPr>
      <w:r>
        <w:rPr>
          <w:rFonts w:ascii="Helvetica" w:hAnsi="Helvetica" w:cs="Helvetica" w:eastAsia="Calibri"/>
          <w:b/>
          <w:i w:val="0"/>
          <w:color w:val="1F2937"/>
          <w:sz w:val="21"/>
        </w:rPr>
        <w:t>(a) Alcohol testing.</w:t>
      </w:r>
      <w:r>
        <w:rPr>
          <w:rFonts w:ascii="Helvetica" w:hAnsi="Helvetica" w:cs="Helvetica" w:eastAsia="Calibri"/>
          <w:b w:val="0"/>
          <w:i w:val="0"/>
          <w:color w:val="1F2937"/>
          <w:sz w:val="21"/>
        </w:rPr>
        <w:t xml:space="preserve"> ACTD shall attempt to administer an alcohol test within </w:t>
      </w:r>
      <w:r>
        <w:rPr>
          <w:rFonts w:ascii="Helvetica" w:hAnsi="Helvetica" w:cs="Helvetica" w:eastAsia="Calibri"/>
          <w:b/>
          <w:i w:val="0"/>
          <w:color w:val="1F2937"/>
          <w:sz w:val="21"/>
        </w:rPr>
        <w:t>two (2) hours</w:t>
      </w:r>
      <w:r>
        <w:rPr>
          <w:rFonts w:ascii="Helvetica" w:hAnsi="Helvetica" w:cs="Helvetica" w:eastAsia="Calibri"/>
          <w:b w:val="0"/>
          <w:i w:val="0"/>
          <w:color w:val="1F2937"/>
          <w:sz w:val="21"/>
        </w:rPr>
        <w:t xml:space="preserve"> of the accident. If an alcohol test is not administered within two hours, the Compliance Officer shall prepare and maintain on file a record stating the reasons the test was not promptly administered. If an alcohol test is not administered within </w:t>
      </w:r>
      <w:r>
        <w:rPr>
          <w:rFonts w:ascii="Helvetica" w:hAnsi="Helvetica" w:cs="Helvetica" w:eastAsia="Calibri"/>
          <w:b/>
          <w:i w:val="0"/>
          <w:color w:val="1F2937"/>
          <w:sz w:val="21"/>
        </w:rPr>
        <w:t>eight (8) hours</w:t>
      </w:r>
      <w:r>
        <w:rPr>
          <w:rFonts w:ascii="Helvetica" w:hAnsi="Helvetica" w:cs="Helvetica" w:eastAsia="Calibri"/>
          <w:b w:val="0"/>
          <w:i w:val="0"/>
          <w:color w:val="1F2937"/>
          <w:sz w:val="21"/>
        </w:rPr>
        <w:t xml:space="preserve"> following the accident, ACTD shall cease attempts to administer an alcohol test and shall prepare and maintain the record described above.</w:t>
      </w:r>
    </w:p>
    <w:p>
      <w:pPr>
        <w:spacing w:line="283" w:lineRule="auto" w:after="80" w:before="20"/>
        <w:ind w:left="504" w:hanging="504"/>
        <w:jc w:val="both"/>
      </w:pPr>
      <w:r>
        <w:rPr>
          <w:rFonts w:ascii="Helvetica" w:hAnsi="Helvetica" w:cs="Helvetica" w:eastAsia="Calibri"/>
          <w:b/>
          <w:i w:val="0"/>
          <w:color w:val="1F2937"/>
          <w:sz w:val="21"/>
        </w:rPr>
        <w:t>(b) Drug testing.</w:t>
      </w:r>
      <w:r>
        <w:rPr>
          <w:rFonts w:ascii="Helvetica" w:hAnsi="Helvetica" w:cs="Helvetica" w:eastAsia="Calibri"/>
          <w:b w:val="0"/>
          <w:i w:val="0"/>
          <w:color w:val="1F2937"/>
          <w:sz w:val="21"/>
        </w:rPr>
        <w:t xml:space="preserve"> ACTD shall attempt to administer a post-accident drug test within </w:t>
      </w:r>
      <w:r>
        <w:rPr>
          <w:rFonts w:ascii="Helvetica" w:hAnsi="Helvetica" w:cs="Helvetica" w:eastAsia="Calibri"/>
          <w:b/>
          <w:i w:val="0"/>
          <w:color w:val="1F2937"/>
          <w:sz w:val="21"/>
        </w:rPr>
        <w:t>thirty-two (32) hours</w:t>
      </w:r>
      <w:r>
        <w:rPr>
          <w:rFonts w:ascii="Helvetica" w:hAnsi="Helvetica" w:cs="Helvetica" w:eastAsia="Calibri"/>
          <w:b w:val="0"/>
          <w:i w:val="0"/>
          <w:color w:val="1F2937"/>
          <w:sz w:val="21"/>
        </w:rPr>
        <w:t xml:space="preserve"> of the accident. If a drug test is not administered within thirty-two hours, ACTD shall cease attempts to administer the drug test and shall prepare and maintain a record stating the reasons the test was not promptly administered.</w:t>
      </w:r>
    </w:p>
    <w:p>
      <w:pPr>
        <w:keepNext/>
        <w:spacing w:before="160" w:after="60" w:line="276" w:lineRule="auto"/>
        <w:jc w:val="left"/>
      </w:pPr>
      <w:r>
        <w:rPr>
          <w:rFonts w:ascii="Helvetica" w:hAnsi="Helvetica" w:cs="Helvetica" w:eastAsia="Calibri"/>
          <w:b/>
          <w:i w:val="0"/>
          <w:color w:val="1E3A5F"/>
          <w:sz w:val="23"/>
        </w:rPr>
        <w:t>3.5  Duty to Remain Available</w:t>
      </w:r>
    </w:p>
    <w:p>
      <w:pPr>
        <w:spacing w:line="283" w:lineRule="auto" w:after="120"/>
        <w:jc w:val="both"/>
      </w:pPr>
      <w:r>
        <w:rPr>
          <w:rFonts w:ascii="Helvetica" w:hAnsi="Helvetica" w:cs="Helvetica" w:eastAsia="Calibri"/>
          <w:b w:val="0"/>
          <w:i w:val="0"/>
          <w:color w:val="1F2937"/>
          <w:sz w:val="21"/>
        </w:rPr>
        <w:t>Any covered employee subject to post-accident testing under this section shall remain readily available for such testing or shall be deemed by ACTD to have refused to submit to testing, with the consequences set forth in § 7. Nothing in this subsection shall be construed to require the delay of necessary medical attention for injured persons or to prohibit a covered employee from leaving the scene of an accident for the period necessary to obtain assistance in responding to the accident or to obtain necessary emergency medical care.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4.  Testing Procedures</w:t>
      </w:r>
    </w:p>
    <w:p>
      <w:pPr>
        <w:keepNext/>
        <w:spacing w:before="160" w:after="60" w:line="276" w:lineRule="auto"/>
        <w:jc w:val="left"/>
      </w:pPr>
      <w:r>
        <w:rPr>
          <w:rFonts w:ascii="Helvetica" w:hAnsi="Helvetica" w:cs="Helvetica" w:eastAsia="Calibri"/>
          <w:b/>
          <w:i w:val="0"/>
          <w:color w:val="1E3A5F"/>
          <w:sz w:val="23"/>
        </w:rPr>
        <w:t>4.1  Alcohol Testing — Screening</w:t>
      </w:r>
    </w:p>
    <w:p>
      <w:pPr>
        <w:spacing w:line="283" w:lineRule="auto" w:after="120"/>
        <w:jc w:val="both"/>
      </w:pPr>
      <w:r>
        <w:rPr>
          <w:rFonts w:ascii="Helvetica" w:hAnsi="Helvetica" w:cs="Helvetica" w:eastAsia="Calibri"/>
          <w:b w:val="0"/>
          <w:i w:val="0"/>
          <w:color w:val="1F2937"/>
          <w:sz w:val="21"/>
        </w:rPr>
        <w:t>Alcohol screening tests shall be administered by a qualified BAT operating an EBT that appears on the NHTSA Conforming Products List and that has been calibrated in accordance with the manufacturer's specifications. The BAT shall conduct the screening test in accordance with 49 CFR § 40.211 and shall record the result on the DOT Alcohol Testing Form. A screening test result below 0.02 g/210L is a negative test and no further testing is required.</w:t>
      </w:r>
    </w:p>
    <w:p>
      <w:pPr>
        <w:keepNext/>
        <w:spacing w:before="160" w:after="60" w:line="276" w:lineRule="auto"/>
        <w:jc w:val="left"/>
      </w:pPr>
      <w:r>
        <w:rPr>
          <w:rFonts w:ascii="Helvetica" w:hAnsi="Helvetica" w:cs="Helvetica" w:eastAsia="Calibri"/>
          <w:b/>
          <w:i w:val="0"/>
          <w:color w:val="1E3A5F"/>
          <w:sz w:val="23"/>
        </w:rPr>
        <w:t>4.2  Alcohol Testing — Confirmation</w:t>
      </w:r>
    </w:p>
    <w:p>
      <w:pPr>
        <w:spacing w:line="283" w:lineRule="auto" w:after="120"/>
        <w:jc w:val="both"/>
      </w:pPr>
      <w:r>
        <w:rPr>
          <w:rFonts w:ascii="Helvetica" w:hAnsi="Helvetica" w:cs="Helvetica" w:eastAsia="Calibri"/>
          <w:b w:val="0"/>
          <w:i w:val="0"/>
          <w:color w:val="1F2937"/>
          <w:sz w:val="21"/>
        </w:rPr>
        <w:t xml:space="preserve">Any screening test result of </w:t>
      </w:r>
      <w:r>
        <w:rPr>
          <w:rFonts w:ascii="Helvetica" w:hAnsi="Helvetica" w:cs="Helvetica" w:eastAsia="Calibri"/>
          <w:b/>
          <w:i w:val="0"/>
          <w:color w:val="1F2937"/>
          <w:sz w:val="21"/>
        </w:rPr>
        <w:t>0.02 g/210L or greater</w:t>
      </w:r>
      <w:r>
        <w:rPr>
          <w:rFonts w:ascii="Helvetica" w:hAnsi="Helvetica" w:cs="Helvetica" w:eastAsia="Calibri"/>
          <w:b w:val="0"/>
          <w:i w:val="0"/>
          <w:color w:val="1F2937"/>
          <w:sz w:val="21"/>
        </w:rPr>
        <w:t xml:space="preserve"> shall be followed by a confirmation test conducted in accordance with 49 CFR § 40.253. The confirmation test shall:</w:t>
      </w:r>
    </w:p>
    <w:p>
      <w:pPr>
        <w:pStyle w:val="ListBullet"/>
        <w:spacing w:after="60" w:line="283" w:lineRule="auto"/>
        <w:ind w:left="432"/>
        <w:jc w:val="both"/>
      </w:pPr>
      <w:r>
        <w:rPr>
          <w:rFonts w:ascii="Helvetica" w:hAnsi="Helvetica" w:cs="Helvetica" w:eastAsia="Calibri"/>
          <w:b w:val="0"/>
          <w:i w:val="0"/>
          <w:color w:val="1F2937"/>
          <w:sz w:val="21"/>
        </w:rPr>
        <w:t>Be conducted on an EBT operated by a qualified BAT;</w:t>
      </w:r>
    </w:p>
    <w:p>
      <w:pPr>
        <w:pStyle w:val="ListBullet"/>
        <w:spacing w:after="60" w:line="283" w:lineRule="auto"/>
        <w:ind w:left="432"/>
        <w:jc w:val="both"/>
      </w:pPr>
      <w:r>
        <w:rPr>
          <w:rFonts w:ascii="Helvetica" w:hAnsi="Helvetica" w:cs="Helvetica" w:eastAsia="Calibri"/>
          <w:b w:val="0"/>
          <w:i w:val="0"/>
          <w:color w:val="1F2937"/>
          <w:sz w:val="21"/>
        </w:rPr>
        <w:t>Be preceded by an observed waiting period of at least fifteen (15) minutes but not more than thirty (30) minutes, during which the employee shall not eat, drink, put any object or substance in his or her mouth, or belch to the extent possible;</w:t>
      </w:r>
    </w:p>
    <w:p>
      <w:pPr>
        <w:pStyle w:val="ListBullet"/>
        <w:spacing w:after="60" w:line="283" w:lineRule="auto"/>
        <w:ind w:left="432"/>
        <w:jc w:val="both"/>
      </w:pPr>
      <w:r>
        <w:rPr>
          <w:rFonts w:ascii="Helvetica" w:hAnsi="Helvetica" w:cs="Helvetica" w:eastAsia="Calibri"/>
          <w:b w:val="0"/>
          <w:i w:val="0"/>
          <w:color w:val="1F2937"/>
          <w:sz w:val="21"/>
        </w:rPr>
        <w:t>Be preceded by an air blank showing a result of 0.00 g/210L; and</w:t>
      </w:r>
    </w:p>
    <w:p>
      <w:pPr>
        <w:pStyle w:val="ListBullet"/>
        <w:spacing w:after="60" w:line="283" w:lineRule="auto"/>
        <w:ind w:left="432"/>
        <w:jc w:val="both"/>
      </w:pPr>
      <w:r>
        <w:rPr>
          <w:rFonts w:ascii="Helvetica" w:hAnsi="Helvetica" w:cs="Helvetica" w:eastAsia="Calibri"/>
          <w:b w:val="0"/>
          <w:i w:val="0"/>
          <w:color w:val="1F2937"/>
          <w:sz w:val="21"/>
        </w:rPr>
        <w:t>Produce a printed result identifying the employee, the BAT, the device, and the sequential test number.</w:t>
      </w:r>
    </w:p>
    <w:p>
      <w:pPr>
        <w:spacing w:line="283" w:lineRule="auto" w:after="120"/>
        <w:jc w:val="both"/>
      </w:pPr>
      <w:r>
        <w:rPr>
          <w:rFonts w:ascii="Helvetica" w:hAnsi="Helvetica" w:cs="Helvetica" w:eastAsia="Calibri"/>
          <w:b w:val="0"/>
          <w:i w:val="0"/>
          <w:color w:val="1F2937"/>
          <w:sz w:val="21"/>
        </w:rPr>
        <w:t>Where the screening and confirmation tests are conducted on the same EBT and are conducted by the same BAT, the confirmation result shall be recorded on the same DOT Alcohol Testing Form.</w:t>
      </w:r>
    </w:p>
    <w:p>
      <w:pPr>
        <w:keepNext/>
        <w:spacing w:before="160" w:after="60" w:line="276" w:lineRule="auto"/>
        <w:jc w:val="left"/>
      </w:pPr>
      <w:r>
        <w:rPr>
          <w:rFonts w:ascii="Helvetica" w:hAnsi="Helvetica" w:cs="Helvetica" w:eastAsia="Calibri"/>
          <w:b/>
          <w:i w:val="0"/>
          <w:color w:val="1E3A5F"/>
          <w:sz w:val="23"/>
        </w:rPr>
        <w:t>4.3  Reporting of Results</w:t>
      </w:r>
    </w:p>
    <w:p>
      <w:pPr>
        <w:spacing w:line="283" w:lineRule="auto" w:after="120"/>
        <w:jc w:val="both"/>
      </w:pPr>
      <w:r>
        <w:rPr>
          <w:rFonts w:ascii="Helvetica" w:hAnsi="Helvetica" w:cs="Helvetica" w:eastAsia="Calibri"/>
          <w:b w:val="0"/>
          <w:i w:val="0"/>
          <w:color w:val="1F2937"/>
          <w:sz w:val="21"/>
        </w:rPr>
        <w:t>The confirmation test result is the final result. A confirmed alcohol concentration of 0.02 g/210L or greater is a positive DOT alcohol test for purposes of 49 CFR Part 655. The BAT shall transmit the result to the DER by direct communication (in person, by telephone, or by electronic means) as soon as the confirmation test is complete.</w:t>
      </w:r>
    </w:p>
    <w:p>
      <w:pPr>
        <w:keepNext/>
        <w:spacing w:before="160" w:after="60" w:line="276" w:lineRule="auto"/>
        <w:jc w:val="left"/>
      </w:pPr>
      <w:r>
        <w:rPr>
          <w:rFonts w:ascii="Helvetica" w:hAnsi="Helvetica" w:cs="Helvetica" w:eastAsia="Calibri"/>
          <w:b/>
          <w:i w:val="0"/>
          <w:color w:val="1E3A5F"/>
          <w:sz w:val="23"/>
        </w:rPr>
        <w:t>4.4  Drug Specimen Collection</w:t>
      </w:r>
    </w:p>
    <w:p>
      <w:pPr>
        <w:spacing w:line="283" w:lineRule="auto" w:after="120"/>
        <w:jc w:val="both"/>
      </w:pPr>
      <w:r>
        <w:rPr>
          <w:rFonts w:ascii="Helvetica" w:hAnsi="Helvetica" w:cs="Helvetica" w:eastAsia="Calibri"/>
          <w:b w:val="0"/>
          <w:i w:val="0"/>
          <w:color w:val="1F2937"/>
          <w:sz w:val="21"/>
        </w:rPr>
        <w:t>Post-accident drug specimen collection shall be conducted at a collection site meeting the requirements of 49 CFR § 40.41 by a qualified collector under 49 CFR § 40.33. The collection shall use the DOT Federal Drug Testing Custody and Control Form (CCF) and shall follow the split specimen collection procedure specified at 49 CFR § 40.71.</w:t>
      </w:r>
    </w:p>
    <w:p>
      <w:pPr>
        <w:spacing w:line="283" w:lineRule="auto" w:after="120"/>
        <w:jc w:val="both"/>
      </w:pPr>
      <w:r>
        <w:rPr>
          <w:rFonts w:ascii="Helvetica" w:hAnsi="Helvetica" w:cs="Helvetica" w:eastAsia="Calibri"/>
          <w:b w:val="0"/>
          <w:i w:val="0"/>
          <w:color w:val="1F2937"/>
          <w:sz w:val="21"/>
        </w:rPr>
        <w:t>The primary specimen (Bottle A) and split specimen (Bottle B) shall each be sealed with tamper-evident labels initialed by the donor, packaged, and shipped to a Department of Health and Human Services (HHS)-certified laboratory. The specimen shall be tested for the five-drug DOT panel identified at 49 CFR § 40.85: marijuana metabolites, cocaine metabolites, amphetamines, opioids, and phencyclidine.</w:t>
      </w:r>
    </w:p>
    <w:p>
      <w:pPr>
        <w:keepNext/>
        <w:spacing w:before="160" w:after="60" w:line="276" w:lineRule="auto"/>
        <w:jc w:val="left"/>
      </w:pPr>
      <w:r>
        <w:rPr>
          <w:rFonts w:ascii="Helvetica" w:hAnsi="Helvetica" w:cs="Helvetica" w:eastAsia="Calibri"/>
          <w:b/>
          <w:i w:val="0"/>
          <w:color w:val="1E3A5F"/>
          <w:sz w:val="23"/>
        </w:rPr>
        <w:t>4.5  Coordination With Law-Enforcement Chemical Testing</w:t>
      </w:r>
    </w:p>
    <w:p>
      <w:pPr>
        <w:spacing w:line="283" w:lineRule="auto" w:after="120"/>
        <w:jc w:val="both"/>
      </w:pPr>
      <w:r>
        <w:rPr>
          <w:rFonts w:ascii="Helvetica" w:hAnsi="Helvetica" w:cs="Helvetica" w:eastAsia="Calibri"/>
          <w:b w:val="0"/>
          <w:i w:val="0"/>
          <w:color w:val="1F2937"/>
          <w:sz w:val="21"/>
        </w:rPr>
        <w:t>The federal post-accident testing obligation is independent of, and additional to, any evidentiary chemical testing conducted by law enforcement under the California Vehicle Code. Where law enforcement has taken a covered employee into custody prior to the completion of the DOT test, the BAT shall coordinate access with the arresting agency so that both the law-enforcement evidentiary specimen and the DOT compliance specimen may be obtained without interference. The BAT shall document the sequence of custody transitions on the DOT Alcohol Testing Form and, where applicable, on ACTD Form COMP-655-LEC (Law-Enforcement Coordination Log).</w:t>
      </w:r>
    </w:p>
    <w:p>
      <w:pPr>
        <w:spacing w:line="283" w:lineRule="auto" w:after="120"/>
        <w:jc w:val="both"/>
      </w:pPr>
      <w:r>
        <w:rPr>
          <w:rFonts w:ascii="Helvetica" w:hAnsi="Helvetica" w:cs="Helvetica" w:eastAsia="Calibri"/>
          <w:b w:val="0"/>
          <w:i w:val="0"/>
          <w:color w:val="1F2937"/>
          <w:sz w:val="21"/>
        </w:rPr>
        <w:t>The DOT specimen is administered for regulatory compliance purposes. The DOT specimen does not substitute for, and is not equivalent to, an evidentiary specimen collected by law enforcement under state chain-of-custody protocols.</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5.  Chain of Custody and Control</w:t>
      </w:r>
    </w:p>
    <w:p>
      <w:pPr>
        <w:keepNext/>
        <w:spacing w:before="160" w:after="60" w:line="276" w:lineRule="auto"/>
        <w:jc w:val="left"/>
      </w:pPr>
      <w:r>
        <w:rPr>
          <w:rFonts w:ascii="Helvetica" w:hAnsi="Helvetica" w:cs="Helvetica" w:eastAsia="Calibri"/>
          <w:b/>
          <w:i w:val="0"/>
          <w:color w:val="1E3A5F"/>
          <w:sz w:val="23"/>
        </w:rPr>
        <w:t>5.1  Custody and Control Form</w:t>
      </w:r>
    </w:p>
    <w:p>
      <w:pPr>
        <w:spacing w:line="283" w:lineRule="auto" w:after="120"/>
        <w:jc w:val="both"/>
      </w:pPr>
      <w:r>
        <w:rPr>
          <w:rFonts w:ascii="Helvetica" w:hAnsi="Helvetica" w:cs="Helvetica" w:eastAsia="Calibri"/>
          <w:b w:val="0"/>
          <w:i w:val="0"/>
          <w:color w:val="1F2937"/>
          <w:sz w:val="21"/>
        </w:rPr>
        <w:t>All post-accident drug specimen collections shall be documented on the current version of the Federal Drug Testing Custody and Control Form (CCF). Each transfer of the specimen — from donor to collector, from collector to shipping courier, from courier to laboratory, and from laboratory to MRO — shall be recorded with printed name, signature, date, and time of transfer.</w:t>
      </w:r>
    </w:p>
    <w:p>
      <w:pPr>
        <w:keepNext/>
        <w:spacing w:before="160" w:after="60" w:line="276" w:lineRule="auto"/>
        <w:jc w:val="left"/>
      </w:pPr>
      <w:r>
        <w:rPr>
          <w:rFonts w:ascii="Helvetica" w:hAnsi="Helvetica" w:cs="Helvetica" w:eastAsia="Calibri"/>
          <w:b/>
          <w:i w:val="0"/>
          <w:color w:val="1E3A5F"/>
          <w:sz w:val="23"/>
        </w:rPr>
        <w:t>5.2  Split Specimen</w:t>
      </w:r>
    </w:p>
    <w:p>
      <w:pPr>
        <w:spacing w:line="283" w:lineRule="auto" w:after="120"/>
        <w:jc w:val="both"/>
      </w:pPr>
      <w:r>
        <w:rPr>
          <w:rFonts w:ascii="Helvetica" w:hAnsi="Helvetica" w:cs="Helvetica" w:eastAsia="Calibri"/>
          <w:b w:val="0"/>
          <w:i w:val="0"/>
          <w:color w:val="1F2937"/>
          <w:sz w:val="21"/>
        </w:rPr>
        <w:t>The split specimen collection procedure of 49 CFR § 40.71 shall be used for every post-accident drug test. If the primary specimen produces a laboratory-verified positive, adulterated, or substituted result, the employee shall be advised by the MRO of the right to have the split specimen tested at a second HHS-certified laboratory of the MRO's designation, and shall have seventy-two (72) hours from the MRO's notification to request such retesting.</w:t>
      </w:r>
    </w:p>
    <w:p>
      <w:pPr>
        <w:keepNext/>
        <w:spacing w:before="160" w:after="60" w:line="276" w:lineRule="auto"/>
        <w:jc w:val="left"/>
      </w:pPr>
      <w:r>
        <w:rPr>
          <w:rFonts w:ascii="Helvetica" w:hAnsi="Helvetica" w:cs="Helvetica" w:eastAsia="Calibri"/>
          <w:b/>
          <w:i w:val="0"/>
          <w:color w:val="1E3A5F"/>
          <w:sz w:val="23"/>
        </w:rPr>
        <w:t>5.3  Medical Review Officer</w:t>
      </w:r>
    </w:p>
    <w:p>
      <w:pPr>
        <w:spacing w:line="283" w:lineRule="auto" w:after="120"/>
        <w:jc w:val="both"/>
      </w:pPr>
      <w:r>
        <w:rPr>
          <w:rFonts w:ascii="Helvetica" w:hAnsi="Helvetica" w:cs="Helvetica" w:eastAsia="Calibri"/>
          <w:b w:val="0"/>
          <w:i w:val="0"/>
          <w:color w:val="1F2937"/>
          <w:sz w:val="21"/>
        </w:rPr>
        <w:t>The District's MRO shall review all laboratory drug testing results in accordance with 49 CFR Part 40, Subpart G. The MRO shall attempt to contact the employee to conduct a verification interview for any non-negative laboratory result, shall consider any legitimate medical explanation offered, and shall report a verified result to the DER only after completing the MRO review process specified at 49 CFR §§ 40.129 through 40.135.</w:t>
      </w:r>
    </w:p>
    <w:p>
      <w:pPr>
        <w:keepNext/>
        <w:spacing w:before="160" w:after="60" w:line="276" w:lineRule="auto"/>
        <w:jc w:val="left"/>
      </w:pPr>
      <w:r>
        <w:rPr>
          <w:rFonts w:ascii="Helvetica" w:hAnsi="Helvetica" w:cs="Helvetica" w:eastAsia="Calibri"/>
          <w:b/>
          <w:i w:val="0"/>
          <w:color w:val="1E3A5F"/>
          <w:sz w:val="23"/>
        </w:rPr>
        <w:t>5.4  Law-Enforcement Coordinated Custody</w:t>
      </w:r>
    </w:p>
    <w:p>
      <w:pPr>
        <w:spacing w:line="283" w:lineRule="auto" w:after="120"/>
        <w:jc w:val="both"/>
      </w:pPr>
      <w:r>
        <w:rPr>
          <w:rFonts w:ascii="Helvetica" w:hAnsi="Helvetica" w:cs="Helvetica" w:eastAsia="Calibri"/>
          <w:b w:val="0"/>
          <w:i w:val="0"/>
          <w:color w:val="1F2937"/>
          <w:sz w:val="21"/>
        </w:rPr>
        <w:t>Where a covered employee has been placed under arrest by law enforcement prior to the completion of DOT post-accident testing, ACTD shall not delay or defer the DOT test. The BAT and DER shall coordinate directly with the custodial law-enforcement agency so that the DOT specimen may be collected at the earliest opportunity consistent with the time limits at § 3.4 above. The BAT shall record the location of collection (e.g., booking facility, hospital), the identity of the coordinating law-enforcement officer, and the exact time custody was made available for the DOT collection. Where circumstances prevent DOT collection within the § 3.4 outer limits, the reasons shall be documented and retained.</w:t>
      </w:r>
    </w:p>
    <w:p>
      <w:pPr>
        <w:keepNext/>
        <w:spacing w:before="160" w:after="60" w:line="276" w:lineRule="auto"/>
        <w:jc w:val="left"/>
      </w:pPr>
      <w:r>
        <w:rPr>
          <w:rFonts w:ascii="Helvetica" w:hAnsi="Helvetica" w:cs="Helvetica" w:eastAsia="Calibri"/>
          <w:b/>
          <w:i w:val="0"/>
          <w:color w:val="1E3A5F"/>
          <w:sz w:val="23"/>
        </w:rPr>
        <w:t>5.5  Records Custody</w:t>
      </w:r>
    </w:p>
    <w:p>
      <w:pPr>
        <w:spacing w:line="283" w:lineRule="auto" w:after="120"/>
        <w:jc w:val="both"/>
      </w:pPr>
      <w:r>
        <w:rPr>
          <w:rFonts w:ascii="Helvetica" w:hAnsi="Helvetica" w:cs="Helvetica" w:eastAsia="Calibri"/>
          <w:b w:val="0"/>
          <w:i w:val="0"/>
          <w:color w:val="1F2937"/>
          <w:sz w:val="21"/>
        </w:rPr>
        <w:t>The completed CCF (Copy 4 — Employer Copy), the completed DOT Alcohol Testing Form (Copy 3 — Employer Copy), and any ancillary documentation (calibration logs, discounting determinations, coordination logs, records of missed time limits) shall be transmitted to the ACTD Compliance Department and retained in a secure, access-controlled file cabinet or equivalent electronic records repository. Access shall be limited to the Compliance Officer, the DER, and other personnel with a documented need to know.</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6.  Recordkeeping and Retention (49 CFR § 655.71)</w:t>
      </w:r>
    </w:p>
    <w:p>
      <w:pPr>
        <w:spacing w:line="283" w:lineRule="auto" w:after="120"/>
        <w:jc w:val="both"/>
      </w:pPr>
      <w:r>
        <w:rPr>
          <w:rFonts w:ascii="Helvetica" w:hAnsi="Helvetica" w:cs="Helvetica" w:eastAsia="Calibri"/>
          <w:b w:val="0"/>
          <w:i w:val="0"/>
          <w:color w:val="1F2937"/>
          <w:sz w:val="21"/>
        </w:rPr>
        <w:t>The District shall maintain records of its anti-drug and alcohol misuse programs as required by 49 CFR § 655.71. The retention periods set forth below are minimum periods; longer retention may be required by other applicable law, by a document-hold notice, or by pending litigation.</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c>
          <w:tcPr>
            <w:tcW w:type="dxa" w:w="6624"/>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pPr>
            <w:r>
              <w:rPr>
                <w:rFonts w:ascii="Helvetica" w:hAnsi="Helvetica" w:cs="Helvetica" w:eastAsia="Calibri"/>
                <w:b/>
                <w:i w:val="0"/>
                <w:color w:val="FFFFFF"/>
                <w:sz w:val="20"/>
              </w:rPr>
              <w:t>Record Category</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jc w:val="center"/>
            </w:pPr>
            <w:r>
              <w:rPr>
                <w:rFonts w:ascii="Helvetica" w:hAnsi="Helvetica" w:cs="Helvetica" w:eastAsia="Calibri"/>
                <w:b/>
                <w:i w:val="0"/>
                <w:color w:val="FFFFFF"/>
                <w:sz w:val="20"/>
              </w:rPr>
              <w:t>Minimum Retention</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verified positive drug or alcohol test results; refusals; documentation of second opinions; and required rehabilitation</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collections, including logbooks, if used; the CCF; documents relating to the collection process; and documents generated in connection with decisions to discount the covered employee's performance as a contributing factor</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training and BAT/collector qualifications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the inspection, maintenance, and calibration of EBTs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related to the administration of the alcohol and drug testing programs, including agreements with collection sites, laboratories, BATs, and MROs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Annual MIS reports submitted to FTA</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negative and cancelled drug test results and alcohol test results with a concentration of less than 0.02 g/210L</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One (1) year</w:t>
            </w:r>
          </w:p>
        </w:tc>
      </w:tr>
    </w:tbl>
    <w:p>
      <w:pPr>
        <w:spacing w:line="240" w:lineRule="auto" w:after="0"/>
      </w:pPr>
    </w:p>
    <w:p>
      <w:pPr>
        <w:spacing w:line="283" w:lineRule="auto" w:after="120"/>
        <w:jc w:val="both"/>
      </w:pPr>
      <w:r>
        <w:rPr>
          <w:rFonts w:ascii="Helvetica" w:hAnsi="Helvetica" w:cs="Helvetica" w:eastAsia="Calibri"/>
          <w:b w:val="0"/>
          <w:i w:val="0"/>
          <w:color w:val="1F2937"/>
          <w:sz w:val="21"/>
        </w:rPr>
        <w:t>Where any of the foregoing categories includes records subject to a pending federal or state administrative or judicial proceeding, or subject to a document-hold notice issued by the ACTD General Counsel or Compliance Officer, the record shall be retained until the earlier of (a) the resolution of the proceeding and expiration of any appeal or review period, or (b) written release of the hold by the issuing authority.</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7.  Employee Obligations and Consequences of Non-Compliance</w:t>
      </w:r>
    </w:p>
    <w:p>
      <w:pPr>
        <w:keepNext/>
        <w:spacing w:before="160" w:after="60" w:line="276" w:lineRule="auto"/>
        <w:jc w:val="left"/>
      </w:pPr>
      <w:r>
        <w:rPr>
          <w:rFonts w:ascii="Helvetica" w:hAnsi="Helvetica" w:cs="Helvetica" w:eastAsia="Calibri"/>
          <w:b/>
          <w:i w:val="0"/>
          <w:color w:val="1E3A5F"/>
          <w:sz w:val="23"/>
        </w:rPr>
        <w:t>7.1  Duty to Submit</w:t>
      </w:r>
    </w:p>
    <w:p>
      <w:pPr>
        <w:spacing w:line="283" w:lineRule="auto" w:after="120"/>
        <w:jc w:val="both"/>
      </w:pPr>
      <w:r>
        <w:rPr>
          <w:rFonts w:ascii="Helvetica" w:hAnsi="Helvetica" w:cs="Helvetica" w:eastAsia="Calibri"/>
          <w:b w:val="0"/>
          <w:i w:val="0"/>
          <w:color w:val="1F2937"/>
          <w:sz w:val="21"/>
        </w:rPr>
        <w:t>Each covered employee involved in an accident meeting the criteria of § 3 shall submit to post-accident drug and alcohol testing as directed by the DER or the Compliance Officer.</w:t>
      </w:r>
    </w:p>
    <w:p>
      <w:pPr>
        <w:keepNext/>
        <w:spacing w:before="160" w:after="60" w:line="276" w:lineRule="auto"/>
        <w:jc w:val="left"/>
      </w:pPr>
      <w:r>
        <w:rPr>
          <w:rFonts w:ascii="Helvetica" w:hAnsi="Helvetica" w:cs="Helvetica" w:eastAsia="Calibri"/>
          <w:b/>
          <w:i w:val="0"/>
          <w:color w:val="1E3A5F"/>
          <w:sz w:val="23"/>
        </w:rPr>
        <w:t>7.2  Refusal to Test</w:t>
      </w:r>
    </w:p>
    <w:p>
      <w:pPr>
        <w:spacing w:line="283" w:lineRule="auto" w:after="120"/>
        <w:jc w:val="both"/>
      </w:pPr>
      <w:r>
        <w:rPr>
          <w:rFonts w:ascii="Helvetica" w:hAnsi="Helvetica" w:cs="Helvetica" w:eastAsia="Calibri"/>
          <w:b w:val="0"/>
          <w:i w:val="0"/>
          <w:color w:val="1F2937"/>
          <w:sz w:val="21"/>
        </w:rPr>
        <w:t>Any of the following shall constitute a refusal to submit to testing within the meaning of 49 CFR § 40.191 and § 40.261:</w:t>
      </w:r>
    </w:p>
    <w:p>
      <w:pPr>
        <w:pStyle w:val="ListBullet"/>
        <w:spacing w:after="60" w:line="283" w:lineRule="auto"/>
        <w:ind w:left="432"/>
        <w:jc w:val="both"/>
      </w:pPr>
      <w:r>
        <w:rPr>
          <w:rFonts w:ascii="Helvetica" w:hAnsi="Helvetica" w:cs="Helvetica" w:eastAsia="Calibri"/>
          <w:b w:val="0"/>
          <w:i w:val="0"/>
          <w:color w:val="1F2937"/>
          <w:sz w:val="21"/>
        </w:rPr>
        <w:t>Failing to appear for any test (except a pre-employment test) within a reasonable time, as determined by the employer, after being directed to do so;</w:t>
      </w:r>
    </w:p>
    <w:p>
      <w:pPr>
        <w:pStyle w:val="ListBullet"/>
        <w:spacing w:after="60" w:line="283" w:lineRule="auto"/>
        <w:ind w:left="432"/>
        <w:jc w:val="both"/>
      </w:pPr>
      <w:r>
        <w:rPr>
          <w:rFonts w:ascii="Helvetica" w:hAnsi="Helvetica" w:cs="Helvetica" w:eastAsia="Calibri"/>
          <w:b w:val="0"/>
          <w:i w:val="0"/>
          <w:color w:val="1F2937"/>
          <w:sz w:val="21"/>
        </w:rPr>
        <w:t>Failing to remain at the testing site until the testing process is complete;</w:t>
      </w:r>
    </w:p>
    <w:p>
      <w:pPr>
        <w:pStyle w:val="ListBullet"/>
        <w:spacing w:after="60" w:line="283" w:lineRule="auto"/>
        <w:ind w:left="432"/>
        <w:jc w:val="both"/>
      </w:pPr>
      <w:r>
        <w:rPr>
          <w:rFonts w:ascii="Helvetica" w:hAnsi="Helvetica" w:cs="Helvetica" w:eastAsia="Calibri"/>
          <w:b w:val="0"/>
          <w:i w:val="0"/>
          <w:color w:val="1F2937"/>
          <w:sz w:val="21"/>
        </w:rPr>
        <w:t>Failing to provide a urine specimen, or a saliva or breath specimen, without an adequate medical explanation;</w:t>
      </w:r>
    </w:p>
    <w:p>
      <w:pPr>
        <w:pStyle w:val="ListBullet"/>
        <w:spacing w:after="60" w:line="283" w:lineRule="auto"/>
        <w:ind w:left="432"/>
        <w:jc w:val="both"/>
      </w:pPr>
      <w:r>
        <w:rPr>
          <w:rFonts w:ascii="Helvetica" w:hAnsi="Helvetica" w:cs="Helvetica" w:eastAsia="Calibri"/>
          <w:b w:val="0"/>
          <w:i w:val="0"/>
          <w:color w:val="1F2937"/>
          <w:sz w:val="21"/>
        </w:rPr>
        <w:t>Failing to permit the observation or monitoring of the specimen collection when required;</w:t>
      </w:r>
    </w:p>
    <w:p>
      <w:pPr>
        <w:pStyle w:val="ListBullet"/>
        <w:spacing w:after="60" w:line="283" w:lineRule="auto"/>
        <w:ind w:left="432"/>
        <w:jc w:val="both"/>
      </w:pPr>
      <w:r>
        <w:rPr>
          <w:rFonts w:ascii="Helvetica" w:hAnsi="Helvetica" w:cs="Helvetica" w:eastAsia="Calibri"/>
          <w:b w:val="0"/>
          <w:i w:val="0"/>
          <w:color w:val="1F2937"/>
          <w:sz w:val="21"/>
        </w:rPr>
        <w:t>Failing to undergo a medical examination or evaluation as directed;</w:t>
      </w:r>
    </w:p>
    <w:p>
      <w:pPr>
        <w:pStyle w:val="ListBullet"/>
        <w:spacing w:after="60" w:line="283" w:lineRule="auto"/>
        <w:ind w:left="432"/>
        <w:jc w:val="both"/>
      </w:pPr>
      <w:r>
        <w:rPr>
          <w:rFonts w:ascii="Helvetica" w:hAnsi="Helvetica" w:cs="Helvetica" w:eastAsia="Calibri"/>
          <w:b w:val="0"/>
          <w:i w:val="0"/>
          <w:color w:val="1F2937"/>
          <w:sz w:val="21"/>
        </w:rPr>
        <w:t>Failing or declining to take an additional drug test the employer or collector has directed the employee to take;</w:t>
      </w:r>
    </w:p>
    <w:p>
      <w:pPr>
        <w:pStyle w:val="ListBullet"/>
        <w:spacing w:after="60" w:line="283" w:lineRule="auto"/>
        <w:ind w:left="432"/>
        <w:jc w:val="both"/>
      </w:pPr>
      <w:r>
        <w:rPr>
          <w:rFonts w:ascii="Helvetica" w:hAnsi="Helvetica" w:cs="Helvetica" w:eastAsia="Calibri"/>
          <w:b w:val="0"/>
          <w:i w:val="0"/>
          <w:color w:val="1F2937"/>
          <w:sz w:val="21"/>
        </w:rPr>
        <w:t>Failing to cooperate with any part of the testing process;</w:t>
      </w:r>
    </w:p>
    <w:p>
      <w:pPr>
        <w:pStyle w:val="ListBullet"/>
        <w:spacing w:after="60" w:line="283" w:lineRule="auto"/>
        <w:ind w:left="432"/>
        <w:jc w:val="both"/>
      </w:pPr>
      <w:r>
        <w:rPr>
          <w:rFonts w:ascii="Helvetica" w:hAnsi="Helvetica" w:cs="Helvetica" w:eastAsia="Calibri"/>
          <w:b w:val="0"/>
          <w:i w:val="0"/>
          <w:color w:val="1F2937"/>
          <w:sz w:val="21"/>
        </w:rPr>
        <w:t>Adulterating or substituting a specimen, as confirmed by the laboratory; or</w:t>
      </w:r>
    </w:p>
    <w:p>
      <w:pPr>
        <w:pStyle w:val="ListBullet"/>
        <w:spacing w:after="60" w:line="283" w:lineRule="auto"/>
        <w:ind w:left="432"/>
        <w:jc w:val="both"/>
      </w:pPr>
      <w:r>
        <w:rPr>
          <w:rFonts w:ascii="Helvetica" w:hAnsi="Helvetica" w:cs="Helvetica" w:eastAsia="Calibri"/>
          <w:b w:val="0"/>
          <w:i w:val="0"/>
          <w:color w:val="1F2937"/>
          <w:sz w:val="21"/>
        </w:rPr>
        <w:t>Possessing or wearing a prosthetic or other device that could be used to interfere with the collection process.</w:t>
      </w:r>
    </w:p>
    <w:p>
      <w:pPr>
        <w:spacing w:line="283" w:lineRule="auto" w:after="120"/>
        <w:jc w:val="both"/>
      </w:pPr>
      <w:r>
        <w:rPr>
          <w:rFonts w:ascii="Helvetica" w:hAnsi="Helvetica" w:cs="Helvetica" w:eastAsia="Calibri"/>
          <w:b w:val="0"/>
          <w:i w:val="0"/>
          <w:color w:val="1F2937"/>
          <w:sz w:val="21"/>
        </w:rPr>
        <w:t>A refusal to test shall be treated as a verified positive test result.</w:t>
      </w:r>
    </w:p>
    <w:p>
      <w:pPr>
        <w:keepNext/>
        <w:spacing w:before="160" w:after="60" w:line="276" w:lineRule="auto"/>
        <w:jc w:val="left"/>
      </w:pPr>
      <w:r>
        <w:rPr>
          <w:rFonts w:ascii="Helvetica" w:hAnsi="Helvetica" w:cs="Helvetica" w:eastAsia="Calibri"/>
          <w:b/>
          <w:i w:val="0"/>
          <w:color w:val="1E3A5F"/>
          <w:sz w:val="23"/>
        </w:rPr>
        <w:t>7.3  Removal From Safety-Sensitive Duty</w:t>
      </w:r>
    </w:p>
    <w:p>
      <w:pPr>
        <w:spacing w:line="283" w:lineRule="auto" w:after="120"/>
        <w:jc w:val="both"/>
      </w:pPr>
      <w:r>
        <w:rPr>
          <w:rFonts w:ascii="Helvetica" w:hAnsi="Helvetica" w:cs="Helvetica" w:eastAsia="Calibri"/>
          <w:b w:val="0"/>
          <w:i w:val="0"/>
          <w:color w:val="1F2937"/>
          <w:sz w:val="21"/>
        </w:rPr>
        <w:t>A covered employee who receives a verified positive drug test result, a confirmed alcohol test result of 0.04 g/210L or greater, or who refuses to submit to a required test, shall be immediately removed from safety-sensitive duty in accordance with 49 CFR § 655.61 and § 655.62. A confirmed alcohol test result of 0.02 g/210L or greater but less than 0.04 g/210L shall result in temporary removal from safety-sensitive duty in accordance with 49 CFR § 655.35.</w:t>
      </w:r>
    </w:p>
    <w:p>
      <w:pPr>
        <w:keepNext/>
        <w:spacing w:before="160" w:after="60" w:line="276" w:lineRule="auto"/>
        <w:jc w:val="left"/>
      </w:pPr>
      <w:r>
        <w:rPr>
          <w:rFonts w:ascii="Helvetica" w:hAnsi="Helvetica" w:cs="Helvetica" w:eastAsia="Calibri"/>
          <w:b/>
          <w:i w:val="0"/>
          <w:color w:val="1E3A5F"/>
          <w:sz w:val="23"/>
        </w:rPr>
        <w:t>7.4  Return-to-Duty Process</w:t>
      </w:r>
    </w:p>
    <w:p>
      <w:pPr>
        <w:spacing w:line="283" w:lineRule="auto" w:after="120"/>
        <w:jc w:val="both"/>
      </w:pPr>
      <w:r>
        <w:rPr>
          <w:rFonts w:ascii="Helvetica" w:hAnsi="Helvetica" w:cs="Helvetica" w:eastAsia="Calibri"/>
          <w:b w:val="0"/>
          <w:i w:val="0"/>
          <w:color w:val="1F2937"/>
          <w:sz w:val="21"/>
        </w:rPr>
        <w:t>No covered employee removed from safety-sensitive duty under § 7.3 shall be returned to the performance of safety-sensitive functions until the employee has successfully completed the return-to-duty process required by 49 CFR Part 40, Subpart O, including evaluation by a qualified Substance Abuse Professional, successful completion of any prescribed treatment, and a negative return-to-duty test conducted under direct observation. The employee shall thereafter be subject to follow-up testing as directed by the SAP.</w:t>
      </w:r>
    </w:p>
    <w:p>
      <w:pPr>
        <w:keepNext/>
        <w:spacing w:before="160" w:after="60" w:line="276" w:lineRule="auto"/>
        <w:jc w:val="left"/>
      </w:pPr>
      <w:r>
        <w:rPr>
          <w:rFonts w:ascii="Helvetica" w:hAnsi="Helvetica" w:cs="Helvetica" w:eastAsia="Calibri"/>
          <w:b/>
          <w:i w:val="0"/>
          <w:color w:val="1E3A5F"/>
          <w:sz w:val="23"/>
        </w:rPr>
        <w:t>7.5  Employment Consequences</w:t>
      </w:r>
    </w:p>
    <w:p>
      <w:pPr>
        <w:spacing w:line="283" w:lineRule="auto" w:after="120"/>
        <w:jc w:val="both"/>
      </w:pPr>
      <w:r>
        <w:rPr>
          <w:rFonts w:ascii="Helvetica" w:hAnsi="Helvetica" w:cs="Helvetica" w:eastAsia="Calibri"/>
          <w:b w:val="0"/>
          <w:i w:val="0"/>
          <w:color w:val="1F2937"/>
          <w:sz w:val="21"/>
        </w:rPr>
        <w:t>Consistent with the District's Personnel Rules and any applicable collective bargaining agreement, a verified positive test result, a refusal to submit to testing, or a second violation of the District's alcohol and drug prohibitions shall be grounds for termination of employment. Nothing in this policy shall be construed to limit the District's authority to take disciplinary action, up to and including termination, for conduct that violates the District's Personnel Rules or that constitutes just cause independent of the results of any DOT test.</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8.  Program Administration and Signature</w:t>
      </w:r>
    </w:p>
    <w:p>
      <w:pPr>
        <w:keepNext/>
        <w:spacing w:before="160" w:after="60" w:line="276" w:lineRule="auto"/>
        <w:jc w:val="left"/>
      </w:pPr>
      <w:r>
        <w:rPr>
          <w:rFonts w:ascii="Helvetica" w:hAnsi="Helvetica" w:cs="Helvetica" w:eastAsia="Calibri"/>
          <w:b/>
          <w:i w:val="0"/>
          <w:color w:val="1E3A5F"/>
          <w:sz w:val="23"/>
        </w:rPr>
        <w:t>8.1  Program Administration</w:t>
      </w:r>
    </w:p>
    <w:p>
      <w:pPr>
        <w:spacing w:line="283" w:lineRule="auto" w:after="120"/>
        <w:jc w:val="both"/>
      </w:pPr>
      <w:r>
        <w:rPr>
          <w:rFonts w:ascii="Helvetica" w:hAnsi="Helvetica" w:cs="Helvetica" w:eastAsia="Calibri"/>
          <w:b w:val="0"/>
          <w:i w:val="0"/>
          <w:color w:val="1F2937"/>
          <w:sz w:val="21"/>
        </w:rPr>
        <w:t>The ACTD Compliance Department is responsible for the overall administration of this policy, including selection and oversight of BATs, collectors, HHS-certified laboratories, and the MRO; maintenance of records; submission of the annual FTA MIS report; and periodic audit of the District's post-accident testing performance. Questions regarding the interpretation or application of this policy shall be directed to the ACTD Compliance Officer.</w:t>
      </w:r>
    </w:p>
    <w:p>
      <w:pPr>
        <w:keepNext/>
        <w:spacing w:before="160" w:after="60" w:line="276" w:lineRule="auto"/>
        <w:jc w:val="left"/>
      </w:pPr>
      <w:r>
        <w:rPr>
          <w:rFonts w:ascii="Helvetica" w:hAnsi="Helvetica" w:cs="Helvetica" w:eastAsia="Calibri"/>
          <w:b/>
          <w:i w:val="0"/>
          <w:color w:val="1E3A5F"/>
          <w:sz w:val="23"/>
        </w:rPr>
        <w:t>8.2  Employee Acknowledgment</w:t>
      </w:r>
    </w:p>
    <w:p>
      <w:pPr>
        <w:spacing w:line="283" w:lineRule="auto" w:after="120"/>
        <w:jc w:val="both"/>
      </w:pPr>
      <w:r>
        <w:rPr>
          <w:rFonts w:ascii="Helvetica" w:hAnsi="Helvetica" w:cs="Helvetica" w:eastAsia="Calibri"/>
          <w:b w:val="0"/>
          <w:i w:val="0"/>
          <w:color w:val="1F2937"/>
          <w:sz w:val="21"/>
        </w:rPr>
        <w:t>Every covered employee shall receive a copy of this policy and shall sign the ACTD Employee Acknowledgment (Form COMP-655-ACK) confirming receipt and understanding. Signed acknowledgments shall be retained in the employee's personnel file for the duration of employment and for two (2) years thereafter.</w:t>
      </w:r>
    </w:p>
    <w:p>
      <w:pPr>
        <w:keepNext/>
        <w:spacing w:before="160" w:after="60" w:line="276" w:lineRule="auto"/>
        <w:jc w:val="left"/>
      </w:pPr>
      <w:r>
        <w:rPr>
          <w:rFonts w:ascii="Helvetica" w:hAnsi="Helvetica" w:cs="Helvetica" w:eastAsia="Calibri"/>
          <w:b/>
          <w:i w:val="0"/>
          <w:color w:val="1E3A5F"/>
          <w:sz w:val="23"/>
        </w:rPr>
        <w:t>8.3  Review Cycle</w:t>
      </w:r>
    </w:p>
    <w:p>
      <w:pPr>
        <w:spacing w:line="283" w:lineRule="auto" w:after="120"/>
        <w:jc w:val="both"/>
      </w:pPr>
      <w:r>
        <w:rPr>
          <w:rFonts w:ascii="Helvetica" w:hAnsi="Helvetica" w:cs="Helvetica" w:eastAsia="Calibri"/>
          <w:b w:val="0"/>
          <w:i w:val="0"/>
          <w:color w:val="1F2937"/>
          <w:sz w:val="21"/>
        </w:rPr>
        <w:t>This policy shall be reviewed by the Compliance Department at least annually and shall be revised as necessary to reflect amendments to 49 CFR Parts 40 and 655 and to incorporate FTA guidance. The next scheduled review shall occur on or before 01/15/2025.</w:t>
      </w:r>
    </w:p>
    <w:p>
      <w:pPr>
        <w:keepNext/>
        <w:spacing w:before="160" w:after="60" w:line="276" w:lineRule="auto"/>
        <w:jc w:val="left"/>
      </w:pPr>
      <w:r>
        <w:rPr>
          <w:rFonts w:ascii="Helvetica" w:hAnsi="Helvetica" w:cs="Helvetica" w:eastAsia="Calibri"/>
          <w:b/>
          <w:i w:val="0"/>
          <w:color w:val="1E3A5F"/>
          <w:sz w:val="23"/>
        </w:rPr>
        <w:t>8.4  Approval and Signature</w:t>
      </w:r>
    </w:p>
    <w:p>
      <w:pPr>
        <w:spacing w:line="283" w:lineRule="auto" w:after="120"/>
        <w:jc w:val="both"/>
      </w:pPr>
      <w:r>
        <w:rPr>
          <w:rFonts w:ascii="Helvetica" w:hAnsi="Helvetica" w:cs="Helvetica" w:eastAsia="Calibri"/>
          <w:b w:val="0"/>
          <w:i w:val="0"/>
          <w:color w:val="1F2937"/>
          <w:sz w:val="21"/>
        </w:rPr>
        <w:t>Approved and issued this 15th day of January, 2024.</w:t>
      </w:r>
    </w:p>
    <w:p>
      <w:pPr>
        <w:spacing w:line="240" w:lineRule="auto" w:after="40" w:before="200"/>
        <w:jc w:val="center"/>
      </w:pPr>
      <w:r>
        <w:rPr>
          <w:rFonts w:ascii="Helvetica" w:hAnsi="Helvetica" w:cs="Helvetica" w:eastAsia="Calibri"/>
          <w:b w:val="0"/>
          <w:i w:val="0"/>
          <w:color w:val="6B7280"/>
          <w:sz w:val="22"/>
        </w:rPr>
        <w:t>_________________________________</w:t>
      </w:r>
    </w:p>
    <w:p>
      <w:pPr>
        <w:spacing w:line="276" w:lineRule="auto" w:after="20"/>
        <w:jc w:val="center"/>
      </w:pPr>
      <w:r>
        <w:rPr>
          <w:rFonts w:ascii="Helvetica" w:hAnsi="Helvetica" w:cs="Helvetica" w:eastAsia="Calibri"/>
          <w:b/>
          <w:i w:val="0"/>
          <w:color w:val="0F2447"/>
          <w:sz w:val="22"/>
        </w:rPr>
        <w:t>Harlan T. Odegaard</w:t>
      </w:r>
    </w:p>
    <w:p>
      <w:pPr>
        <w:spacing w:line="276" w:lineRule="auto" w:after="20"/>
        <w:jc w:val="center"/>
      </w:pPr>
      <w:r>
        <w:rPr>
          <w:rFonts w:ascii="Helvetica" w:hAnsi="Helvetica" w:cs="Helvetica" w:eastAsia="Calibri"/>
          <w:b w:val="0"/>
          <w:i w:val="0"/>
          <w:color w:val="1F2937"/>
          <w:sz w:val="21"/>
        </w:rPr>
        <w:t>Compliance Officer, ACTD Compliance Department</w:t>
      </w:r>
    </w:p>
    <w:p>
      <w:pPr>
        <w:spacing w:line="276" w:lineRule="auto" w:after="20"/>
        <w:jc w:val="center"/>
      </w:pPr>
      <w:r>
        <w:rPr>
          <w:rFonts w:ascii="Helvetica" w:hAnsi="Helvetica" w:cs="Helvetica" w:eastAsia="Calibri"/>
          <w:b w:val="0"/>
          <w:i w:val="0"/>
          <w:color w:val="1F2937"/>
          <w:sz w:val="21"/>
        </w:rPr>
        <w:t>Alder Creek Transit District</w:t>
      </w:r>
    </w:p>
    <w:p>
      <w:pPr>
        <w:spacing w:line="276" w:lineRule="auto" w:after="20"/>
        <w:jc w:val="center"/>
      </w:pPr>
      <w:r>
        <w:rPr>
          <w:rFonts w:ascii="Helvetica" w:hAnsi="Helvetica" w:cs="Helvetica" w:eastAsia="Calibri"/>
          <w:b w:val="0"/>
          <w:i w:val="0"/>
          <w:color w:val="1F2937"/>
          <w:sz w:val="21"/>
        </w:rPr>
        <w:t>1200 Alder Creek Way, Rivergate, CA 91766</w:t>
      </w:r>
    </w:p>
    <w:p>
      <w:pPr>
        <w:spacing w:line="264" w:lineRule="auto" w:after="40"/>
        <w:jc w:val="center"/>
      </w:pPr>
      <w:r>
        <w:rPr>
          <w:rFonts w:ascii="Helvetica" w:hAnsi="Helvetica" w:cs="Helvetica" w:eastAsia="Calibri"/>
          <w:b w:val="0"/>
          <w:i w:val="0"/>
          <w:color w:val="6B7280"/>
          <w:sz w:val="18"/>
        </w:rPr>
        <w:t>compliance@actd.gov · (626) 555-0100</w:t>
      </w:r>
    </w:p>
    <w:p>
      <w:pPr>
        <w:spacing w:line="240" w:lineRule="auto" w:after="40" w:before="160"/>
        <w:jc w:val="center"/>
      </w:pPr>
      <w:r>
        <w:rPr>
          <w:rFonts w:ascii="Helvetica" w:hAnsi="Helvetica" w:cs="Helvetica" w:eastAsia="Calibri"/>
          <w:b/>
          <w:i/>
          <w:color w:val="0F2447"/>
          <w:sz w:val="20"/>
        </w:rPr>
        <w:t>Concurrence:</w:t>
      </w:r>
    </w:p>
    <w:p>
      <w:pPr>
        <w:spacing w:line="240" w:lineRule="auto" w:after="40" w:before="200"/>
        <w:jc w:val="center"/>
      </w:pPr>
      <w:r>
        <w:rPr>
          <w:rFonts w:ascii="Helvetica" w:hAnsi="Helvetica" w:cs="Helvetica" w:eastAsia="Calibri"/>
          <w:b w:val="0"/>
          <w:i w:val="0"/>
          <w:color w:val="6B7280"/>
          <w:sz w:val="22"/>
        </w:rPr>
        <w:t>_________________________________</w:t>
      </w:r>
    </w:p>
    <w:p>
      <w:pPr>
        <w:spacing w:line="276" w:lineRule="auto" w:after="20"/>
        <w:jc w:val="center"/>
      </w:pPr>
      <w:r>
        <w:rPr>
          <w:rFonts w:ascii="Helvetica" w:hAnsi="Helvetica" w:cs="Helvetica" w:eastAsia="Calibri"/>
          <w:b/>
          <w:i w:val="0"/>
          <w:color w:val="0F2447"/>
          <w:sz w:val="22"/>
        </w:rPr>
        <w:t>Marlene Okonkwo</w:t>
      </w:r>
    </w:p>
    <w:p>
      <w:pPr>
        <w:spacing w:line="276" w:lineRule="auto" w:after="20"/>
        <w:jc w:val="center"/>
      </w:pPr>
      <w:r>
        <w:rPr>
          <w:rFonts w:ascii="Helvetica" w:hAnsi="Helvetica" w:cs="Helvetica" w:eastAsia="Calibri"/>
          <w:b w:val="0"/>
          <w:i w:val="0"/>
          <w:color w:val="1F2937"/>
          <w:sz w:val="21"/>
        </w:rPr>
        <w:t>Director of Safety, Alder Creek Transit District</w:t>
      </w:r>
    </w:p>
    <w:p>
      <w:pPr>
        <w:spacing w:line="240" w:lineRule="auto" w:after="40" w:before="200"/>
        <w:jc w:val="center"/>
      </w:pPr>
      <w:r>
        <w:rPr>
          <w:rFonts w:ascii="Helvetica" w:hAnsi="Helvetica" w:cs="Helvetica" w:eastAsia="Calibri"/>
          <w:b w:val="0"/>
          <w:i w:val="0"/>
          <w:color w:val="6B7280"/>
          <w:sz w:val="22"/>
        </w:rPr>
        <w:t>_________________________________</w:t>
      </w:r>
    </w:p>
    <w:p>
      <w:pPr>
        <w:spacing w:line="276" w:lineRule="auto" w:after="20"/>
        <w:jc w:val="center"/>
      </w:pPr>
      <w:r>
        <w:rPr>
          <w:rFonts w:ascii="Helvetica" w:hAnsi="Helvetica" w:cs="Helvetica" w:eastAsia="Calibri"/>
          <w:b/>
          <w:i w:val="0"/>
          <w:color w:val="0F2447"/>
          <w:sz w:val="22"/>
        </w:rPr>
        <w:t>Diane Farkas</w:t>
      </w:r>
    </w:p>
    <w:p>
      <w:pPr>
        <w:spacing w:line="276" w:lineRule="auto" w:after="20"/>
        <w:jc w:val="center"/>
      </w:pPr>
      <w:r>
        <w:rPr>
          <w:rFonts w:ascii="Helvetica" w:hAnsi="Helvetica" w:cs="Helvetica" w:eastAsia="Calibri"/>
          <w:b w:val="0"/>
          <w:i w:val="0"/>
          <w:color w:val="1F2937"/>
          <w:sz w:val="21"/>
        </w:rPr>
        <w:t>General Counsel, Alder Creek Transit District</w:t>
      </w:r>
    </w:p>
    <w:p>
      <w:pPr>
        <w:pBdr>
          <w:bottom w:val="single" w:sz="6" w:space="1" w:color="000000"/>
        </w:pBdr>
        <w:spacing w:after="0" w:before="0" w:line="240" w:lineRule="auto"/>
      </w:pPr>
    </w:p>
    <w:p>
      <w:pPr>
        <w:spacing w:before="120" w:after="0" w:line="264" w:lineRule="auto"/>
        <w:jc w:val="center"/>
        <w:pBdr>
          <w:bottom w:val="single" w:sz="4" w:space="4" w:color="C9D3DD"/>
        </w:pBdr>
      </w:pPr>
      <w:r>
        <w:rPr>
          <w:rFonts w:ascii="Helvetica" w:hAnsi="Helvetica" w:cs="Helvetica" w:eastAsia="Calibri"/>
          <w:b w:val="0"/>
          <w:i/>
          <w:color w:val="6B7280"/>
          <w:sz w:val="17"/>
        </w:rPr>
        <w:t>Policy ACTD-COMP-655-04, Rev. 4  ·  Issued 01/15/2024  ·  Alder Creek Transit District — A Public Agency</w:t>
      </w:r>
    </w:p>
    <w:sectPr w:rsidR="00FC693F" w:rsidRPr="0006063C" w:rsidSect="00034616">
      <w:headerReference w:type="default" r:id="rId9"/>
      <w:footerReference w:type="default" r:id="rId10"/>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sz w:val="18"/>
      </w:rPr>
      <w:t xml:space="preserve">Alder Creek Transit District · Compliance Department · Page </w:t>
    </w:r>
    <w:r>
      <w:rPr>
        <w:rFonts w:ascii="Times New Roman" w:hAnsi="Times New Roman" w:cs="Times New Roman"/>
        <w:b w:val="0"/>
        <w: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sz w:val="18"/>
      </w:rPr>
      <w:t>ACTD Policy ACTD-COMP-655-04,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Helvetica" w:hAnsi="Helvetica" w:cs="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w:hAnsi="Helvetic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w:hAnsi="Helvetic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w:hAnsi="Helvetic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w:hAnsi="Helvetic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