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jc w:val="left"/>
      </w:pPr>
      <w:r>
        <w:rPr>
          <w:rFonts w:ascii="Helvetica" w:hAnsi="Helvetica" w:cs="Helvetica" w:eastAsia="Helvetica"/>
          <w:b/>
          <w:color w:val="142A4B"/>
          <w:sz w:val="52"/>
        </w:rPr>
        <w:t>ALDER CREEK TRANSIT DISTRICT</w:t>
      </w:r>
    </w:p>
    <w:p>
      <w:pPr>
        <w:spacing w:before="0" w:after="40" w:line="264" w:lineRule="auto"/>
        <w:jc w:val="center"/>
      </w:pPr>
      <w:r>
        <w:rPr>
          <w:rFonts w:ascii="Helvetica" w:hAnsi="Helvetica" w:cs="Helvetica" w:eastAsia="Helvetica"/>
          <w:b/>
          <w:i/>
          <w:color w:val="876222"/>
          <w:sz w:val="22"/>
        </w:rPr>
        <w:t>A Public Agency</w:t>
      </w:r>
    </w:p>
    <w:p>
      <w:pPr>
        <w:spacing w:before="0" w:after="280" w:line="288" w:lineRule="auto"/>
        <w:jc w:val="center"/>
      </w:pPr>
      <w:r>
        <w:rPr>
          <w:rFonts w:ascii="Helvetica" w:hAnsi="Helvetica" w:cs="Helvetica" w:eastAsia="Helvetica"/>
          <w:color w:val="5B6B7D"/>
          <w:sz w:val="18"/>
        </w:rPr>
        <w:t>1200 Alder Creek Way, Rivergate, CA 91766   ·   (626) 555-0100</w:t>
      </w:r>
    </w:p>
    <w:p>
      <w:pPr>
        <w:spacing w:before="0" w:after="360" w:line="264" w:lineRule="auto"/>
        <w:jc w:val="center"/>
        <w:pBdr>
          <w:bottom w:val="single" w:sz="14" w:space="6" w:color="142A4B"/>
        </w:pBdr>
      </w:pPr>
      <w:r>
        <w:rPr>
          <w:rFonts w:ascii="Helvetica" w:hAnsi="Helvetica" w:cs="Helvetica" w:eastAsia="Helvetica"/>
          <w:b/>
          <w:i/>
          <w:color w:val="142A4B"/>
          <w:sz w:val="20"/>
        </w:rPr>
        <w:t>Human Resources Department</w:t>
      </w:r>
    </w:p>
    <w:p>
      <w:pPr>
        <w:pBdr>
          <w:bottom w:val="single" w:sz="8" w:space="1" w:color="000000"/>
        </w:pBdr>
        <w:spacing w:before="0" w:after="0" w:line="300" w:lineRule="auto"/>
      </w:pPr>
    </w:p>
    <w:p>
      <w:pPr>
        <w:spacing w:before="0" w:after="40" w:line="240" w:lineRule="auto"/>
        <w:jc w:val="center"/>
        <w:pBdr>
          <w:top w:val="single" w:sz="18" w:space="4" w:color="876222"/>
        </w:pBdr>
        <w:pBdr>
          <w:bottom w:val="single" w:sz="6" w:space="6" w:color="142A4B"/>
        </w:pBdr>
      </w:pPr>
      <w:r>
        <w:rPr>
          <w:rFonts w:ascii="Helvetica" w:hAnsi="Helvetica" w:cs="Helvetica" w:eastAsia="Helvetica"/>
          <w:b/>
          <w:color w:val="142A4B"/>
          <w:sz w:val="36"/>
        </w:rPr>
        <w:t>PERSONNEL FILE SUMMARY</w:t>
      </w:r>
    </w:p>
    <w:p>
      <w:pPr>
        <w:spacing w:after="0" w:before="0" w:line="264" w:lineRule="auto"/>
        <w:jc w:val="center"/>
        <w:shd w:val="clear" w:color="auto" w:fill="8A1C1C"/>
        <w:ind w:left="120" w:right="120"/>
      </w:pPr>
      <w:r>
        <w:rPr>
          <w:rFonts w:ascii="Helvetica" w:hAnsi="Helvetica" w:cs="Helvetica" w:eastAsia="Helvetica"/>
          <w:b/>
          <w:color w:val="FFFFFF"/>
          <w:sz w:val="19"/>
        </w:rPr>
        <w:t>CONFIDENTIAL — INTERNAL HR USE ONLY</w:t>
      </w:r>
    </w:p>
    <w:p>
      <w:pPr>
        <w:spacing w:after="280" w:before="0" w:line="288" w:lineRule="auto"/>
        <w:jc w:val="center"/>
      </w:pPr>
      <w:r>
        <w:rPr>
          <w:rFonts w:ascii="Helvetica" w:hAnsi="Helvetica" w:cs="Helvetica" w:eastAsia="Helvetica"/>
          <w:i/>
          <w:color w:val="5B6B7D"/>
          <w:sz w:val="17"/>
        </w:rPr>
        <w:t>Do not release without written authorization from ACTD General Counsel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Borders>
          <w:top w:val="nil"/>
          <w:left w:val="nil"/>
          <w:bottom w:val="nil"/>
          <w:right w:val="nil"/>
          <w:insideH w:val="single" w:sz="4" w:space="0" w:color="DDE3EC"/>
          <w:insideV w:val="nil"/>
        </w:tblBorders>
      </w:tblPr>
      <w:tblGrid>
        <w:gridCol w:w="4680"/>
        <w:gridCol w:w="4680"/>
      </w:tblGrid>
      <w:tr>
        <w:tc>
          <w:tcPr>
            <w:tcW w:type="dxa" w:w="3456"/>
            <w:shd w:val="clear" w:color="auto" w:fill="EFEFEF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tcBorders>
              <w:top w:val="nil"/>
              <w:left w:val="nil"/>
              <w:bottom w:val="nil"/>
              <w:right w:val="nil"/>
            </w:tcBorders>
            <w:shd w:val="clear" w:color="auto" w:fill="E3E8F1"/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/>
                <w:color w:val="142A4B"/>
                <w:sz w:val="19"/>
              </w:rPr>
            </w:r>
            <w:r>
              <w:rPr>
                <w:rFonts w:ascii="Helvetica" w:hAnsi="Helvetica" w:cs="Helvetica" w:eastAsia="Helvetica"/>
                <w:b/>
                <w:color w:val="142A4B"/>
                <w:sz w:val="19"/>
              </w:rPr>
              <w:t>Employee</w:t>
            </w:r>
          </w:p>
        </w:tc>
        <w:tc>
          <w:tcPr>
            <w:tcW w:type="dxa" w:w="633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Raymond T. Keeler</w:t>
            </w:r>
          </w:p>
        </w:tc>
      </w:tr>
      <w:tr>
        <w:tc>
          <w:tcPr>
            <w:tcW w:type="dxa" w:w="3456"/>
            <w:shd w:val="clear" w:color="auto" w:fill="EFEFEF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FFFFF"/>
            <w:tcBorders>
              <w:top w:val="nil"/>
              <w:left w:val="nil"/>
              <w:bottom w:val="nil"/>
              <w:right w:val="nil"/>
            </w:tcBorders>
            <w:shd w:val="clear" w:color="auto" w:fill="E3E8F1"/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/>
                <w:color w:val="142A4B"/>
                <w:sz w:val="19"/>
              </w:rPr>
            </w:r>
            <w:r>
              <w:rPr>
                <w:rFonts w:ascii="Helvetica" w:hAnsi="Helvetica" w:cs="Helvetica" w:eastAsia="Helvetica"/>
                <w:b/>
                <w:color w:val="142A4B"/>
                <w:sz w:val="19"/>
              </w:rPr>
              <w:t>Badge Number</w:t>
            </w:r>
          </w:p>
        </w:tc>
        <w:tc>
          <w:tcPr>
            <w:tcW w:type="dxa" w:w="633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FFFFF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4417</w:t>
            </w:r>
          </w:p>
        </w:tc>
      </w:tr>
      <w:tr>
        <w:tc>
          <w:tcPr>
            <w:tcW w:type="dxa" w:w="3456"/>
            <w:shd w:val="clear" w:color="auto" w:fill="EFEFEF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4F6FA"/>
            <w:tcBorders>
              <w:top w:val="nil"/>
              <w:left w:val="nil"/>
              <w:bottom w:val="nil"/>
              <w:right w:val="nil"/>
            </w:tcBorders>
            <w:shd w:val="clear" w:color="auto" w:fill="E3E8F1"/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/>
                <w:color w:val="142A4B"/>
                <w:sz w:val="19"/>
              </w:rPr>
            </w:r>
            <w:r>
              <w:rPr>
                <w:rFonts w:ascii="Helvetica" w:hAnsi="Helvetica" w:cs="Helvetica" w:eastAsia="Helvetica"/>
                <w:b/>
                <w:color w:val="142A4B"/>
                <w:sz w:val="19"/>
              </w:rPr>
              <w:t>Date of Birth</w:t>
            </w:r>
          </w:p>
        </w:tc>
        <w:tc>
          <w:tcPr>
            <w:tcW w:type="dxa" w:w="633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4F6F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04/11/1979</w:t>
            </w:r>
          </w:p>
        </w:tc>
      </w:tr>
      <w:tr>
        <w:tc>
          <w:tcPr>
            <w:tcW w:type="dxa" w:w="3456"/>
            <w:shd w:val="clear" w:color="auto" w:fill="EFEFEF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FFFFF"/>
            <w:tcBorders>
              <w:top w:val="nil"/>
              <w:left w:val="nil"/>
              <w:bottom w:val="nil"/>
              <w:right w:val="nil"/>
            </w:tcBorders>
            <w:shd w:val="clear" w:color="auto" w:fill="E3E8F1"/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/>
                <w:color w:val="142A4B"/>
                <w:sz w:val="19"/>
              </w:rPr>
            </w:r>
            <w:r>
              <w:rPr>
                <w:rFonts w:ascii="Helvetica" w:hAnsi="Helvetica" w:cs="Helvetica" w:eastAsia="Helvetica"/>
                <w:b/>
                <w:color w:val="142A4B"/>
                <w:sz w:val="19"/>
              </w:rPr>
              <w:t>Home Address</w:t>
            </w:r>
          </w:p>
        </w:tc>
        <w:tc>
          <w:tcPr>
            <w:tcW w:type="dxa" w:w="633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FFFFF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1837 Alameda Street, Apt 4C, Rivergate, CA 91766</w:t>
            </w:r>
          </w:p>
        </w:tc>
      </w:tr>
      <w:tr>
        <w:tc>
          <w:tcPr>
            <w:tcW w:type="dxa" w:w="3456"/>
            <w:shd w:val="clear" w:color="auto" w:fill="EFEFEF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4F6FA"/>
            <w:tcBorders>
              <w:top w:val="nil"/>
              <w:left w:val="nil"/>
              <w:bottom w:val="nil"/>
              <w:right w:val="nil"/>
            </w:tcBorders>
            <w:shd w:val="clear" w:color="auto" w:fill="E3E8F1"/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/>
                <w:color w:val="142A4B"/>
                <w:sz w:val="19"/>
              </w:rPr>
            </w:r>
            <w:r>
              <w:rPr>
                <w:rFonts w:ascii="Helvetica" w:hAnsi="Helvetica" w:cs="Helvetica" w:eastAsia="Helvetica"/>
                <w:b/>
                <w:color w:val="142A4B"/>
                <w:sz w:val="19"/>
              </w:rPr>
              <w:t>Classification</w:t>
            </w:r>
          </w:p>
        </w:tc>
        <w:tc>
          <w:tcPr>
            <w:tcW w:type="dxa" w:w="633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4F6F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Bus Operator — Owl service qualified</w:t>
            </w:r>
          </w:p>
        </w:tc>
      </w:tr>
      <w:tr>
        <w:tc>
          <w:tcPr>
            <w:tcW w:type="dxa" w:w="3456"/>
            <w:shd w:val="clear" w:color="auto" w:fill="EFEFEF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FFFFF"/>
            <w:tcBorders>
              <w:top w:val="nil"/>
              <w:left w:val="nil"/>
              <w:bottom w:val="nil"/>
              <w:right w:val="nil"/>
            </w:tcBorders>
            <w:shd w:val="clear" w:color="auto" w:fill="E3E8F1"/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/>
                <w:color w:val="142A4B"/>
                <w:sz w:val="19"/>
              </w:rPr>
            </w:r>
            <w:r>
              <w:rPr>
                <w:rFonts w:ascii="Helvetica" w:hAnsi="Helvetica" w:cs="Helvetica" w:eastAsia="Helvetica"/>
                <w:b/>
                <w:color w:val="142A4B"/>
                <w:sz w:val="19"/>
              </w:rPr>
              <w:t>Current Bid / Assignment</w:t>
            </w:r>
          </w:p>
        </w:tc>
        <w:tc>
          <w:tcPr>
            <w:tcW w:type="dxa" w:w="633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FFFFF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Owl Route 512 (block ID 512-OWL)</w:t>
            </w:r>
          </w:p>
        </w:tc>
      </w:tr>
      <w:tr>
        <w:tc>
          <w:tcPr>
            <w:tcW w:type="dxa" w:w="3456"/>
            <w:shd w:val="clear" w:color="auto" w:fill="EFEFEF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4F6FA"/>
            <w:tcBorders>
              <w:top w:val="nil"/>
              <w:left w:val="nil"/>
              <w:bottom w:val="nil"/>
              <w:right w:val="nil"/>
            </w:tcBorders>
            <w:shd w:val="clear" w:color="auto" w:fill="E3E8F1"/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/>
                <w:color w:val="142A4B"/>
                <w:sz w:val="19"/>
              </w:rPr>
            </w:r>
            <w:r>
              <w:rPr>
                <w:rFonts w:ascii="Helvetica" w:hAnsi="Helvetica" w:cs="Helvetica" w:eastAsia="Helvetica"/>
                <w:b/>
                <w:color w:val="142A4B"/>
                <w:sz w:val="19"/>
              </w:rPr>
              <w:t>Reporting Division</w:t>
            </w:r>
          </w:p>
        </w:tc>
        <w:tc>
          <w:tcPr>
            <w:tcW w:type="dxa" w:w="633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4F6F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Operations — Rivergate Yard</w:t>
            </w:r>
          </w:p>
        </w:tc>
      </w:tr>
      <w:tr>
        <w:tc>
          <w:tcPr>
            <w:tcW w:type="dxa" w:w="3456"/>
            <w:shd w:val="clear" w:color="auto" w:fill="EFEFEF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FFFFF"/>
            <w:tcBorders>
              <w:top w:val="nil"/>
              <w:left w:val="nil"/>
              <w:bottom w:val="nil"/>
              <w:right w:val="nil"/>
            </w:tcBorders>
            <w:shd w:val="clear" w:color="auto" w:fill="E3E8F1"/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/>
                <w:color w:val="142A4B"/>
                <w:sz w:val="19"/>
              </w:rPr>
            </w:r>
            <w:r>
              <w:rPr>
                <w:rFonts w:ascii="Helvetica" w:hAnsi="Helvetica" w:cs="Helvetica" w:eastAsia="Helvetica"/>
                <w:b/>
                <w:color w:val="142A4B"/>
                <w:sz w:val="19"/>
              </w:rPr>
              <w:t>File Prepared By</w:t>
            </w:r>
          </w:p>
        </w:tc>
        <w:tc>
          <w:tcPr>
            <w:tcW w:type="dxa" w:w="633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FFFFF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ACTD Human Resources</w:t>
            </w:r>
          </w:p>
        </w:tc>
      </w:tr>
      <w:tr>
        <w:tc>
          <w:tcPr>
            <w:tcW w:type="dxa" w:w="3456"/>
            <w:shd w:val="clear" w:color="auto" w:fill="EFEFEF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4F6FA"/>
            <w:tcBorders>
              <w:top w:val="nil"/>
              <w:left w:val="nil"/>
              <w:bottom w:val="nil"/>
              <w:right w:val="nil"/>
            </w:tcBorders>
            <w:shd w:val="clear" w:color="auto" w:fill="E3E8F1"/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/>
                <w:color w:val="142A4B"/>
                <w:sz w:val="19"/>
              </w:rPr>
            </w:r>
            <w:r>
              <w:rPr>
                <w:rFonts w:ascii="Helvetica" w:hAnsi="Helvetica" w:cs="Helvetica" w:eastAsia="Helvetica"/>
                <w:b/>
                <w:color w:val="142A4B"/>
                <w:sz w:val="19"/>
              </w:rPr>
              <w:t>File Date</w:t>
            </w:r>
          </w:p>
        </w:tc>
        <w:tc>
          <w:tcPr>
            <w:tcW w:type="dxa" w:w="633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4F6F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Current as of 10/24/2025</w:t>
            </w:r>
          </w:p>
        </w:tc>
      </w:tr>
    </w:tbl>
    <w:p>
      <w:pPr>
        <w:spacing w:before="240" w:after="80" w:line="264" w:lineRule="auto"/>
      </w:pPr>
      <w:r>
        <w:rPr>
          <w:rFonts w:ascii="Helvetica" w:hAnsi="Helvetica" w:cs="Helvetica" w:eastAsia="Helvetica"/>
          <w:b/>
          <w:color w:val="142A4B"/>
          <w:sz w:val="25"/>
        </w:rPr>
        <w:t>1.  Employment History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Borders>
          <w:top w:val="nil"/>
          <w:left w:val="nil"/>
          <w:bottom w:val="nil"/>
          <w:right w:val="nil"/>
          <w:insideH w:val="single" w:sz="4" w:space="0" w:color="DDE3EC"/>
          <w:insideV w:val="nil"/>
        </w:tblBorders>
      </w:tblPr>
      <w:tblGrid>
        <w:gridCol w:w="4680"/>
        <w:gridCol w:w="4680"/>
      </w:tblGrid>
      <w:tr>
        <w:tc>
          <w:tcPr>
            <w:tcW w:type="dxa" w:w="2016"/>
            <w:shd w:val="clear" w:color="auto" w:fill="D9D9D9"/>
            <w:tcBorders>
              <w:top w:val="single" w:sz="4" w:color="000000"/>
              <w:left w:val="single" w:sz="4" w:color="000000"/>
              <w:right w:val="single" w:sz="4" w:color="000000"/>
              <w:bottom w:val="single" w:sz="12" w:space="0" w:color="876222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142A4B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/>
                <w:color w:val="000000"/>
                <w:sz w:val="19"/>
              </w:rPr>
            </w:r>
            <w:r>
              <w:rPr>
                <w:rFonts w:ascii="Helvetica" w:hAnsi="Helvetica" w:cs="Helvetica" w:eastAsia="Helvetica"/>
                <w:b/>
                <w:color w:val="000000"/>
                <w:sz w:val="19"/>
              </w:rPr>
              <w:t>Date</w:t>
            </w:r>
          </w:p>
        </w:tc>
        <w:tc>
          <w:tcPr>
            <w:tcW w:type="dxa" w:w="7776"/>
            <w:shd w:val="clear" w:color="auto" w:fill="D9D9D9"/>
            <w:tcBorders>
              <w:top w:val="single" w:sz="4" w:color="000000"/>
              <w:left w:val="single" w:sz="4" w:color="000000"/>
              <w:right w:val="single" w:sz="4" w:color="000000"/>
              <w:bottom w:val="single" w:sz="12" w:space="0" w:color="876222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142A4B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/>
                <w:color w:val="000000"/>
                <w:sz w:val="19"/>
              </w:rPr>
            </w:r>
            <w:r>
              <w:rPr>
                <w:rFonts w:ascii="Helvetica" w:hAnsi="Helvetica" w:cs="Helvetica" w:eastAsia="Helvetica"/>
                <w:b/>
                <w:color w:val="000000"/>
                <w:sz w:val="19"/>
              </w:rPr>
              <w:t>Event</w:t>
            </w:r>
          </w:p>
        </w:tc>
      </w:tr>
      <w:tr>
        <w:tc>
          <w:tcPr>
            <w:tcW w:type="dxa" w:w="201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FFFFF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03/2019</w:t>
            </w:r>
          </w:p>
        </w:tc>
        <w:tc>
          <w:tcPr>
            <w:tcW w:type="dxa" w:w="777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FFFFF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Hired — Bus Operator (Trainee), Operator Class 45 cohort</w:t>
            </w:r>
          </w:p>
        </w:tc>
      </w:tr>
      <w:tr>
        <w:tc>
          <w:tcPr>
            <w:tcW w:type="dxa" w:w="201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4F6F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06/2019</w:t>
            </w:r>
          </w:p>
        </w:tc>
        <w:tc>
          <w:tcPr>
            <w:tcW w:type="dxa" w:w="777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4F6F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Completed initial operator training academy; released to line service</w:t>
            </w:r>
          </w:p>
        </w:tc>
      </w:tr>
      <w:tr>
        <w:tc>
          <w:tcPr>
            <w:tcW w:type="dxa" w:w="201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FFFFF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07/2019</w:t>
            </w:r>
          </w:p>
        </w:tc>
        <w:tc>
          <w:tcPr>
            <w:tcW w:type="dxa" w:w="777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FFFFF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Passed 90-day probationary review (satisfactory)</w:t>
            </w:r>
          </w:p>
        </w:tc>
      </w:tr>
      <w:tr>
        <w:tc>
          <w:tcPr>
            <w:tcW w:type="dxa" w:w="201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4F6F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2021</w:t>
            </w:r>
          </w:p>
        </w:tc>
        <w:tc>
          <w:tcPr>
            <w:tcW w:type="dxa" w:w="777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4F6F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Owl-service qualified after completion of night-service module and supervised road check</w:t>
            </w:r>
          </w:p>
        </w:tc>
      </w:tr>
      <w:tr>
        <w:tc>
          <w:tcPr>
            <w:tcW w:type="dxa" w:w="201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FFFFF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2022</w:t>
            </w:r>
          </w:p>
        </w:tc>
        <w:tc>
          <w:tcPr>
            <w:tcW w:type="dxa" w:w="777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FFFFF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Bid awarded — Route 227 (weekday afternoon)</w:t>
            </w:r>
          </w:p>
        </w:tc>
      </w:tr>
      <w:tr>
        <w:tc>
          <w:tcPr>
            <w:tcW w:type="dxa" w:w="201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4F6F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2024</w:t>
            </w:r>
          </w:p>
        </w:tc>
        <w:tc>
          <w:tcPr>
            <w:tcW w:type="dxa" w:w="777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4F6F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Bid awarded — Owl Route 511 (nights)</w:t>
            </w:r>
          </w:p>
        </w:tc>
      </w:tr>
      <w:tr>
        <w:tc>
          <w:tcPr>
            <w:tcW w:type="dxa" w:w="201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FFFFF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2025</w:t>
            </w:r>
          </w:p>
        </w:tc>
        <w:tc>
          <w:tcPr>
            <w:tcW w:type="dxa" w:w="777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FFFFF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 xml:space="preserve">Most recent bid awarded — </w:t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Owl Route 512</w:t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 xml:space="preserve"> (nights, current assignment)</w:t>
            </w:r>
          </w:p>
        </w:tc>
      </w:tr>
    </w:tbl>
    <w:p>
      <w:pPr>
        <w:spacing w:after="120" w:before="0" w:line="312" w:lineRule="auto"/>
      </w:pPr>
      <w:r>
        <w:rPr>
          <w:rFonts w:ascii="Helvetica" w:hAnsi="Helvetica" w:cs="Helvetica" w:eastAsia="Helvetica"/>
          <w:color w:val="1F2A37"/>
          <w:sz w:val="21"/>
        </w:rPr>
        <w:t>Continuous service since date of hire; no breaks in employment. Position and title unchanged since release from probation (Bus Operator, Step 6 of 8 as of the current fiscal year).</w:t>
      </w:r>
    </w:p>
    <w:p>
      <w:pPr>
        <w:spacing w:before="240" w:after="80" w:line="264" w:lineRule="auto"/>
      </w:pPr>
      <w:r>
        <w:rPr>
          <w:rFonts w:ascii="Helvetica" w:hAnsi="Helvetica" w:cs="Helvetica" w:eastAsia="Helvetica"/>
          <w:b/>
          <w:color w:val="142A4B"/>
          <w:sz w:val="25"/>
        </w:rPr>
        <w:t>2.  Licensing &amp; Medical Certification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Borders>
          <w:top w:val="nil"/>
          <w:left w:val="nil"/>
          <w:bottom w:val="nil"/>
          <w:right w:val="nil"/>
          <w:insideH w:val="single" w:sz="4" w:space="0" w:color="DDE3EC"/>
          <w:insideV w:val="nil"/>
        </w:tblBorders>
      </w:tblPr>
      <w:tblGrid>
        <w:gridCol w:w="4680"/>
        <w:gridCol w:w="4680"/>
      </w:tblGrid>
      <w:tr>
        <w:tc>
          <w:tcPr>
            <w:tcW w:type="dxa" w:w="4320"/>
            <w:shd w:val="clear" w:color="auto" w:fill="D9D9D9"/>
            <w:tcBorders>
              <w:top w:val="single" w:sz="4" w:color="000000"/>
              <w:left w:val="single" w:sz="4" w:color="000000"/>
              <w:right w:val="single" w:sz="4" w:color="000000"/>
              <w:bottom w:val="single" w:sz="12" w:space="0" w:color="876222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142A4B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/>
                <w:color w:val="000000"/>
                <w:sz w:val="19"/>
              </w:rPr>
            </w:r>
            <w:r>
              <w:rPr>
                <w:rFonts w:ascii="Helvetica" w:hAnsi="Helvetica" w:cs="Helvetica" w:eastAsia="Helvetica"/>
                <w:b/>
                <w:color w:val="000000"/>
                <w:sz w:val="19"/>
              </w:rPr>
              <w:t>Item</w:t>
            </w:r>
          </w:p>
        </w:tc>
        <w:tc>
          <w:tcPr>
            <w:tcW w:type="dxa" w:w="5472"/>
            <w:shd w:val="clear" w:color="auto" w:fill="D9D9D9"/>
            <w:tcBorders>
              <w:top w:val="single" w:sz="4" w:color="000000"/>
              <w:left w:val="single" w:sz="4" w:color="000000"/>
              <w:right w:val="single" w:sz="4" w:color="000000"/>
              <w:bottom w:val="single" w:sz="12" w:space="0" w:color="876222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142A4B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/>
                <w:color w:val="000000"/>
                <w:sz w:val="19"/>
              </w:rPr>
            </w:r>
            <w:r>
              <w:rPr>
                <w:rFonts w:ascii="Helvetica" w:hAnsi="Helvetica" w:cs="Helvetica" w:eastAsia="Helvetica"/>
                <w:b/>
                <w:color w:val="000000"/>
                <w:sz w:val="19"/>
              </w:rPr>
              <w:t>Status</w:t>
            </w:r>
          </w:p>
        </w:tc>
      </w:tr>
      <w:tr>
        <w:tc>
          <w:tcPr>
            <w:tcW w:type="dxa" w:w="432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FFFFF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California commercial driver's license</w:t>
            </w:r>
          </w:p>
        </w:tc>
        <w:tc>
          <w:tcPr>
            <w:tcW w:type="dxa" w:w="547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FFFFF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Class B</w:t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, active</w:t>
            </w:r>
          </w:p>
        </w:tc>
      </w:tr>
      <w:tr>
        <w:tc>
          <w:tcPr>
            <w:tcW w:type="dxa" w:w="432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4F6F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Endorsements</w:t>
            </w:r>
          </w:p>
        </w:tc>
        <w:tc>
          <w:tcPr>
            <w:tcW w:type="dxa" w:w="547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4F6F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Passenger (P) endorsement</w:t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 xml:space="preserve"> — active</w:t>
            </w:r>
          </w:p>
        </w:tc>
      </w:tr>
      <w:tr>
        <w:tc>
          <w:tcPr>
            <w:tcW w:type="dxa" w:w="432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FFFFF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Restrictions</w:t>
            </w:r>
          </w:p>
        </w:tc>
        <w:tc>
          <w:tcPr>
            <w:tcW w:type="dxa" w:w="547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FFFFF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Corrective lenses</w:t>
            </w:r>
          </w:p>
        </w:tc>
      </w:tr>
      <w:tr>
        <w:tc>
          <w:tcPr>
            <w:tcW w:type="dxa" w:w="432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4F6F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CDL issue / expiry</w:t>
            </w:r>
          </w:p>
        </w:tc>
        <w:tc>
          <w:tcPr>
            <w:tcW w:type="dxa" w:w="547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4F6F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Original issue 02/2019; current renewal cycle expires 04/11/2028</w:t>
            </w:r>
          </w:p>
        </w:tc>
      </w:tr>
      <w:tr>
        <w:tc>
          <w:tcPr>
            <w:tcW w:type="dxa" w:w="432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FFFFF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DOT medical examiner's certificate (49 CFR § 391.43)</w:t>
            </w:r>
          </w:p>
        </w:tc>
        <w:tc>
          <w:tcPr>
            <w:tcW w:type="dxa" w:w="547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FFFFF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Current</w:t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 xml:space="preserve"> — 2-year card, examined by an FMCSA-listed certified medical examiner; next re-examination due within the standard interval</w:t>
            </w:r>
          </w:p>
        </w:tc>
      </w:tr>
      <w:tr>
        <w:tc>
          <w:tcPr>
            <w:tcW w:type="dxa" w:w="432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4F6F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DMV employer pull-notice enrollment (Veh.C. § 1808.1)</w:t>
            </w:r>
          </w:p>
        </w:tc>
        <w:tc>
          <w:tcPr>
            <w:tcW w:type="dxa" w:w="547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4F6F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 xml:space="preserve">Enrolled continuously since date of hire; reports on file per </w:t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DMV pull-notice program (the Keeler DMV Driving Record)</w:t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</w:p>
        </w:tc>
      </w:tr>
    </w:tbl>
    <w:p>
      <w:pPr>
        <w:spacing w:after="120" w:before="0" w:line="312" w:lineRule="auto"/>
      </w:pPr>
      <w:r>
        <w:rPr>
          <w:rFonts w:ascii="Helvetica" w:hAnsi="Helvetica" w:cs="Helvetica" w:eastAsia="Helvetica"/>
          <w:color w:val="1F2A37"/>
          <w:sz w:val="21"/>
        </w:rPr>
        <w:t>The DMV pull-notice record and CDL/medical card copies are maintained in the licensing subfolder of this file.</w:t>
      </w:r>
    </w:p>
    <w:p>
      <w:pPr>
        <w:spacing w:before="240" w:after="80" w:line="264" w:lineRule="auto"/>
      </w:pPr>
      <w:r>
        <w:rPr>
          <w:rFonts w:ascii="Helvetica" w:hAnsi="Helvetica" w:cs="Helvetica" w:eastAsia="Helvetica"/>
          <w:b/>
          <w:color w:val="142A4B"/>
          <w:sz w:val="25"/>
        </w:rPr>
        <w:t>3.  Training Records</w:t>
      </w:r>
    </w:p>
    <w:p>
      <w:pPr>
        <w:spacing w:after="120" w:before="0" w:line="312" w:lineRule="auto"/>
      </w:pPr>
      <w:r>
        <w:rPr>
          <w:rFonts w:ascii="Helvetica" w:hAnsi="Helvetica" w:cs="Helvetica" w:eastAsia="Helvetica"/>
          <w:color w:val="1F2A37"/>
          <w:sz w:val="21"/>
        </w:rPr>
        <w:t>Annual and recurrent training is tracked on the operator learning-management dashboard. The following courses have been completed in each calendar year since date of hire (2019 through 2025):</w:t>
      </w:r>
    </w:p>
    <w:p>
      <w:pPr>
        <w:pStyle w:val="ListBullet"/>
        <w:spacing w:after="60" w:before="0" w:line="288" w:lineRule="auto"/>
      </w:pPr>
      <w:r>
        <w:rPr>
          <w:rFonts w:ascii="Helvetica" w:hAnsi="Helvetica" w:cs="Helvetica" w:eastAsia="Helvetica"/>
          <w:color w:val="1F2A37"/>
          <w:sz w:val="20"/>
        </w:rPr>
      </w:r>
      <w:r>
        <w:rPr>
          <w:rFonts w:ascii="Helvetica" w:hAnsi="Helvetica" w:cs="Helvetica" w:eastAsia="Helvetica"/>
          <w:b/>
          <w:color w:val="1F2A37"/>
          <w:sz w:val="20"/>
        </w:rPr>
        <w:t>Drug &amp; Alcohol Awareness — Reasonable-Suspicion / DUI-Awareness for Safety-Sensitive Employees</w:t>
      </w:r>
      <w:r>
        <w:rPr>
          <w:rFonts w:ascii="Helvetica" w:hAnsi="Helvetica" w:cs="Helvetica" w:eastAsia="Helvetica"/>
          <w:color w:val="1F2A37"/>
          <w:sz w:val="20"/>
        </w:rPr>
        <w:t xml:space="preserve"> (49 CFR § 655.14 supervisor/employee training curriculum) — completed annually, most recent completion within the current year.</w:t>
      </w:r>
    </w:p>
    <w:p>
      <w:pPr>
        <w:pStyle w:val="ListBullet"/>
        <w:spacing w:after="60" w:before="0" w:line="288" w:lineRule="auto"/>
      </w:pPr>
      <w:r>
        <w:rPr>
          <w:rFonts w:ascii="Helvetica" w:hAnsi="Helvetica" w:cs="Helvetica" w:eastAsia="Helvetica"/>
          <w:color w:val="1F2A37"/>
          <w:sz w:val="20"/>
        </w:rPr>
        <w:t>Defensive driving refresher (Smith System) — annually.</w:t>
      </w:r>
    </w:p>
    <w:p>
      <w:pPr>
        <w:pStyle w:val="ListBullet"/>
        <w:spacing w:after="60" w:before="0" w:line="288" w:lineRule="auto"/>
      </w:pPr>
      <w:r>
        <w:rPr>
          <w:rFonts w:ascii="Helvetica" w:hAnsi="Helvetica" w:cs="Helvetica" w:eastAsia="Helvetica"/>
          <w:color w:val="1F2A37"/>
          <w:sz w:val="20"/>
        </w:rPr>
        <w:t>Passenger-assist and mobility-device securement — annually.</w:t>
      </w:r>
    </w:p>
    <w:p>
      <w:pPr>
        <w:pStyle w:val="ListBullet"/>
        <w:spacing w:after="60" w:before="0" w:line="288" w:lineRule="auto"/>
      </w:pPr>
      <w:r>
        <w:rPr>
          <w:rFonts w:ascii="Helvetica" w:hAnsi="Helvetica" w:cs="Helvetica" w:eastAsia="Helvetica"/>
          <w:color w:val="1F2A37"/>
          <w:sz w:val="20"/>
        </w:rPr>
        <w:t>Bloodborne pathogens / exposure control — annually.</w:t>
      </w:r>
    </w:p>
    <w:p>
      <w:pPr>
        <w:pStyle w:val="ListBullet"/>
        <w:spacing w:after="60" w:before="0" w:line="288" w:lineRule="auto"/>
      </w:pPr>
      <w:r>
        <w:rPr>
          <w:rFonts w:ascii="Helvetica" w:hAnsi="Helvetica" w:cs="Helvetica" w:eastAsia="Helvetica"/>
          <w:color w:val="1F2A37"/>
          <w:sz w:val="20"/>
        </w:rPr>
        <w:t>Emergency evacuation &amp; fire extinguisher — annually.</w:t>
      </w:r>
    </w:p>
    <w:p>
      <w:pPr>
        <w:pStyle w:val="ListBullet"/>
        <w:spacing w:after="60" w:before="0" w:line="288" w:lineRule="auto"/>
      </w:pPr>
      <w:r>
        <w:rPr>
          <w:rFonts w:ascii="Helvetica" w:hAnsi="Helvetica" w:cs="Helvetica" w:eastAsia="Helvetica"/>
          <w:color w:val="1F2A37"/>
          <w:sz w:val="20"/>
        </w:rPr>
        <w:t>ADA sensitivity — biennially.</w:t>
      </w:r>
    </w:p>
    <w:p>
      <w:pPr>
        <w:pStyle w:val="ListBullet"/>
        <w:spacing w:after="60" w:before="0" w:line="288" w:lineRule="auto"/>
      </w:pPr>
      <w:r>
        <w:rPr>
          <w:rFonts w:ascii="Helvetica" w:hAnsi="Helvetica" w:cs="Helvetica" w:eastAsia="Helvetica"/>
          <w:color w:val="1F2A37"/>
          <w:sz w:val="20"/>
        </w:rPr>
        <w:t>Fatigue management and hours-of-service awareness — completed at Owl-service qualification (2021) and repeated with each Owl bid.</w:t>
      </w:r>
    </w:p>
    <w:p>
      <w:pPr>
        <w:spacing w:after="120" w:before="0" w:line="312" w:lineRule="auto"/>
      </w:pPr>
      <w:r>
        <w:rPr>
          <w:rFonts w:ascii="Helvetica" w:hAnsi="Helvetica" w:cs="Helvetica" w:eastAsia="Helvetica"/>
          <w:color w:val="1F2A37"/>
          <w:sz w:val="21"/>
        </w:rPr>
        <w:t>No training deficiencies or lapsed certifications are recorded.</w:t>
      </w:r>
    </w:p>
    <w:p>
      <w:pPr>
        <w:spacing w:before="240" w:after="80" w:line="264" w:lineRule="auto"/>
      </w:pPr>
      <w:r>
        <w:rPr>
          <w:rFonts w:ascii="Helvetica" w:hAnsi="Helvetica" w:cs="Helvetica" w:eastAsia="Helvetica"/>
          <w:b/>
          <w:color w:val="142A4B"/>
          <w:sz w:val="25"/>
        </w:rPr>
        <w:t>4.  Performance Reviews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Borders>
          <w:top w:val="nil"/>
          <w:left w:val="nil"/>
          <w:bottom w:val="nil"/>
          <w:right w:val="nil"/>
          <w:insideH w:val="single" w:sz="4" w:space="0" w:color="DDE3EC"/>
          <w:insideV w:val="nil"/>
        </w:tblBorders>
      </w:tblPr>
      <w:tblGrid>
        <w:gridCol w:w="3120"/>
        <w:gridCol w:w="3120"/>
        <w:gridCol w:w="3120"/>
      </w:tblGrid>
      <w:tr>
        <w:tc>
          <w:tcPr>
            <w:tcW w:type="dxa" w:w="2592"/>
            <w:shd w:val="clear" w:color="auto" w:fill="D9D9D9"/>
            <w:tcBorders>
              <w:top w:val="single" w:sz="4" w:color="000000"/>
              <w:left w:val="single" w:sz="4" w:color="000000"/>
              <w:right w:val="single" w:sz="4" w:color="000000"/>
              <w:bottom w:val="single" w:sz="12" w:space="0" w:color="876222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142A4B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/>
                <w:color w:val="000000"/>
                <w:sz w:val="19"/>
              </w:rPr>
            </w:r>
            <w:r>
              <w:rPr>
                <w:rFonts w:ascii="Helvetica" w:hAnsi="Helvetica" w:cs="Helvetica" w:eastAsia="Helvetica"/>
                <w:b/>
                <w:color w:val="000000"/>
                <w:sz w:val="19"/>
              </w:rPr>
              <w:t>Cycle</w:t>
            </w:r>
          </w:p>
        </w:tc>
        <w:tc>
          <w:tcPr>
            <w:tcW w:type="dxa" w:w="3168"/>
            <w:shd w:val="clear" w:color="auto" w:fill="D9D9D9"/>
            <w:tcBorders>
              <w:top w:val="single" w:sz="4" w:color="000000"/>
              <w:left w:val="single" w:sz="4" w:color="000000"/>
              <w:right w:val="single" w:sz="4" w:color="000000"/>
              <w:bottom w:val="single" w:sz="12" w:space="0" w:color="876222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142A4B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/>
                <w:color w:val="000000"/>
                <w:sz w:val="19"/>
              </w:rPr>
            </w:r>
            <w:r>
              <w:rPr>
                <w:rFonts w:ascii="Helvetica" w:hAnsi="Helvetica" w:cs="Helvetica" w:eastAsia="Helvetica"/>
                <w:b/>
                <w:color w:val="000000"/>
                <w:sz w:val="19"/>
              </w:rPr>
              <w:t>Rating</w:t>
            </w:r>
          </w:p>
        </w:tc>
        <w:tc>
          <w:tcPr>
            <w:tcW w:type="dxa" w:w="4032"/>
            <w:shd w:val="clear" w:color="auto" w:fill="D9D9D9"/>
            <w:tcBorders>
              <w:top w:val="single" w:sz="4" w:color="000000"/>
              <w:left w:val="single" w:sz="4" w:color="000000"/>
              <w:right w:val="single" w:sz="4" w:color="000000"/>
              <w:bottom w:val="single" w:sz="12" w:space="0" w:color="876222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142A4B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/>
                <w:color w:val="000000"/>
                <w:sz w:val="19"/>
              </w:rPr>
            </w:r>
            <w:r>
              <w:rPr>
                <w:rFonts w:ascii="Helvetica" w:hAnsi="Helvetica" w:cs="Helvetica" w:eastAsia="Helvetica"/>
                <w:b/>
                <w:color w:val="000000"/>
                <w:sz w:val="19"/>
              </w:rPr>
              <w:t>Notes</w:t>
            </w:r>
          </w:p>
        </w:tc>
      </w:tr>
      <w:tr>
        <w:tc>
          <w:tcPr>
            <w:tcW w:type="dxa" w:w="259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FFFFF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2019 (probationary)</w:t>
            </w:r>
          </w:p>
        </w:tc>
        <w:tc>
          <w:tcPr>
            <w:tcW w:type="dxa" w:w="31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FFFFF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Satisfactory</w:t>
            </w:r>
          </w:p>
        </w:tc>
        <w:tc>
          <w:tcPr>
            <w:tcW w:type="dxa" w:w="403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FFFFF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Released from probation on schedule.</w:t>
            </w:r>
          </w:p>
        </w:tc>
      </w:tr>
      <w:tr>
        <w:tc>
          <w:tcPr>
            <w:tcW w:type="dxa" w:w="259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4F6F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2020</w:t>
            </w:r>
          </w:p>
        </w:tc>
        <w:tc>
          <w:tcPr>
            <w:tcW w:type="dxa" w:w="31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4F6F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Meets Expectations</w:t>
            </w:r>
          </w:p>
        </w:tc>
        <w:tc>
          <w:tcPr>
            <w:tcW w:type="dxa" w:w="403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4F6F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On-time performance within division mean.</w:t>
            </w:r>
          </w:p>
        </w:tc>
      </w:tr>
      <w:tr>
        <w:tc>
          <w:tcPr>
            <w:tcW w:type="dxa" w:w="259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FFFFF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2021</w:t>
            </w:r>
          </w:p>
        </w:tc>
        <w:tc>
          <w:tcPr>
            <w:tcW w:type="dxa" w:w="31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FFFFF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Meets Expectations</w:t>
            </w:r>
          </w:p>
        </w:tc>
        <w:tc>
          <w:tcPr>
            <w:tcW w:type="dxa" w:w="403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FFFFF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Owl qualification granted.</w:t>
            </w:r>
          </w:p>
        </w:tc>
      </w:tr>
      <w:tr>
        <w:tc>
          <w:tcPr>
            <w:tcW w:type="dxa" w:w="259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4F6F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2022</w:t>
            </w:r>
          </w:p>
        </w:tc>
        <w:tc>
          <w:tcPr>
            <w:tcW w:type="dxa" w:w="31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4F6F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Meets Expectations</w:t>
            </w:r>
          </w:p>
        </w:tc>
        <w:tc>
          <w:tcPr>
            <w:tcW w:type="dxa" w:w="403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4F6F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—</w:t>
            </w:r>
          </w:p>
        </w:tc>
      </w:tr>
      <w:tr>
        <w:tc>
          <w:tcPr>
            <w:tcW w:type="dxa" w:w="259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FFFFF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2023</w:t>
            </w:r>
          </w:p>
        </w:tc>
        <w:tc>
          <w:tcPr>
            <w:tcW w:type="dxa" w:w="31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FFFFF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Meets Expectations, with note</w:t>
            </w:r>
          </w:p>
        </w:tc>
        <w:tc>
          <w:tcPr>
            <w:tcW w:type="dxa" w:w="403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FFFFF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Written warning issued for tardiness (see Section 5).</w:t>
            </w:r>
          </w:p>
        </w:tc>
      </w:tr>
      <w:tr>
        <w:tc>
          <w:tcPr>
            <w:tcW w:type="dxa" w:w="259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4F6F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2024</w:t>
            </w:r>
          </w:p>
        </w:tc>
        <w:tc>
          <w:tcPr>
            <w:tcW w:type="dxa" w:w="31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4F6F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Meets Expectations</w:t>
            </w:r>
          </w:p>
        </w:tc>
        <w:tc>
          <w:tcPr>
            <w:tcW w:type="dxa" w:w="403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4F6F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No repeat tardiness in reporting year.</w:t>
            </w:r>
          </w:p>
        </w:tc>
      </w:tr>
      <w:tr>
        <w:tc>
          <w:tcPr>
            <w:tcW w:type="dxa" w:w="259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FFFFF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2025 (interim)</w:t>
            </w:r>
          </w:p>
        </w:tc>
        <w:tc>
          <w:tcPr>
            <w:tcW w:type="dxa" w:w="31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FFFFF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Meets Expectations</w:t>
            </w:r>
          </w:p>
        </w:tc>
        <w:tc>
          <w:tcPr>
            <w:tcW w:type="dxa" w:w="403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FFFFF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—</w:t>
            </w:r>
          </w:p>
        </w:tc>
      </w:tr>
    </w:tbl>
    <w:p>
      <w:pPr>
        <w:spacing w:after="120" w:before="0" w:line="312" w:lineRule="auto"/>
      </w:pPr>
      <w:r>
        <w:rPr>
          <w:rFonts w:ascii="Helvetica" w:hAnsi="Helvetica" w:cs="Helvetica" w:eastAsia="Helvetica"/>
          <w:color w:val="1F2A37"/>
          <w:sz w:val="21"/>
        </w:rPr>
        <w:t>Passenger commendations on file: two (2), both for courteous fare-mediation handling.</w:t>
      </w:r>
    </w:p>
    <w:p>
      <w:pPr>
        <w:spacing w:before="240" w:after="80" w:line="264" w:lineRule="auto"/>
      </w:pPr>
      <w:r>
        <w:rPr>
          <w:rFonts w:ascii="Helvetica" w:hAnsi="Helvetica" w:cs="Helvetica" w:eastAsia="Helvetica"/>
          <w:b/>
          <w:color w:val="142A4B"/>
          <w:sz w:val="25"/>
        </w:rPr>
        <w:t>5.  Discipline History</w:t>
      </w:r>
    </w:p>
    <w:p>
      <w:pPr>
        <w:spacing w:after="120" w:before="0" w:line="312" w:lineRule="auto"/>
      </w:pPr>
      <w:r>
        <w:rPr>
          <w:rFonts w:ascii="Helvetica" w:hAnsi="Helvetica" w:cs="Helvetica" w:eastAsia="Helvetica"/>
          <w:color w:val="1F2A37"/>
          <w:sz w:val="21"/>
        </w:rPr>
        <w:t>The complete disciplinary record consists of:</w:t>
      </w:r>
    </w:p>
    <w:p>
      <w:pPr>
        <w:pStyle w:val="ListBullet"/>
        <w:spacing w:after="60" w:before="0" w:line="288" w:lineRule="auto"/>
      </w:pPr>
      <w:r>
        <w:rPr>
          <w:rFonts w:ascii="Helvetica" w:hAnsi="Helvetica" w:cs="Helvetica" w:eastAsia="Helvetica"/>
          <w:color w:val="1F2A37"/>
          <w:sz w:val="20"/>
        </w:rPr>
      </w:r>
      <w:r>
        <w:rPr>
          <w:rFonts w:ascii="Helvetica" w:hAnsi="Helvetica" w:cs="Helvetica" w:eastAsia="Helvetica"/>
          <w:b/>
          <w:color w:val="1F2A37"/>
          <w:sz w:val="20"/>
        </w:rPr>
        <w:t>Written warning — tardiness (issued 04/12/2023).</w:t>
      </w:r>
      <w:r>
        <w:rPr>
          <w:rFonts w:ascii="Helvetica" w:hAnsi="Helvetica" w:cs="Helvetica" w:eastAsia="Helvetica"/>
          <w:color w:val="1F2A37"/>
          <w:sz w:val="20"/>
        </w:rPr>
        <w:t xml:space="preserve"> Cumulative late clock-in incidents over the prior 60-day window exceeded the divisional threshold under the collective-bargaining discipline matrix. Warning issued by Operations Supervisor. Progressive-discipline clock ran and cleared without further tardiness incidents; no follow-on action required.</w:t>
      </w:r>
    </w:p>
    <w:p>
      <w:pPr>
        <w:spacing w:after="120" w:before="0" w:line="312" w:lineRule="auto"/>
      </w:pPr>
      <w:r>
        <w:rPr>
          <w:rFonts w:ascii="Helvetica" w:hAnsi="Helvetica" w:cs="Helvetica" w:eastAsia="Helvetica"/>
          <w:color w:val="1F2A37"/>
          <w:sz w:val="21"/>
        </w:rPr>
        <w:t>No other written discipline of any kind is on file. There are no safety terminations, no preventable-collision suspensions, no fitness-for-duty removals, and no prior DUI or alcohol-related incidents on file.</w:t>
      </w:r>
    </w:p>
    <w:p>
      <w:pPr>
        <w:spacing w:before="240" w:after="80" w:line="264" w:lineRule="auto"/>
      </w:pPr>
      <w:r>
        <w:rPr>
          <w:rFonts w:ascii="Helvetica" w:hAnsi="Helvetica" w:cs="Helvetica" w:eastAsia="Helvetica"/>
          <w:b/>
          <w:color w:val="142A4B"/>
          <w:sz w:val="25"/>
        </w:rPr>
        <w:t>6.  DOT § 655 Compliance History (49 CFR Part 655)</w:t>
      </w:r>
    </w:p>
    <w:p>
      <w:pPr>
        <w:spacing w:after="120" w:before="0" w:line="312" w:lineRule="auto"/>
      </w:pPr>
      <w:r>
        <w:rPr>
          <w:rFonts w:ascii="Helvetica" w:hAnsi="Helvetica" w:cs="Helvetica" w:eastAsia="Helvetica"/>
          <w:color w:val="1F2A37"/>
          <w:sz w:val="21"/>
        </w:rPr>
        <w:t>Keeler is a covered safety-sensitive employee under the FTA drug-and-alcohol testing rule.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Borders>
          <w:top w:val="nil"/>
          <w:left w:val="nil"/>
          <w:bottom w:val="nil"/>
          <w:right w:val="nil"/>
          <w:insideH w:val="single" w:sz="4" w:space="0" w:color="DDE3EC"/>
          <w:insideV w:val="nil"/>
        </w:tblBorders>
      </w:tblPr>
      <w:tblGrid>
        <w:gridCol w:w="4680"/>
        <w:gridCol w:w="4680"/>
      </w:tblGrid>
      <w:tr>
        <w:tc>
          <w:tcPr>
            <w:tcW w:type="dxa" w:w="3456"/>
            <w:shd w:val="clear" w:color="auto" w:fill="D9D9D9"/>
            <w:tcBorders>
              <w:top w:val="single" w:sz="4" w:color="000000"/>
              <w:left w:val="single" w:sz="4" w:color="000000"/>
              <w:right w:val="single" w:sz="4" w:color="000000"/>
              <w:bottom w:val="single" w:sz="12" w:space="0" w:color="876222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142A4B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/>
                <w:color w:val="000000"/>
                <w:sz w:val="19"/>
              </w:rPr>
            </w:r>
            <w:r>
              <w:rPr>
                <w:rFonts w:ascii="Helvetica" w:hAnsi="Helvetica" w:cs="Helvetica" w:eastAsia="Helvetica"/>
                <w:b/>
                <w:color w:val="000000"/>
                <w:sz w:val="19"/>
              </w:rPr>
              <w:t>Test type</w:t>
            </w:r>
          </w:p>
        </w:tc>
        <w:tc>
          <w:tcPr>
            <w:tcW w:type="dxa" w:w="6336"/>
            <w:shd w:val="clear" w:color="auto" w:fill="D9D9D9"/>
            <w:tcBorders>
              <w:top w:val="single" w:sz="4" w:color="000000"/>
              <w:left w:val="single" w:sz="4" w:color="000000"/>
              <w:right w:val="single" w:sz="4" w:color="000000"/>
              <w:bottom w:val="single" w:sz="12" w:space="0" w:color="876222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142A4B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/>
                <w:color w:val="000000"/>
                <w:sz w:val="19"/>
              </w:rPr>
            </w:r>
            <w:r>
              <w:rPr>
                <w:rFonts w:ascii="Helvetica" w:hAnsi="Helvetica" w:cs="Helvetica" w:eastAsia="Helvetica"/>
                <w:b/>
                <w:color w:val="000000"/>
                <w:sz w:val="19"/>
              </w:rPr>
              <w:t>History</w:t>
            </w:r>
          </w:p>
        </w:tc>
      </w:tr>
      <w:tr>
        <w:tc>
          <w:tcPr>
            <w:tcW w:type="dxa" w:w="345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FFFFF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Pre-employment (drug)</w:t>
            </w:r>
          </w:p>
        </w:tc>
        <w:tc>
          <w:tcPr>
            <w:tcW w:type="dxa" w:w="633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FFFFF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Conducted 02/2019 — Negative</w:t>
            </w:r>
          </w:p>
        </w:tc>
      </w:tr>
      <w:tr>
        <w:tc>
          <w:tcPr>
            <w:tcW w:type="dxa" w:w="345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4F6F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Random selection (drug)</w:t>
            </w:r>
          </w:p>
        </w:tc>
        <w:tc>
          <w:tcPr>
            <w:tcW w:type="dxa" w:w="633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4F6F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 xml:space="preserve">Selected in multiple pool cycles; all results </w:t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Negative</w:t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</w:p>
        </w:tc>
      </w:tr>
      <w:tr>
        <w:tc>
          <w:tcPr>
            <w:tcW w:type="dxa" w:w="345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FFFFF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Random selection (alcohol)</w:t>
            </w:r>
          </w:p>
        </w:tc>
        <w:tc>
          <w:tcPr>
            <w:tcW w:type="dxa" w:w="633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FFFFF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 xml:space="preserve">Selected in multiple pool cycles; all results </w:t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Negative</w:t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 xml:space="preserve"> (below 0.02 g/210L threshold)</w:t>
            </w:r>
          </w:p>
        </w:tc>
      </w:tr>
      <w:tr>
        <w:tc>
          <w:tcPr>
            <w:tcW w:type="dxa" w:w="345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4F6F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Reasonable-suspicion</w:t>
            </w:r>
          </w:p>
        </w:tc>
        <w:tc>
          <w:tcPr>
            <w:tcW w:type="dxa" w:w="633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4F6F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None on file prior to 10/18/2025</w:t>
            </w:r>
          </w:p>
        </w:tc>
      </w:tr>
      <w:tr>
        <w:tc>
          <w:tcPr>
            <w:tcW w:type="dxa" w:w="345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FFFFF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Return-to-duty / follow-up</w:t>
            </w:r>
          </w:p>
        </w:tc>
        <w:tc>
          <w:tcPr>
            <w:tcW w:type="dxa" w:w="633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FFFFF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None on file prior to 10/18/2025</w:t>
            </w:r>
          </w:p>
        </w:tc>
      </w:tr>
      <w:tr>
        <w:tc>
          <w:tcPr>
            <w:tcW w:type="dxa" w:w="345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4F6F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Post-accident</w:t>
            </w:r>
          </w:p>
        </w:tc>
        <w:tc>
          <w:tcPr>
            <w:tcW w:type="dxa" w:w="633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4F6F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See separate compliance file (the DOT Post-Accident Test Record)</w:t>
            </w:r>
          </w:p>
        </w:tc>
      </w:tr>
    </w:tbl>
    <w:p>
      <w:pPr>
        <w:spacing w:after="120" w:before="0" w:line="312" w:lineRule="auto"/>
      </w:pPr>
      <w:r>
        <w:rPr>
          <w:rFonts w:ascii="Helvetica" w:hAnsi="Helvetica" w:cs="Helvetica" w:eastAsia="Helvetica"/>
          <w:color w:val="1F2A37"/>
          <w:sz w:val="21"/>
        </w:rPr>
        <w:t>All random selections prior to the collision of 10/18/2025 resulted in verified-negative results. Chain-of-custody forms, MRO verifications, and BAT/STT records for each event are retained by ACTD Compliance in the § 655 archive.</w:t>
      </w:r>
    </w:p>
    <w:p>
      <w:pPr>
        <w:spacing w:before="240" w:after="80" w:line="264" w:lineRule="auto"/>
      </w:pPr>
      <w:r>
        <w:rPr>
          <w:rFonts w:ascii="Helvetica" w:hAnsi="Helvetica" w:cs="Helvetica" w:eastAsia="Helvetica"/>
          <w:b/>
          <w:color w:val="142A4B"/>
          <w:sz w:val="25"/>
        </w:rPr>
        <w:t>7.  Emergency Contact &amp; Personal Data</w:t>
      </w:r>
    </w:p>
    <w:p>
      <w:pPr>
        <w:pStyle w:val="ListBullet"/>
        <w:spacing w:after="60" w:before="0" w:line="288" w:lineRule="auto"/>
      </w:pPr>
      <w:r>
        <w:rPr>
          <w:rFonts w:ascii="Helvetica" w:hAnsi="Helvetica" w:cs="Helvetica" w:eastAsia="Helvetica"/>
          <w:color w:val="1F2A37"/>
          <w:sz w:val="20"/>
        </w:rPr>
      </w:r>
      <w:r>
        <w:rPr>
          <w:rFonts w:ascii="Helvetica" w:hAnsi="Helvetica" w:cs="Helvetica" w:eastAsia="Helvetica"/>
          <w:b/>
          <w:color w:val="1F2A37"/>
          <w:sz w:val="20"/>
        </w:rPr>
        <w:t>Home address:</w:t>
      </w:r>
      <w:r>
        <w:rPr>
          <w:rFonts w:ascii="Helvetica" w:hAnsi="Helvetica" w:cs="Helvetica" w:eastAsia="Helvetica"/>
          <w:color w:val="1F2A37"/>
          <w:sz w:val="20"/>
        </w:rPr>
        <w:t xml:space="preserve"> 1837 Alameda Street, Apt 4C, Rivergate, CA 91766</w:t>
      </w:r>
    </w:p>
    <w:p>
      <w:pPr>
        <w:pStyle w:val="ListBullet"/>
        <w:spacing w:after="60" w:before="0" w:line="288" w:lineRule="auto"/>
      </w:pPr>
      <w:r>
        <w:rPr>
          <w:rFonts w:ascii="Helvetica" w:hAnsi="Helvetica" w:cs="Helvetica" w:eastAsia="Helvetica"/>
          <w:color w:val="1F2A37"/>
          <w:sz w:val="20"/>
        </w:rPr>
      </w:r>
      <w:r>
        <w:rPr>
          <w:rFonts w:ascii="Helvetica" w:hAnsi="Helvetica" w:cs="Helvetica" w:eastAsia="Helvetica"/>
          <w:b/>
          <w:color w:val="1F2A37"/>
          <w:sz w:val="20"/>
        </w:rPr>
        <w:t>Date of birth:</w:t>
      </w:r>
      <w:r>
        <w:rPr>
          <w:rFonts w:ascii="Helvetica" w:hAnsi="Helvetica" w:cs="Helvetica" w:eastAsia="Helvetica"/>
          <w:color w:val="1F2A37"/>
          <w:sz w:val="20"/>
        </w:rPr>
        <w:t xml:space="preserve"> 04/11/1979</w:t>
      </w:r>
    </w:p>
    <w:p>
      <w:pPr>
        <w:pStyle w:val="ListBullet"/>
        <w:spacing w:after="60" w:before="0" w:line="288" w:lineRule="auto"/>
      </w:pPr>
      <w:r>
        <w:rPr>
          <w:rFonts w:ascii="Helvetica" w:hAnsi="Helvetica" w:cs="Helvetica" w:eastAsia="Helvetica"/>
          <w:color w:val="1F2A37"/>
          <w:sz w:val="20"/>
        </w:rPr>
        <w:t>Emergency contact information and dependent enrollment are maintained on the confidential HR insert page and are omitted from this summary.</w:t>
      </w:r>
    </w:p>
    <w:p>
      <w:pPr>
        <w:spacing w:before="240" w:after="80" w:line="264" w:lineRule="auto"/>
      </w:pPr>
      <w:r>
        <w:rPr>
          <w:rFonts w:ascii="Helvetica" w:hAnsi="Helvetica" w:cs="Helvetica" w:eastAsia="Helvetica"/>
          <w:b/>
          <w:color w:val="142A4B"/>
          <w:sz w:val="25"/>
        </w:rPr>
        <w:t>8.  Custody &amp; Handling</w:t>
      </w:r>
    </w:p>
    <w:p>
      <w:pPr>
        <w:spacing w:after="120" w:before="0" w:line="312" w:lineRule="auto"/>
      </w:pPr>
      <w:r>
        <w:rPr>
          <w:rFonts w:ascii="Helvetica" w:hAnsi="Helvetica" w:cs="Helvetica" w:eastAsia="Helvetica"/>
          <w:color w:val="1F2A37"/>
          <w:sz w:val="21"/>
        </w:rPr>
        <w:t>Original file custody: ACTD Human Resources, Records Room 2B.</w:t>
      </w:r>
    </w:p>
    <w:p>
      <w:pPr>
        <w:spacing w:after="120" w:before="0" w:line="312" w:lineRule="auto"/>
      </w:pPr>
      <w:r>
        <w:rPr>
          <w:rFonts w:ascii="Helvetica" w:hAnsi="Helvetica" w:cs="Helvetica" w:eastAsia="Helvetica"/>
          <w:color w:val="1F2A37"/>
          <w:sz w:val="21"/>
        </w:rPr>
        <w:t>Access log required for any external release. Any request for production of this file, including subpoena, third-party discovery, or public-records request, must be routed to ACTD General Counsel before response.</w:t>
      </w:r>
    </w:p>
    <w:p>
      <w:pPr>
        <w:spacing w:before="280" w:after="0" w:line="300" w:lineRule="auto"/>
        <w:jc w:val="center"/>
      </w:pPr>
      <w:r>
        <w:rPr>
          <w:rFonts w:ascii="Helvetica" w:hAnsi="Helvetica" w:cs="Helvetica" w:eastAsia="Helvetica"/>
          <w:b/>
          <w:i/>
          <w:color w:val="5B6B7D"/>
          <w:sz w:val="18"/>
        </w:rPr>
        <w:t>— End of Summary —</w:t>
      </w:r>
    </w:p>
    <w:sectPr w:rsidR="00FC693F" w:rsidRPr="0006063C" w:rsidSect="00034616">
      <w:pgSz w:w="12240" w:h="15840"/>
      <w:pgMar w:top="1296" w:right="1584" w:bottom="1296" w:left="158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Helvetica" w:hAnsi="Helvetica"/>
      <w:color w:val="1F2A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cp:category/>
</cp:coreProperties>
</file>