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eleventh week of inpatient rehabilitation at the Alder Creek Neuro-Rehabilitation Institute (4501 Recovery Parkway, Rivergate). Her acute-care admission at Rivergate Regional Trauma Center ran from 10/18/2025 through 12/22/2025, at which point she stepped down to the Institute's inpatient program, where she remains, with discharge to outpatient status anticipated in early April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Respondeat superior looks solid. Keeler was on shift as an ACTD bus operator (clock-in 10/17/2025 at 10:00 p.m. per the pullout/duty roster), operating an ACTD-owned Owl-service bus, on the fixed route to which he was bid and assigned (Owl Route 512; block ID 512-OWL). We anticipate the District will attempt to characterize the overnight run as "off-book" — there is at least one early-morning email from overnight Dispatch Supervisor Wesley Tran that uses that language — but the official Route 512 run schedule and the AVL/GPS breadcrumb should place Keeler on the assigned block within the assigned service window. Under Gov. Code § 815.2, vicarious liability against the District should attach.</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remains an inpatient there as of this memo, with discharge to outpatient care anticipated in early April.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four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(A62)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