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The internal investigation finds that Operator Keeler was operating his assigned Owl Route 512 block per the official Fall 2025 Sign run schedule, and that the AVL/GPS telemetry places the coach on the published route at the moment of the collision, running ahead of the published S. Main / Third control-point timepoint. The course-and-scope determination is therefore that Operator Keeler was operating his assigned Owl Route 512 block at the time of the collision, consistent with the official run schedule and AVL/GPS telemetry. 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 pre-trip yard sheet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 EMS run sheets</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fleet dispatch log (which records the pre-trip completion entry)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Bus #4177's Fleet Maintenance history at Div. 3, most recently serviced 10/10/2025 (eight days before the collision), reflects no open or pre-existing steering, braking, suspension, tire, or lighting defect that would have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approximately 26 minutes ahead of the published S. Main / Third control-point timepoint (02:31) for Trip 06.</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A11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APC/farebox export (A11) and on-scene EMS run sheets for the passenger roster,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fleet dispatch log, the daily block assignment sheet, and Operator Keeler's bid award (Owl Sr. Board Line 12). Bus-to-block assignment for Block 512-OWL on this service night reconciles to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(same workbook as above, 'Authorized Owl Routes' tab;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Fleet Maintenance service and inspection history (Div. 3; most recent service 10/10/2025).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