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at the moment of the collision, running ahead of the published S. Main / Third control-point timepoint.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fleet dispatch log (which records the pre-trip completion entry)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Bus #4177's Fleet Maintenance history at Div. 3, most recently serviced 10/10/2025 (eight days before the collision), reflects no open or pre-existing steering, braking, suspension, tire, or lighting defect that would have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approximately 26 minutes ahead of the published S. Main / Third control-point timepoint (02:31) for Trip 06.</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fleet dispatch log, the daily block assignment sheet, and Operator Keeler's bid award (Owl Sr. Board Line 12). Bus-to-block assignment for Block 512-OWL on this service night reconciles to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(same workbook as above, 'Authorized Owl Routes' tab;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Fleet Maintenance service and inspection history (Div. 3; most recent service 10/10/2025).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