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eleventh week of inpatient rehabilitation at the Alder Creek Neuro-Rehabilitation Institute (4501 Recovery Parkway, Rivergate). Her acute-care admission at Rivergate Regional Trauma Center ran from 10/18/2025 through 12/22/2025, at which point she stepped down to the Institute's inpatient program, where she remains, with discharge to outpatient status anticipated in early April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that comparison will determine whether vicarious liability against the District attaches under Gov. Code § 815.2.</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remains an inpatient there as of this memo, with discharge to outpatient care anticipated in early April.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color w:val="FFFFFF"/>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color w:val="FFFFFF"/>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