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Respondeat superior looks solid. Keeler was on shift as an ACTD bus operator (clock-in 10/17/2025 at 10:00 p.m. per the pullout/duty roster), operating an ACTD-owned Owl-service bus, on the fixed route to which he was bid and assigned (Owl Route 512; block ID 512-OWL). We anticipate the District will attempt to characterize the overnight run as "off-book" — there is at least one early-morning email from overnight Dispatch Supervisor Wesley Tran that uses that language — but the official Route 512 run schedule and the AVL/GPS breadcrumb should place Keeler on the assigned block within the assigned service window. Under Gov. Code § 815.2, vicarious liability against the District should attach.</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i w:val="0"/>
          <w:sz w:val="21"/>
        </w:rPr>
        <w:t>Monday, 04/20/2026</w:t>
      </w:r>
      <w:r>
        <w:rPr>
          <w:rFonts w:ascii="Georgia" w:hAnsi="Georgia" w:cs="Georgia" w:eastAsia="Georgia"/>
          <w:b w:val="0"/>
          <w:i w:val="0"/>
          <w:sz w:val="21"/>
        </w:rPr>
        <w:t>. As of the date of this memo, no claim has been presented on behalf of Ms. Reyes.</w:t>
      </w:r>
    </w:p>
    <w:p>
      <w:pPr>
        <w:spacing w:after="160" w:before="0" w:line="317" w:lineRule="auto"/>
        <w:jc w:val="both"/>
      </w:pPr>
      <w:r>
        <w:rPr>
          <w:rFonts w:ascii="Georgia" w:hAnsi="Georgia" w:cs="Georgia" w:eastAsia="Georgia"/>
          <w:b w:val="0"/>
          <w:i/>
          <w:sz w:val="21"/>
        </w:rPr>
        <w:t xml:space="preserve">Incapacity ground under § 911.6(b)(4). </w:t>
      </w:r>
      <w:r>
        <w:rPr>
          <w:rFonts w:ascii="Georgia" w:hAnsi="Georgia" w:cs="Georgia" w:eastAsia="Georgia"/>
          <w:b w:val="0"/>
          <w:i w:val="0"/>
          <w:sz w:val="21"/>
        </w:rPr>
        <w:t xml:space="preserve">Where a timely claim is not presented, an application for leave to present a late claim may be made under Gov. Code § 911.4, and the Board is directed by Gov. Code § </w:t>
      </w:r>
      <w:r>
        <w:rPr>
          <w:rFonts w:ascii="Georgia" w:hAnsi="Georgia" w:cs="Georgia" w:eastAsia="Georgia"/>
          <w:b/>
          <w:i w:val="0"/>
          <w:sz w:val="21"/>
        </w:rPr>
        <w:t>911.6</w:t>
      </w:r>
      <w:r>
        <w:rPr>
          <w:rFonts w:ascii="Georgia" w:hAnsi="Georgia" w:cs="Georgia" w:eastAsia="Georgia"/>
          <w:b w:val="0"/>
          <w:i w:val="0"/>
          <w:sz w:val="21"/>
        </w:rPr>
        <w:t>(b) to grant the application on any of four enumerated grounds. Ground (b)(4) — that the claimant was physically or mentally incapacitated during all of the time specified in § 911.2 for presentation of the claim, and by reason of such disability failed to present a claim during that time — is available on these facts given the client's acute TBI, ICU course, induced coma, post-traumatic amnesia, and the pendency of a probate-court temporary conservatorship for a substantial portion of the six-month window. Supporting materials in hand or in progress: (a) the order granting temporary conservatorship on 11/10/2025 and the letters issued to Marisela Reyes; (b) certified copies of the Trauma Center admission, ICU course, and discharge summaries; (c) the Institute's inpatient rehab records and serial neuropsychological testing; (d) a treating-physician capacity letter from Dr. Helena Vasquez-Ortiz, MD (physiatry) to be finalized in April.</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(A62)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