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76" w:lineRule="auto"/>
        <w:jc w:val="center"/>
        <w:pBdr>
          <w:top w:val="single" w:sz="4" w:space="3" w:color="B5651D"/>
          <w:bottom w:val="single" w:sz="4" w:space="3" w:color="B5651D"/>
        </w:pBdr>
        <w:shd w:val="clear" w:color="auto" w:fill="F4F5F7"/>
      </w:pPr>
      <w:r w:themeColor="">
        <w:rPr>
          <w:rFonts w:ascii="Helvetica" w:hAnsi="Helvetica" w:cs="Helvetica" w:eastAsia="Helvetica"/>
          <w:b/>
          <w:i w:val="0"/>
          <w:color w:val="6B7280"/>
          <w:sz w:val="15"/>
          <w:spacing w:val="40"/>
        </w:rPr>
        <w:t>PRIVILEGED &amp; CONFIDENTIAL — ATTORNEY-CLIENT COMMUNICATION / WORK PRODUCT — PREPARED AT DIRECTION OF COUNSEL IN ANTICIPATION OF LITIGATION</w:t>
      </w:r>
    </w:p>
    <w:p>
      <w:pPr>
        <w:spacing w:before="200" w:after="0" w:line="276" w:lineRule="auto"/>
        <w:jc w:val="center"/>
      </w:pPr>
      <w:r w:themeColor="">
        <w:rPr>
          <w:rFonts w:ascii="Helvetica" w:hAnsi="Helvetica" w:cs="Helvetica" w:eastAsia="Helvetica"/>
          <w:b/>
          <w:i w:val="0"/>
          <w:color w:val="1A2D5C"/>
          <w:sz w:val="46"/>
          <w:spacing w:val="60"/>
        </w:rPr>
        <w:t>ALDER CREEK TRANSIT DISTRICT</w:t>
      </w:r>
    </w:p>
    <w:p>
      <w:pPr>
        <w:spacing w:before="4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2A3F6E"/>
          <w:sz w:val="23"/>
          <w:spacing w:val="80"/>
        </w:rPr>
        <w:t>Risk Management &amp; Claims  —  Interoffice Memorandum</w:t>
      </w:r>
    </w:p>
    <w:p>
      <w:pPr>
        <w:spacing w:before="20" w:after="200" w:line="276" w:lineRule="auto"/>
        <w:jc w:val="center"/>
        <w:pBdr>
          <w:bottom w:val="single" w:sz="6" w:space="6" w:color="1A2D5C"/>
        </w:pBdr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1200 Alder Creek Way, Rivergate, CA 91766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TO: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Diane Farkas, General Counsel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FROM: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Gordon Espinoza, Senior Claims Manager (Risk &amp; Claims)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CC: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Marisol Vega, Esq., Delfino Marek LLP (retained outside defense counsel)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DATE: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December 15, 2025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RE: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Reserve evaluation — Reyes / Owl Route 512 collision (10/18/2025); Operator R. Keeler</w:t>
      </w:r>
    </w:p>
    <w:p>
      <w:pPr>
        <w:spacing w:before="20" w:after="200" w:line="276" w:lineRule="auto"/>
        <w:ind w:left="0"/>
        <w:jc w:val="left"/>
        <w:tabs>
          <w:tab w:val="left" w:pos="1800"/>
        </w:tabs>
        <w:shd w:val="clear" w:color="auto" w:fill="F7F8FA"/>
        <w:pBdr>
          <w:bottom w:val="single" w:sz="8" w:space="4" w:color="1A2D5C"/>
        </w:pBdr>
      </w:pPr>
      <w:r w:themeColor="">
        <w:rPr>
          <w:rFonts w:ascii="Georgia" w:hAnsi="Georgia" w:cs="Georgia" w:eastAsia="Georgia"/>
          <w:b w:val="0"/>
          <w:color w:val="1F242E"/>
          <w:sz w:val="21"/>
        </w:rPr>
        <w:t>CLAIM FILE:</w:t>
        <w:tab/>
        <w:t>ACTD-2025-1018-KEELER (matter file). Per-claimant Gov. Code § 910 claims not yet presented as of this writing.</w:t>
      </w:r>
      <w:r w:themeColor="">
        <w:rPr>
          <w:rFonts w:ascii="Georgia" w:hAnsi="Georgia" w:cs="Georgia" w:eastAsia="Georgia"/>
          <w:color w:val="1F242E"/>
          <w:sz w:val="21"/>
        </w:rPr>
      </w:r>
      <w:r w:themeColor="">
        <w:rPr>
          <w:rFonts w:ascii="Georgia" w:hAnsi="Georgia" w:cs="Georgia" w:eastAsia="Georgia"/>
          <w:color w:val="1F242E"/>
          <w:sz w:val="21"/>
        </w:rPr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1.  Summary / Recommended Action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This memorandum resets the indemnity reserve on the above matter following (i) receipt on 11/07/2025 of the certified evidentiary blood-BAC result from the Los Angeles County Sheriff's Department Scientific Services Bureau — Crime Laboratory (Case No. LASD-SSB-25-0442117) reporting Operator Keeler's whole-blood ethanol at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0.14 g/dL (0.14% w/v)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; (ii) the 11/21/2025 completion of the District's internal safety investigation; and (iii) initial medical documentation from Rivergate Regional Trauma Center confirming that Ms. Reyes sustained catastrophic multisystem injuries (severe traumatic brain injury, pelvic ring fracture, bilateral lower-extremity fractures, extended ICU course, tracheostomy-supported ventilation).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Recommendation: raise the controlling indemnity reserve on file from the initial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$250,000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 figure opened by K. Briggs on 10/28/2025 to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$3,250,000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, and route the file to outside defense counsel (Delfino Marek LLP) for full defense assignment. The initial $250,000 note was seated pre-lab, pre-safety-investigation, and pre-medical-workup, and this memorandum 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supersedes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 that note as the controlling reserve of record.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2.  Liability Assessment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Liability against the District is strong. Operator Keeler's certified evidentiary blood BAC of 0.14% supports negligence per se under California Vehicle Code § 23153(a) (driving under the influence causing injury); the value is 1.75× the general per-se threshold and 3.5× the commercial-driver per-se threshold.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Comparative-fault posture against the City of Rivergate as owner of the struck light standard appears weak as to the pedestrian's injuries: the coach struck the standard first and the pedestrian a moment later under residual momentum, so the darkened fixture is an effect of the collision rather than a cause of it. The two aboard-passenger claims (Cho — serious; Mowbray — moderate) sit on the same liability posture and are additive to the pedestrian exposure.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The criminal case (People v. Keeler, LASC Norwalk No. NA123456-01, Veh. C. § 23153(a)) is proceeding on the same certified BAC; its outcome will be relevant to the civil proceedings.</w:t>
      </w:r>
      <w:r w:themeColor="">
        <w:rPr>
          <w:rFonts w:ascii="Georgia" w:hAnsi="Georgia" w:cs="Georgia" w:eastAsia="Georgia"/>
          <w:b w:val="0"/>
          <w:i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3.  Damages Exposure (Pedestrian — Reyes)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Injury profile.</w:t>
      </w:r>
      <w:r w:themeColor="">
        <w:rPr>
          <w:rFonts w:ascii="Georgia" w:hAnsi="Georgia" w:cs="Georgia" w:eastAsia="Georgia"/>
          <w:color w:val="1F242E"/>
          <w:sz w:val="21"/>
        </w:rPr>
        <w:t xml:space="preserve"> Ms. Reyes sustained catastrophic injuries in the collision. Trauma-center records through the date of this memorandum reflect severe closed traumatic brain injury with prolonged loss of consciousness and intracranial hemorrhage; unstable pelvic ring fracture with operative fixation; bilateral lower-extremity long-bone fractures with staged operative management; multiple rib fractures with pulmonary contusion; extended intensive-care course including mechanical ventilation and tracheostomy; and inpatient rehabilitation admission anticipated on discharge from acute care. Prognosis for return to independent function is guarded, and long-term attendant care is anticipated.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/>
          <w:color w:val="1F242E"/>
          <w:sz w:val="21"/>
        </w:rPr>
        <w:t>Past medical — billed to date. Aggregate chargemaster charges from Rivergate Regional Trauma Center and associated providers reported into the claims file through mid-December 2025 approximate $2.84M billed. The Medi-Cal / private-plan paid-loss and lien picture is being developed and is not yet complete on file.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Future medical.</w:t>
      </w:r>
      <w:r w:themeColor="">
        <w:rPr>
          <w:rFonts w:ascii="Georgia" w:hAnsi="Georgia" w:cs="Georgia" w:eastAsia="Georgia"/>
          <w:color w:val="1F242E"/>
          <w:sz w:val="21"/>
        </w:rPr>
        <w:t xml:space="preserve"> No defense-directed life-care plan or medical-economic workup is yet on file. Reyes's treating team has indicated an anticipated need for extended inpatient rehabilitation followed by long-horizon attendant care, ongoing physiatry and neuropsychology follow-up, durable medical equipment, and home modifications. The future-medical component on a catastrophic-TBI plaintiff of Ms. Reyes's age (34) is expected to be the single largest component of exposure, but it cannot be sized on this file until the life-care plan and its accompanying present-value economic appendix are completed by retained defense-side experts.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Lost earning capacity.</w:t>
      </w:r>
      <w:r w:themeColor="">
        <w:rPr>
          <w:rFonts w:ascii="Georgia" w:hAnsi="Georgia" w:cs="Georgia" w:eastAsia="Georgia"/>
          <w:color w:val="1F242E"/>
          <w:sz w:val="21"/>
        </w:rPr>
        <w:t xml:space="preserve"> Ms. Reyes was employed pre-collision as a retail sales associate at an annualized wage in the low-$40Ks. A vocational and earning-capacity workup has not been performed as of the date of this memorandum. Given the anticipated cognitive and physical impairments, the loss-of-earning-capacity component is expected to be substantial but is not yet quantified.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Non-economic damages.</w:t>
      </w:r>
      <w:r w:themeColor="">
        <w:rPr>
          <w:rFonts w:ascii="Georgia" w:hAnsi="Georgia" w:cs="Georgia" w:eastAsia="Georgia"/>
          <w:color w:val="1F242E"/>
          <w:sz w:val="21"/>
        </w:rPr>
        <w:t xml:space="preserve"> No MICRA cap applies (this is a public-entity personal-injury case, not a medical malpractice case). Non-economic exposure on a catastrophic-TBI plaintiff of Ms. Reyes's age with the injury profile above is expected to be significant. A reasoned range will be developed with defense counsel after the medical and life-care picture matures.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Passenger claims — separate track.</w:t>
      </w:r>
      <w:r w:themeColor="">
        <w:rPr>
          <w:rFonts w:ascii="Georgia" w:hAnsi="Georgia" w:cs="Georgia" w:eastAsia="Georgia"/>
          <w:color w:val="1F242E"/>
          <w:sz w:val="21"/>
        </w:rPr>
        <w:t xml:space="preserve"> Devin Cho (ORIF right tibia/fibula, Grade 2 concussion, four-day hospitalization, extended work restriction) and Alicia Mowbray (cervical/lumbar strain, contusions, PT and light-duty course) present as additional, separately-tracked exposures against the same liability facts. Their exposures are reserved separately on their respective sub-files and are not embedded in the pedestrian reserve set below.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Collateral sources / § 985.</w:t>
      </w:r>
      <w:r w:themeColor="">
        <w:rPr>
          <w:rFonts w:ascii="Georgia" w:hAnsi="Georgia" w:cs="Georgia" w:eastAsia="Georgia"/>
          <w:color w:val="1F242E"/>
          <w:sz w:val="21"/>
        </w:rPr>
        <w:t xml:space="preserve"> Government Code § 985 post-verdict collateral-source reduction (with Medi-Cal an included collateral source) will be available to the District as a defense-invoked mechanism against any net recovery; this affects net exposure and not the gross reserve set here.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4.  Reserve</w:t>
      </w:r>
    </w:p>
    <w:p>
      <w:pPr>
        <w:keepNext/>
        <w:spacing w:before="160" w:after="40" w:line="276" w:lineRule="auto"/>
      </w:pPr>
      <w:r w:themeColor="">
        <w:rPr>
          <w:rFonts w:ascii="Helvetica" w:hAnsi="Helvetica" w:cs="Helvetica" w:eastAsia="Helvetica"/>
          <w:b/>
          <w:i w:val="0"/>
          <w:color w:val="2A3F6E"/>
          <w:sz w:val="21"/>
          <w:spacing w:val="10"/>
        </w:rPr>
        <w:t>Prior reserve — Briggs, 10/28/2025: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192"/>
        <w:gridCol w:w="2736"/>
      </w:tblGrid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Component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Amount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Pedestrian (Reyes) placeholder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$190,000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(Cho) — orthopedic / concussion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$45,000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(Mowbray) — soft-tissue strain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Allocated expense placeholder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$5,000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  <w:t>Prior initial reserve — SUPERSEDED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874B15"/>
                <w:sz w:val="21"/>
              </w:rPr>
            </w:r>
            <w:r w:themeColor="">
              <w:rPr>
                <w:rFonts w:ascii="Helvetica" w:hAnsi="Helvetica" w:cs="Helvetica" w:eastAsia="Helvetica"/>
                <w:b/>
                <w:color w:val="874B15"/>
                <w:sz w:val="21"/>
              </w:rPr>
              <w:t>$250,000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160" w:after="40" w:line="276" w:lineRule="auto"/>
      </w:pPr>
      <w:r w:themeColor="">
        <w:rPr>
          <w:rFonts w:ascii="Helvetica" w:hAnsi="Helvetica" w:cs="Helvetica" w:eastAsia="Helvetica"/>
          <w:b/>
          <w:i w:val="0"/>
          <w:color w:val="2A3F6E"/>
          <w:sz w:val="21"/>
          <w:spacing w:val="10"/>
        </w:rPr>
        <w:t>Controlling reserve — this memorandum, 12/15/2025:</w:t>
      </w:r>
    </w:p>
    <w:p>
      <w:pPr>
        <w:spacing w:before="40" w:after="120"/>
      </w:pPr>
      <w:r w:themeColor="">
        <w:rPr>
          <w:rFonts w:ascii="Helvetica" w:hAnsi="Helvetica" w:cs="Helvetica" w:eastAsia="Helvetica"/>
          <w:b/>
          <w:sz w:val="30"/>
          <w:color w:val="874B15"/>
          <w:spacing w:val="10"/>
        </w:rPr>
        <w:t>$3,250,000</w:t>
      </w:r>
      <w:r w:themeColor="">
        <w:rPr>
          <w:rFonts w:ascii="Georgia" w:hAnsi="Georgia" w:cs="Georgia" w:eastAsia="Georgia"/>
          <w:i/>
          <w:color w:val="1F242E"/>
          <w:sz w:val="21"/>
        </w:rPr>
        <w:t>, indicatively allocated as follows: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192"/>
        <w:gridCol w:w="2736"/>
      </w:tblGrid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Component (pedestrian — Reyes)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Amount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Past medical (billed to date; exact recoverable amount pending maturity of lien/EOB picture)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noted; not separately valued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Anticipated future medical (pending defense life-care plan and PV appendix)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$2,000,000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Anticipated lost earning capacity (pending vocational workup)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$400,000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Non-economic (reasoned pending medical maturity)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$750,000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Allocated loss-adjustment expense (defense costs, experts)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Reyes sub-total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$3,250,000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claims (Cho; Mowbray) — RESERVED SEPARATELY on their own sub-files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not included above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  <w:t>City of Rivergate property claim ($48,500 demand) — RESERVED SEPARATELY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874B15"/>
                <w:sz w:val="21"/>
              </w:rPr>
            </w:r>
            <w:r w:themeColor="">
              <w:rPr>
                <w:rFonts w:ascii="Helvetica" w:hAnsi="Helvetica" w:cs="Helvetica" w:eastAsia="Helvetica"/>
                <w:b/>
                <w:color w:val="874B15"/>
                <w:sz w:val="21"/>
              </w:rPr>
              <w:t>not included above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/>
          <w:color w:val="1F242E"/>
          <w:sz w:val="21"/>
        </w:rPr>
        <w:t>Basis and limitations. The controlling figure above supersedes the 10/28/2025 initial note. It is set on the current record — the confirmed 0.14% blood BAC and the initial catastrophic-injury documentation — and specifically before completion of (a) the certified life-care plan and its present-value economic appendix, and (b) the vocational / earning-capacity workup. The future-medical and lost-earning-capacity components carried above are placeholders based on preliminary treating-team indications and on-file wage information; they are not the product of retained expert workup. This reserve will be revisited upon receipt of the life-care plan with present-value appendix, the vocational/economic report, and the maturing paid-loss and lien picture.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Coverage.</w:t>
      </w:r>
      <w:r w:themeColor="">
        <w:rPr>
          <w:rFonts w:ascii="Georgia" w:hAnsi="Georgia" w:cs="Georgia" w:eastAsia="Georgia"/>
          <w:color w:val="1F242E"/>
          <w:sz w:val="21"/>
        </w:rPr>
        <w:t xml:space="preserve"> The District's self-insured retention on this line of coverage is $2,000,000. The first excess layer is $8,000,000 above the SIR through the Southern California Public-Entity Risk Alliance (SCPERA) pool, with a pooled program limit of $25,000,000. Notice to the excess pool has been coordinated with counsel and is docketed. The controlling reserve set above pierces the SIR and reaches into the first excess layer; SCPERA notice and reporting cadence should be maintained.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5.  Next Steps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1.</w:t>
        <w:tab/>
        <w:t>Formally assign the file to Delfino Marek LLP (M. Vega) as outside defense counsel; confirm and maintain the litigation hold placed by the Office of the General Counsel on 10/18/2025 over the operator file, the vehicle file for Bus #4177, the Block 512-OWL run schedule and duty roster, the AVL/GPS export, the APC/farebox export, the DriveCam video, the dispatch log, and the on-scene draft incident report.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2.</w:t>
        <w:tab/>
        <w:t>Retain (a) a certified life-care planner and supporting economist to prepare a defense-directed life-care plan with present-value economic appendix on Ms. Reyes, and (b) a vocational/economic expert to prepare a defense earning-capacity workup.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3.</w:t>
        <w:tab/>
        <w:t>Continue open medical-records collection from Rivergate Regional Trauma Center and (upon transfer) from the receiving inpatient-rehabilitation facility; develop the paid-loss picture and the Medi-Cal / private-plan lien posture.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4.</w:t>
        <w:tab/>
        <w:t>Calendar per-claimant claim-presentation and suit-limitation dates for each track (Reyes — pedestrian; Cho and Mowbray — passengers; City of Rivergate — property) with counsel; per-claimant computation governs.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5.</w:t>
        <w:tab/>
        <w:t xml:space="preserve">Continue full cooperation with the Rivergate Police Department, the Los Angeles County District Attorney (Norwalk), and the Sheriff's Scientific Services Bureau in </w:t>
      </w:r>
      <w:r w:themeColor="">
        <w:rPr>
          <w:rFonts w:ascii="Georgia" w:hAnsi="Georgia" w:cs="Georgia" w:eastAsia="Georgia"/>
          <w:i/>
          <w:color w:val="1F242E"/>
          <w:sz w:val="21"/>
        </w:rPr>
        <w:t>People v. Keeler</w:t>
      </w:r>
      <w:r w:themeColor="">
        <w:rPr>
          <w:rFonts w:ascii="Georgia" w:hAnsi="Georgia" w:cs="Georgia" w:eastAsia="Georgia"/>
          <w:color w:val="1F242E"/>
          <w:sz w:val="21"/>
        </w:rPr>
        <w:t>, routed through the Office of the General Counsel.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6.</w:t>
        <w:tab/>
        <w:t>Report the revised reserve up to the SCPERA excess pool per reporting protocol; brief the Board's Safety and Risk subcommittee at its next regular meeting, coordinated with the Office of the General Counsel.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7.</w:t>
        <w:tab/>
        <w:t>Re-evaluate this reserve on receipt of the life-care plan and PV appendix, on receipt of the vocational/economic report, on any material change in Ms. Reyes's medical trajectory, and on presentation of any Gov. Code § 910 claim by a claimant not yet on file.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360" w:after="40" w:line="276" w:lineRule="auto"/>
        <w:jc w:val="center"/>
      </w:pPr>
      <w:r w:themeColor="">
        <w:rPr>
          <w:rFonts w:ascii="Georgia" w:hAnsi="Georgia" w:cs="Georgia" w:eastAsia="Georgia"/>
          <w:b w:val="0"/>
          <w:i w:val="0"/>
          <w:color w:val="6B7280"/>
          <w:sz w:val="21"/>
        </w:rPr>
        <w:t>/s/ Gordon Espinoza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/>
          <w:i w:val="0"/>
          <w:color w:val="1A2D5C"/>
          <w:sz w:val="22"/>
          <w:spacing w:val="20"/>
        </w:rPr>
        <w:t>Gordon Espinoza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Senior Claims Manager — Risk &amp; Claims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Alder Creek Transit District</w:t>
      </w:r>
    </w:p>
    <w:p>
      <w:pPr>
        <w:spacing w:before="4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7"/>
          <w:spacing w:val="10"/>
        </w:rPr>
        <w:t>gespinoza@actd.gov  ·  (626) 555-0134</w:t>
      </w:r>
    </w:p>
    <w:p>
      <w:pPr>
        <w:spacing w:before="8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/>
          <w:color w:val="6B7280"/>
          <w:sz w:val="18"/>
          <w:spacing w:val="10"/>
        </w:rPr>
        <w:t>Dated: December 15, 2025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40" w:after="40" w:line="276" w:lineRule="auto"/>
        <w:jc w:val="center"/>
        <w:pBdr>
          <w:top w:val="single" w:sz="4" w:space="3" w:color="B5651D"/>
          <w:bottom w:val="single" w:sz="4" w:space="3" w:color="B5651D"/>
        </w:pBdr>
        <w:shd w:val="clear" w:color="auto" w:fill="F4F5F7"/>
      </w:pPr>
      <w:r w:themeColor="">
        <w:rPr>
          <w:rFonts w:ascii="Helvetica" w:hAnsi="Helvetica" w:cs="Helvetica" w:eastAsia="Helvetica"/>
          <w:b/>
          <w:i w:val="0"/>
          <w:color w:val="6B7280"/>
          <w:sz w:val="15"/>
          <w:spacing w:val="40"/>
        </w:rPr>
        <w:t>PRIVILEGED &amp; CONFIDENTIAL — ATTORNEY-CLIENT COMMUNICATION / WORK PRODUCT — PREPARED AT DIRECTION OF COUNSEL IN ANTICIPATION OF LITIGATION</w:t>
      </w:r>
    </w:p>
    <w:sectPr w:rsidR="00FC693F" w:rsidRPr="0006063C" w:rsidSect="00034616">
      <w:pgSz w:w="12240" w:h="15840"/>
      <w:pgMar w:top="1296" w:right="1656" w:bottom="1296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7" w:after="140" w:before="0"/>
    </w:pPr>
    <w:rPr>
      <w:rFonts w:ascii="Georgia" w:hAnsi="Georgia"/>
      <w:color w:val="1F24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