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duty roster and the fleet dispatch log;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at the published S. Main / Third control-point location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the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the APC/farebox export for the passenger roster and Rivergate Police Department Traffic Collision Report No. TC-2025-1018, Section III, for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w:t>
      </w:r>
      <w:r>
        <w:rPr>
          <w:rFonts w:ascii="Calibri" w:hAnsi="Calibri" w:cs="Calibri" w:eastAsia="Calibri"/>
          <w:b w:val="0"/>
          <w:sz w:val="21"/>
        </w:rPr>
        <w:t xml:space="preserve">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val="0"/>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duty roster, the fleet dispatch log, and Operator Keeler's bid award (Owl Sr. Board Line 12). Bus-to-block assignment for Block 512-OWL on this service night reconciles to the Div. 3 duty roster and the fleet dispatch log.</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still-frame log (forward-facing and cabin-facing), Bus #4177, 10/18/2025 01:59–02:07; native clip retained by vendor under litigation hold, not yet retrieved.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